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6F13AB">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5F440E72">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1612A1AE">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rPr>
      </w:pPr>
      <w:r>
        <w:rPr>
          <w:rFonts w:hint="eastAsia" w:ascii="宋体" w:hAnsi="宋体" w:cs="宋体"/>
          <w:b/>
          <w:bCs/>
          <w:kern w:val="0"/>
          <w:sz w:val="44"/>
          <w:szCs w:val="44"/>
          <w:lang w:val="en-US" w:eastAsia="zh-CN"/>
        </w:rPr>
        <w:t>石家庄市藁城区常安镇人民政府</w:t>
      </w:r>
    </w:p>
    <w:p w14:paraId="2AB264D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rPr>
        <w:t>2024年度整体支出绩效自评报告</w:t>
      </w:r>
    </w:p>
    <w:p w14:paraId="3EB075B9">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4D8A85B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lang w:val="en-US" w:eastAsia="zh-CN"/>
        </w:rPr>
        <w:t>石家庄市藁城区常安镇人民政府</w:t>
      </w:r>
      <w:r>
        <w:rPr>
          <w:rFonts w:hint="eastAsia" w:ascii="仿宋_GB2312" w:hAnsi="仿宋_GB2312" w:eastAsia="仿宋_GB2312" w:cs="仿宋_GB2312"/>
          <w:sz w:val="32"/>
          <w:szCs w:val="32"/>
          <w:highlight w:val="none"/>
          <w:lang w:eastAsia="zh-CN"/>
        </w:rPr>
        <w:t>部门202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4BD9A0FD">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4745469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71D0651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全镇202</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lang w:eastAsia="zh-CN"/>
        </w:rPr>
        <w:t>年年末在职人员</w:t>
      </w:r>
      <w:r>
        <w:rPr>
          <w:rFonts w:hint="eastAsia" w:ascii="仿宋" w:hAnsi="仿宋" w:eastAsia="仿宋" w:cs="仿宋"/>
          <w:b w:val="0"/>
          <w:bCs w:val="0"/>
          <w:sz w:val="32"/>
          <w:szCs w:val="32"/>
          <w:lang w:val="en-US" w:eastAsia="zh-CN"/>
        </w:rPr>
        <w:t>53</w:t>
      </w:r>
      <w:r>
        <w:rPr>
          <w:rFonts w:hint="eastAsia" w:ascii="仿宋" w:hAnsi="仿宋" w:eastAsia="仿宋" w:cs="仿宋"/>
          <w:b w:val="0"/>
          <w:bCs w:val="0"/>
          <w:sz w:val="32"/>
          <w:szCs w:val="32"/>
          <w:lang w:eastAsia="zh-CN"/>
        </w:rPr>
        <w:t>人，其中行政人员</w:t>
      </w:r>
      <w:r>
        <w:rPr>
          <w:rFonts w:hint="eastAsia" w:ascii="仿宋" w:hAnsi="仿宋" w:eastAsia="仿宋" w:cs="仿宋"/>
          <w:b w:val="0"/>
          <w:bCs w:val="0"/>
          <w:sz w:val="32"/>
          <w:szCs w:val="32"/>
          <w:lang w:val="en-US" w:eastAsia="zh-CN"/>
        </w:rPr>
        <w:t>31</w:t>
      </w:r>
      <w:r>
        <w:rPr>
          <w:rFonts w:hint="eastAsia" w:ascii="仿宋" w:hAnsi="仿宋" w:eastAsia="仿宋" w:cs="仿宋"/>
          <w:b w:val="0"/>
          <w:bCs w:val="0"/>
          <w:sz w:val="32"/>
          <w:szCs w:val="32"/>
          <w:lang w:eastAsia="zh-CN"/>
        </w:rPr>
        <w:t xml:space="preserve">人，事业人员 </w:t>
      </w:r>
      <w:r>
        <w:rPr>
          <w:rFonts w:hint="eastAsia" w:ascii="仿宋" w:hAnsi="仿宋" w:eastAsia="仿宋" w:cs="仿宋"/>
          <w:b w:val="0"/>
          <w:bCs w:val="0"/>
          <w:sz w:val="32"/>
          <w:szCs w:val="32"/>
          <w:lang w:val="en-US" w:eastAsia="zh-CN"/>
        </w:rPr>
        <w:t>22</w:t>
      </w:r>
      <w:r>
        <w:rPr>
          <w:rFonts w:hint="eastAsia" w:ascii="仿宋" w:hAnsi="仿宋" w:eastAsia="仿宋" w:cs="仿宋"/>
          <w:b w:val="0"/>
          <w:bCs w:val="0"/>
          <w:sz w:val="32"/>
          <w:szCs w:val="32"/>
          <w:lang w:eastAsia="zh-CN"/>
        </w:rPr>
        <w:t xml:space="preserve"> 人。</w:t>
      </w:r>
    </w:p>
    <w:p w14:paraId="543CE6A4">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23218A1C">
      <w:pPr>
        <w:widowControl w:val="0"/>
        <w:numPr>
          <w:ilvl w:val="0"/>
          <w:numId w:val="0"/>
        </w:numPr>
        <w:wordWrap/>
        <w:adjustRightInd/>
        <w:snapToGrid w:val="0"/>
        <w:spacing w:line="560" w:lineRule="exact"/>
        <w:ind w:leftChars="200" w:right="0" w:rightChars="0" w:firstLine="640" w:firstLineChars="200"/>
        <w:textAlignment w:val="auto"/>
        <w:outlineLvl w:val="9"/>
        <w:rPr>
          <w:rFonts w:hint="eastAsia" w:ascii="楷体_GB2312" w:hAnsi="楷体_GB2312" w:eastAsia="楷体_GB2312" w:cs="楷体_GB2312"/>
          <w:bCs/>
          <w:sz w:val="32"/>
          <w:szCs w:val="32"/>
        </w:rPr>
      </w:pPr>
      <w:r>
        <w:rPr>
          <w:rFonts w:hint="eastAsia" w:ascii="仿宋" w:hAnsi="仿宋" w:eastAsia="仿宋" w:cs="仿宋"/>
          <w:sz w:val="32"/>
          <w:szCs w:val="32"/>
          <w:lang w:val="en-US" w:eastAsia="zh-CN"/>
        </w:rPr>
        <w:t>常安</w:t>
      </w:r>
      <w:r>
        <w:rPr>
          <w:rFonts w:hint="eastAsia" w:ascii="仿宋" w:hAnsi="仿宋" w:eastAsia="仿宋" w:cs="仿宋"/>
          <w:sz w:val="32"/>
          <w:szCs w:val="32"/>
          <w:lang w:eastAsia="zh-CN"/>
        </w:rPr>
        <w:t>镇主要围绕加强党的领导、夯实基层政权，促进经济发展、增加农民收入，优化公共服务、着力改善民生，强化社会治理、维护社会稳定，推进基层民主、促进农村和谐，改善生态环境、提升乡风文明等方面履行职能。镇党委是党在农村(社区)的基层组织，是党在农村(社区)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727AC4CC">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14:paraId="334E050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部门总体工作开展情况良好，我镇各项工作顺利开展。专项资金和具体预算支出项目的预期绩效目标和各项指标都已如期完成。</w:t>
      </w:r>
    </w:p>
    <w:p w14:paraId="4D76551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200"/>
        <w:textAlignment w:val="auto"/>
        <w:rPr>
          <w:rFonts w:hint="eastAsia" w:ascii="楷体_GB2312" w:hAnsi="楷体_GB2312" w:eastAsia="楷体_GB2312" w:cs="楷体_GB2312"/>
          <w:bCs/>
          <w:sz w:val="32"/>
          <w:szCs w:val="32"/>
        </w:rPr>
      </w:pPr>
    </w:p>
    <w:p w14:paraId="0E217685">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10" w:leftChars="0" w:right="0" w:firstLine="640" w:firstLineChars="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71F7F673">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2F74DC98">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lang w:eastAsia="zh-CN"/>
        </w:rPr>
        <w:t>根据《藁城区区级部门预算项目绩效自评管理办法》的通知要求，我镇组成专门力量，</w:t>
      </w:r>
      <w:r>
        <w:rPr>
          <w:rFonts w:hint="eastAsia" w:ascii="仿宋" w:hAnsi="仿宋" w:eastAsia="仿宋" w:cs="仿宋"/>
          <w:sz w:val="32"/>
          <w:szCs w:val="32"/>
        </w:rPr>
        <w:t>主要对</w:t>
      </w:r>
      <w:r>
        <w:rPr>
          <w:rFonts w:hint="eastAsia" w:ascii="仿宋" w:hAnsi="仿宋" w:eastAsia="仿宋" w:cs="仿宋"/>
          <w:sz w:val="32"/>
          <w:szCs w:val="32"/>
          <w:lang w:val="en-US" w:eastAsia="zh-CN"/>
        </w:rPr>
        <w:t>常安镇各项目</w:t>
      </w:r>
      <w:r>
        <w:rPr>
          <w:rFonts w:hint="eastAsia" w:ascii="仿宋" w:hAnsi="仿宋" w:eastAsia="仿宋" w:cs="仿宋"/>
          <w:sz w:val="32"/>
          <w:szCs w:val="32"/>
        </w:rPr>
        <w:t>涉及</w:t>
      </w:r>
      <w:bookmarkStart w:id="0" w:name="_GoBack"/>
      <w:bookmarkEnd w:id="0"/>
      <w:r>
        <w:rPr>
          <w:rFonts w:hint="eastAsia" w:ascii="仿宋" w:hAnsi="仿宋" w:eastAsia="仿宋" w:cs="仿宋"/>
          <w:sz w:val="32"/>
          <w:szCs w:val="32"/>
        </w:rPr>
        <w:t>的财政支出的经济性、效率性及效益性进行重点评价，并针对评价内容做出分析及合理化建议</w:t>
      </w:r>
      <w:r>
        <w:rPr>
          <w:rFonts w:hint="eastAsia" w:ascii="仿宋" w:hAnsi="仿宋" w:eastAsia="仿宋" w:cs="仿宋"/>
          <w:sz w:val="32"/>
          <w:szCs w:val="32"/>
          <w:lang w:eastAsia="zh-CN"/>
        </w:rPr>
        <w:t>。</w:t>
      </w:r>
    </w:p>
    <w:p w14:paraId="7CF7CA82">
      <w:pPr>
        <w:keepNext w:val="0"/>
        <w:keepLines w:val="0"/>
        <w:pageBreakBefore w:val="0"/>
        <w:widowControl w:val="0"/>
        <w:numPr>
          <w:ilvl w:val="0"/>
          <w:numId w:val="3"/>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00F18AB2">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仿宋" w:hAnsi="仿宋" w:eastAsia="仿宋" w:cs="仿宋"/>
          <w:color w:val="000000"/>
          <w:sz w:val="32"/>
          <w:szCs w:val="32"/>
          <w:lang w:val="en-US" w:eastAsia="zh-CN" w:bidi="ar-SA"/>
        </w:rPr>
        <w:t>主要通过现场查看及查阅相关文件资料方式开展绩效评价，运用的绩效评价方法包括：比较分析法、现场查看法、随机调查法等。</w:t>
      </w:r>
      <w:r>
        <w:rPr>
          <w:rFonts w:hint="eastAsia" w:ascii="仿宋" w:hAnsi="仿宋" w:eastAsia="仿宋" w:cs="仿宋"/>
          <w:color w:val="000000"/>
          <w:kern w:val="2"/>
          <w:sz w:val="32"/>
          <w:szCs w:val="32"/>
          <w:lang w:val="en-US" w:eastAsia="zh-CN" w:bidi="ar-SA"/>
        </w:rPr>
        <w:t>根据不同绩效评价内容，确定不同的指标体系，并制定相应评分标准。</w:t>
      </w:r>
    </w:p>
    <w:p w14:paraId="3CA445A9">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14C9A5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12B16BB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年度计划工作，统筹安排人居环境整治、路域环境整治、新时代文明实践、环保、土地、食品安全、安全生产、信访、劳务费、绿化植树、武装工作、人大工作等各项综合资金支出，确保常安镇各项工作顺利开展。</w:t>
      </w:r>
    </w:p>
    <w:p w14:paraId="598566BD">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70D6A4AE">
      <w:pPr>
        <w:pStyle w:val="13"/>
        <w:snapToGrid w:val="0"/>
        <w:spacing w:beforeLines="50" w:afterLines="50" w:line="360" w:lineRule="auto"/>
        <w:ind w:firstLine="640" w:firstLineChars="200"/>
        <w:jc w:val="both"/>
        <w:rPr>
          <w:rFonts w:hint="eastAsia" w:ascii="黑体" w:hAnsi="黑体" w:eastAsia="黑体" w:cs="黑体"/>
          <w:sz w:val="32"/>
          <w:szCs w:val="32"/>
          <w:lang w:eastAsia="zh-CN"/>
        </w:rPr>
      </w:pPr>
      <w:r>
        <w:rPr>
          <w:rFonts w:hint="eastAsia" w:ascii="仿宋" w:hAnsi="仿宋" w:eastAsia="仿宋"/>
          <w:sz w:val="32"/>
          <w:szCs w:val="32"/>
          <w:lang w:val="en-US" w:eastAsia="zh-CN"/>
        </w:rPr>
        <w:t>常安镇2024年度共14个</w:t>
      </w:r>
      <w:r>
        <w:rPr>
          <w:rFonts w:hint="eastAsia" w:ascii="仿宋_GB2312" w:eastAsia="仿宋_GB2312"/>
          <w:sz w:val="32"/>
          <w:szCs w:val="32"/>
        </w:rPr>
        <w:t>项目</w:t>
      </w:r>
      <w:r>
        <w:rPr>
          <w:rFonts w:hint="eastAsia" w:ascii="仿宋_GB2312" w:eastAsia="仿宋_GB2312"/>
          <w:sz w:val="32"/>
          <w:szCs w:val="32"/>
          <w:lang w:eastAsia="zh-CN"/>
        </w:rPr>
        <w:t>，</w:t>
      </w:r>
      <w:r>
        <w:rPr>
          <w:rFonts w:hint="eastAsia" w:ascii="仿宋_GB2312" w:eastAsia="仿宋_GB2312"/>
          <w:sz w:val="32"/>
          <w:szCs w:val="32"/>
          <w:lang w:val="en-US" w:eastAsia="zh-CN"/>
        </w:rPr>
        <w:t>其中涉及乡镇财政</w:t>
      </w:r>
      <w:r>
        <w:rPr>
          <w:rFonts w:hint="eastAsia" w:ascii="仿宋" w:hAnsi="仿宋" w:eastAsia="仿宋"/>
          <w:sz w:val="32"/>
          <w:szCs w:val="32"/>
          <w:lang w:val="en-US" w:eastAsia="zh-CN"/>
        </w:rPr>
        <w:t>14</w:t>
      </w:r>
      <w:r>
        <w:rPr>
          <w:rFonts w:hint="eastAsia" w:ascii="仿宋_GB2312" w:eastAsia="仿宋_GB2312"/>
          <w:sz w:val="32"/>
          <w:szCs w:val="32"/>
          <w:lang w:val="en-US" w:eastAsia="zh-CN"/>
        </w:rPr>
        <w:t>个项目。对</w:t>
      </w:r>
      <w:r>
        <w:rPr>
          <w:rFonts w:hint="eastAsia" w:ascii="仿宋" w:hAnsi="仿宋" w:eastAsia="仿宋"/>
          <w:sz w:val="32"/>
          <w:szCs w:val="32"/>
          <w:lang w:val="en-US" w:eastAsia="zh-CN"/>
        </w:rPr>
        <w:t>14</w:t>
      </w:r>
      <w:r>
        <w:rPr>
          <w:rFonts w:hint="eastAsia" w:ascii="仿宋_GB2312" w:eastAsia="仿宋_GB2312"/>
          <w:sz w:val="32"/>
          <w:szCs w:val="32"/>
          <w:lang w:val="en-US" w:eastAsia="zh-CN"/>
        </w:rPr>
        <w:t>个项目进行绩效评价，结果如下</w:t>
      </w:r>
      <w:r>
        <w:rPr>
          <w:rFonts w:hint="eastAsia" w:ascii="仿宋_GB2312" w:eastAsia="仿宋_GB2312"/>
          <w:sz w:val="32"/>
          <w:szCs w:val="32"/>
          <w:lang w:eastAsia="zh-CN"/>
        </w:rPr>
        <w:t>：</w:t>
      </w:r>
    </w:p>
    <w:tbl>
      <w:tblPr>
        <w:tblStyle w:val="8"/>
        <w:tblW w:w="8775"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0"/>
        <w:gridCol w:w="2700"/>
        <w:gridCol w:w="825"/>
        <w:gridCol w:w="1110"/>
        <w:gridCol w:w="990"/>
        <w:gridCol w:w="1080"/>
        <w:gridCol w:w="810"/>
        <w:gridCol w:w="780"/>
      </w:tblGrid>
      <w:tr w14:paraId="3B76D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 w:hRule="atLeast"/>
        </w:trPr>
        <w:tc>
          <w:tcPr>
            <w:tcW w:w="480" w:type="dxa"/>
          </w:tcPr>
          <w:p w14:paraId="594E984F">
            <w:pPr>
              <w:pStyle w:val="13"/>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序号</w:t>
            </w:r>
          </w:p>
        </w:tc>
        <w:tc>
          <w:tcPr>
            <w:tcW w:w="2700" w:type="dxa"/>
          </w:tcPr>
          <w:p w14:paraId="52242FB2">
            <w:pPr>
              <w:pStyle w:val="13"/>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项目名称</w:t>
            </w:r>
          </w:p>
        </w:tc>
        <w:tc>
          <w:tcPr>
            <w:tcW w:w="825" w:type="dxa"/>
          </w:tcPr>
          <w:p w14:paraId="5A3B55C8">
            <w:pPr>
              <w:pStyle w:val="13"/>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产出指标</w:t>
            </w:r>
          </w:p>
        </w:tc>
        <w:tc>
          <w:tcPr>
            <w:tcW w:w="1110" w:type="dxa"/>
          </w:tcPr>
          <w:p w14:paraId="676BB07F">
            <w:pPr>
              <w:pStyle w:val="13"/>
              <w:snapToGrid w:val="0"/>
              <w:spacing w:beforeLines="50" w:afterLines="50" w:line="360" w:lineRule="auto"/>
              <w:jc w:val="center"/>
              <w:rPr>
                <w:rFonts w:hint="eastAsia" w:ascii="仿宋_GB2312" w:eastAsia="仿宋_GB2312"/>
                <w:sz w:val="28"/>
                <w:szCs w:val="28"/>
                <w:vertAlign w:val="baseline"/>
                <w:lang w:eastAsia="zh-CN"/>
              </w:rPr>
            </w:pPr>
            <w:r>
              <w:rPr>
                <w:rFonts w:hint="eastAsia" w:ascii="仿宋_GB2312" w:eastAsia="仿宋_GB2312"/>
                <w:sz w:val="28"/>
                <w:szCs w:val="28"/>
                <w:vertAlign w:val="baseline"/>
                <w:lang w:eastAsia="zh-CN"/>
              </w:rPr>
              <w:t>预算执行率</w:t>
            </w:r>
          </w:p>
        </w:tc>
        <w:tc>
          <w:tcPr>
            <w:tcW w:w="990" w:type="dxa"/>
          </w:tcPr>
          <w:p w14:paraId="2F26FFE0">
            <w:pPr>
              <w:bidi w:val="0"/>
              <w:jc w:val="center"/>
              <w:rPr>
                <w:rFonts w:hint="eastAsia"/>
                <w:sz w:val="28"/>
                <w:szCs w:val="28"/>
                <w:lang w:eastAsia="zh-CN"/>
              </w:rPr>
            </w:pPr>
            <w:r>
              <w:rPr>
                <w:rFonts w:hint="eastAsia"/>
                <w:sz w:val="28"/>
                <w:szCs w:val="28"/>
                <w:lang w:eastAsia="zh-CN"/>
              </w:rPr>
              <w:t>效益指标</w:t>
            </w:r>
          </w:p>
        </w:tc>
        <w:tc>
          <w:tcPr>
            <w:tcW w:w="1080" w:type="dxa"/>
          </w:tcPr>
          <w:p w14:paraId="691550CB">
            <w:pPr>
              <w:bidi w:val="0"/>
              <w:jc w:val="center"/>
              <w:rPr>
                <w:rFonts w:hint="eastAsia"/>
                <w:sz w:val="28"/>
                <w:szCs w:val="28"/>
                <w:lang w:eastAsia="zh-CN"/>
              </w:rPr>
            </w:pPr>
            <w:r>
              <w:rPr>
                <w:rFonts w:hint="eastAsia"/>
                <w:sz w:val="28"/>
                <w:szCs w:val="28"/>
                <w:lang w:eastAsia="zh-CN"/>
              </w:rPr>
              <w:t>满意度指标</w:t>
            </w:r>
          </w:p>
        </w:tc>
        <w:tc>
          <w:tcPr>
            <w:tcW w:w="810" w:type="dxa"/>
          </w:tcPr>
          <w:p w14:paraId="35E393CF">
            <w:pPr>
              <w:pStyle w:val="13"/>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自评得分</w:t>
            </w:r>
          </w:p>
        </w:tc>
        <w:tc>
          <w:tcPr>
            <w:tcW w:w="780" w:type="dxa"/>
          </w:tcPr>
          <w:p w14:paraId="29CFF5EB">
            <w:pPr>
              <w:pStyle w:val="13"/>
              <w:snapToGrid w:val="0"/>
              <w:spacing w:beforeLines="50" w:afterLines="50" w:line="360" w:lineRule="auto"/>
              <w:jc w:val="center"/>
              <w:rPr>
                <w:rFonts w:hint="default" w:ascii="仿宋_GB2312" w:eastAsia="仿宋_GB2312"/>
                <w:sz w:val="28"/>
                <w:szCs w:val="28"/>
                <w:vertAlign w:val="baseline"/>
                <w:lang w:val="en-US" w:eastAsia="zh-CN"/>
              </w:rPr>
            </w:pPr>
            <w:r>
              <w:rPr>
                <w:rFonts w:hint="eastAsia" w:ascii="仿宋_GB2312" w:eastAsia="仿宋_GB2312"/>
                <w:sz w:val="28"/>
                <w:szCs w:val="28"/>
                <w:vertAlign w:val="baseline"/>
                <w:lang w:val="en-US" w:eastAsia="zh-CN"/>
              </w:rPr>
              <w:t>评价等级</w:t>
            </w:r>
          </w:p>
        </w:tc>
      </w:tr>
      <w:tr w14:paraId="2D058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14:paraId="4C23DA6D">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w:t>
            </w:r>
          </w:p>
        </w:tc>
        <w:tc>
          <w:tcPr>
            <w:tcW w:w="2700" w:type="dxa"/>
          </w:tcPr>
          <w:p w14:paraId="3EEDC6A0">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常安镇工业园征地补偿</w:t>
            </w:r>
          </w:p>
        </w:tc>
        <w:tc>
          <w:tcPr>
            <w:tcW w:w="825" w:type="dxa"/>
          </w:tcPr>
          <w:p w14:paraId="072C92EF">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39</w:t>
            </w:r>
          </w:p>
        </w:tc>
        <w:tc>
          <w:tcPr>
            <w:tcW w:w="1110" w:type="dxa"/>
          </w:tcPr>
          <w:p w14:paraId="19272D89">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10</w:t>
            </w:r>
          </w:p>
        </w:tc>
        <w:tc>
          <w:tcPr>
            <w:tcW w:w="990" w:type="dxa"/>
          </w:tcPr>
          <w:p w14:paraId="3EE7D4E2">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38</w:t>
            </w:r>
          </w:p>
        </w:tc>
        <w:tc>
          <w:tcPr>
            <w:tcW w:w="1080" w:type="dxa"/>
          </w:tcPr>
          <w:p w14:paraId="4F857731">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9</w:t>
            </w:r>
          </w:p>
        </w:tc>
        <w:tc>
          <w:tcPr>
            <w:tcW w:w="810" w:type="dxa"/>
          </w:tcPr>
          <w:p w14:paraId="22B82BD6">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96</w:t>
            </w:r>
          </w:p>
        </w:tc>
        <w:tc>
          <w:tcPr>
            <w:tcW w:w="780" w:type="dxa"/>
            <w:vAlign w:val="top"/>
          </w:tcPr>
          <w:p w14:paraId="4E1D46BB">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2ABFE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14:paraId="0BE7A733">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2</w:t>
            </w:r>
          </w:p>
        </w:tc>
        <w:tc>
          <w:tcPr>
            <w:tcW w:w="2700" w:type="dxa"/>
          </w:tcPr>
          <w:p w14:paraId="2E51834B">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val="en-US" w:eastAsia="zh-CN"/>
              </w:rPr>
              <w:t>常安镇公用经费</w:t>
            </w:r>
          </w:p>
        </w:tc>
        <w:tc>
          <w:tcPr>
            <w:tcW w:w="825" w:type="dxa"/>
          </w:tcPr>
          <w:p w14:paraId="64856875">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38</w:t>
            </w:r>
          </w:p>
        </w:tc>
        <w:tc>
          <w:tcPr>
            <w:tcW w:w="1110" w:type="dxa"/>
          </w:tcPr>
          <w:p w14:paraId="42FD253E">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10</w:t>
            </w:r>
          </w:p>
        </w:tc>
        <w:tc>
          <w:tcPr>
            <w:tcW w:w="990" w:type="dxa"/>
          </w:tcPr>
          <w:p w14:paraId="7378A06E">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38</w:t>
            </w:r>
          </w:p>
        </w:tc>
        <w:tc>
          <w:tcPr>
            <w:tcW w:w="1080" w:type="dxa"/>
          </w:tcPr>
          <w:p w14:paraId="677B326C">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8</w:t>
            </w:r>
          </w:p>
        </w:tc>
        <w:tc>
          <w:tcPr>
            <w:tcW w:w="810" w:type="dxa"/>
          </w:tcPr>
          <w:p w14:paraId="2F253981">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94</w:t>
            </w:r>
          </w:p>
        </w:tc>
        <w:tc>
          <w:tcPr>
            <w:tcW w:w="780" w:type="dxa"/>
            <w:vAlign w:val="top"/>
          </w:tcPr>
          <w:p w14:paraId="4EE19B0C">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660CE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14:paraId="45F43E69">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3</w:t>
            </w:r>
          </w:p>
        </w:tc>
        <w:tc>
          <w:tcPr>
            <w:tcW w:w="2700" w:type="dxa"/>
          </w:tcPr>
          <w:p w14:paraId="5BB1D385">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常安镇综合工作经费</w:t>
            </w:r>
          </w:p>
        </w:tc>
        <w:tc>
          <w:tcPr>
            <w:tcW w:w="825" w:type="dxa"/>
            <w:vAlign w:val="top"/>
          </w:tcPr>
          <w:p w14:paraId="40EB0E46">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37</w:t>
            </w:r>
          </w:p>
        </w:tc>
        <w:tc>
          <w:tcPr>
            <w:tcW w:w="1110" w:type="dxa"/>
            <w:vAlign w:val="top"/>
          </w:tcPr>
          <w:p w14:paraId="586B33DB">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990" w:type="dxa"/>
            <w:vAlign w:val="top"/>
          </w:tcPr>
          <w:p w14:paraId="5FDC455E">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36</w:t>
            </w:r>
          </w:p>
        </w:tc>
        <w:tc>
          <w:tcPr>
            <w:tcW w:w="1080" w:type="dxa"/>
            <w:vAlign w:val="top"/>
          </w:tcPr>
          <w:p w14:paraId="63799F9F">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810" w:type="dxa"/>
            <w:vAlign w:val="top"/>
          </w:tcPr>
          <w:p w14:paraId="7ECB62A9">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94</w:t>
            </w:r>
          </w:p>
        </w:tc>
        <w:tc>
          <w:tcPr>
            <w:tcW w:w="780" w:type="dxa"/>
            <w:vAlign w:val="top"/>
          </w:tcPr>
          <w:p w14:paraId="20D5FAC3">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1F7FC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14:paraId="5F80363F">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4</w:t>
            </w:r>
          </w:p>
        </w:tc>
        <w:tc>
          <w:tcPr>
            <w:tcW w:w="2700" w:type="dxa"/>
          </w:tcPr>
          <w:p w14:paraId="03B1A948">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rPr>
              <w:t>常安镇综合工作经费</w:t>
            </w:r>
          </w:p>
        </w:tc>
        <w:tc>
          <w:tcPr>
            <w:tcW w:w="825" w:type="dxa"/>
            <w:vAlign w:val="top"/>
          </w:tcPr>
          <w:p w14:paraId="2594CEB5">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40</w:t>
            </w:r>
          </w:p>
        </w:tc>
        <w:tc>
          <w:tcPr>
            <w:tcW w:w="1110" w:type="dxa"/>
            <w:vAlign w:val="top"/>
          </w:tcPr>
          <w:p w14:paraId="3A26AAA9">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990" w:type="dxa"/>
            <w:vAlign w:val="top"/>
          </w:tcPr>
          <w:p w14:paraId="66AA9D8C">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36</w:t>
            </w:r>
          </w:p>
        </w:tc>
        <w:tc>
          <w:tcPr>
            <w:tcW w:w="1080" w:type="dxa"/>
            <w:vAlign w:val="top"/>
          </w:tcPr>
          <w:p w14:paraId="46E75CA2">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810" w:type="dxa"/>
            <w:vAlign w:val="top"/>
          </w:tcPr>
          <w:p w14:paraId="71C8A78F">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14:paraId="6621056D">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6F2B9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14:paraId="3C28BBA5">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5</w:t>
            </w:r>
          </w:p>
        </w:tc>
        <w:tc>
          <w:tcPr>
            <w:tcW w:w="2700" w:type="dxa"/>
          </w:tcPr>
          <w:p w14:paraId="1D3C8085">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常安镇综合经费</w:t>
            </w:r>
          </w:p>
        </w:tc>
        <w:tc>
          <w:tcPr>
            <w:tcW w:w="825" w:type="dxa"/>
            <w:vAlign w:val="top"/>
          </w:tcPr>
          <w:p w14:paraId="4325A283">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38</w:t>
            </w:r>
          </w:p>
        </w:tc>
        <w:tc>
          <w:tcPr>
            <w:tcW w:w="1110" w:type="dxa"/>
            <w:vAlign w:val="top"/>
          </w:tcPr>
          <w:p w14:paraId="10500BDF">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990" w:type="dxa"/>
            <w:vAlign w:val="top"/>
          </w:tcPr>
          <w:p w14:paraId="718E2498">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40</w:t>
            </w:r>
          </w:p>
        </w:tc>
        <w:tc>
          <w:tcPr>
            <w:tcW w:w="1080" w:type="dxa"/>
            <w:vAlign w:val="top"/>
          </w:tcPr>
          <w:p w14:paraId="686A3A47">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14:paraId="7D6B1252">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14:paraId="170A2897">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344BF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14:paraId="24D391A6">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6</w:t>
            </w:r>
          </w:p>
        </w:tc>
        <w:tc>
          <w:tcPr>
            <w:tcW w:w="2700" w:type="dxa"/>
          </w:tcPr>
          <w:p w14:paraId="6C5C16AB">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公用经费（联防队员工资）</w:t>
            </w:r>
          </w:p>
        </w:tc>
        <w:tc>
          <w:tcPr>
            <w:tcW w:w="825" w:type="dxa"/>
            <w:vAlign w:val="top"/>
          </w:tcPr>
          <w:p w14:paraId="289B0700">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40</w:t>
            </w:r>
          </w:p>
        </w:tc>
        <w:tc>
          <w:tcPr>
            <w:tcW w:w="1110" w:type="dxa"/>
            <w:vAlign w:val="top"/>
          </w:tcPr>
          <w:p w14:paraId="411B3FB2">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990" w:type="dxa"/>
            <w:vAlign w:val="top"/>
          </w:tcPr>
          <w:p w14:paraId="2932C126">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38</w:t>
            </w:r>
          </w:p>
        </w:tc>
        <w:tc>
          <w:tcPr>
            <w:tcW w:w="1080" w:type="dxa"/>
            <w:vAlign w:val="top"/>
          </w:tcPr>
          <w:p w14:paraId="3EFFC809">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810" w:type="dxa"/>
            <w:vAlign w:val="top"/>
          </w:tcPr>
          <w:p w14:paraId="2B0F08CD">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98</w:t>
            </w:r>
          </w:p>
        </w:tc>
        <w:tc>
          <w:tcPr>
            <w:tcW w:w="780" w:type="dxa"/>
            <w:vAlign w:val="top"/>
          </w:tcPr>
          <w:p w14:paraId="7AB5537E">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3C419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9" w:hRule="atLeast"/>
        </w:trPr>
        <w:tc>
          <w:tcPr>
            <w:tcW w:w="480" w:type="dxa"/>
          </w:tcPr>
          <w:p w14:paraId="31169A79">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7</w:t>
            </w:r>
          </w:p>
        </w:tc>
        <w:tc>
          <w:tcPr>
            <w:tcW w:w="2700" w:type="dxa"/>
          </w:tcPr>
          <w:p w14:paraId="49ADEB12">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公用经费（临时人员工资）</w:t>
            </w:r>
          </w:p>
        </w:tc>
        <w:tc>
          <w:tcPr>
            <w:tcW w:w="825" w:type="dxa"/>
            <w:vAlign w:val="top"/>
          </w:tcPr>
          <w:p w14:paraId="4EEC3FCF">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40</w:t>
            </w:r>
          </w:p>
        </w:tc>
        <w:tc>
          <w:tcPr>
            <w:tcW w:w="1110" w:type="dxa"/>
            <w:vAlign w:val="top"/>
          </w:tcPr>
          <w:p w14:paraId="71C3BCBA">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990" w:type="dxa"/>
            <w:vAlign w:val="top"/>
          </w:tcPr>
          <w:p w14:paraId="6DF19205">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38</w:t>
            </w:r>
          </w:p>
        </w:tc>
        <w:tc>
          <w:tcPr>
            <w:tcW w:w="1080" w:type="dxa"/>
            <w:vAlign w:val="top"/>
          </w:tcPr>
          <w:p w14:paraId="4F9E4FA4">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810" w:type="dxa"/>
            <w:vAlign w:val="top"/>
          </w:tcPr>
          <w:p w14:paraId="54AC35A5">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98</w:t>
            </w:r>
          </w:p>
        </w:tc>
        <w:tc>
          <w:tcPr>
            <w:tcW w:w="780" w:type="dxa"/>
            <w:vAlign w:val="top"/>
          </w:tcPr>
          <w:p w14:paraId="21B1F82E">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7544A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480" w:type="dxa"/>
          </w:tcPr>
          <w:p w14:paraId="5DE8CEA0">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8</w:t>
            </w:r>
          </w:p>
        </w:tc>
        <w:tc>
          <w:tcPr>
            <w:tcW w:w="2700" w:type="dxa"/>
          </w:tcPr>
          <w:p w14:paraId="2A70B2B1">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公用经费（绿化补贴配套）</w:t>
            </w:r>
          </w:p>
        </w:tc>
        <w:tc>
          <w:tcPr>
            <w:tcW w:w="825" w:type="dxa"/>
            <w:vAlign w:val="top"/>
          </w:tcPr>
          <w:p w14:paraId="4F100176">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40</w:t>
            </w:r>
          </w:p>
        </w:tc>
        <w:tc>
          <w:tcPr>
            <w:tcW w:w="1110" w:type="dxa"/>
            <w:vAlign w:val="top"/>
          </w:tcPr>
          <w:p w14:paraId="33751B83">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990" w:type="dxa"/>
            <w:vAlign w:val="top"/>
          </w:tcPr>
          <w:p w14:paraId="3003DB04">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36</w:t>
            </w:r>
          </w:p>
        </w:tc>
        <w:tc>
          <w:tcPr>
            <w:tcW w:w="1080" w:type="dxa"/>
            <w:vAlign w:val="top"/>
          </w:tcPr>
          <w:p w14:paraId="0B5D720F">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810" w:type="dxa"/>
            <w:vAlign w:val="top"/>
          </w:tcPr>
          <w:p w14:paraId="04FC2611">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14:paraId="24A0DA9B">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670C9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480" w:type="dxa"/>
          </w:tcPr>
          <w:p w14:paraId="25702BD0">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9</w:t>
            </w:r>
          </w:p>
        </w:tc>
        <w:tc>
          <w:tcPr>
            <w:tcW w:w="2700" w:type="dxa"/>
          </w:tcPr>
          <w:p w14:paraId="6C8FCF8A">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路域环境整治资金</w:t>
            </w:r>
          </w:p>
        </w:tc>
        <w:tc>
          <w:tcPr>
            <w:tcW w:w="825" w:type="dxa"/>
            <w:vAlign w:val="top"/>
          </w:tcPr>
          <w:p w14:paraId="0444FE24">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40</w:t>
            </w:r>
          </w:p>
        </w:tc>
        <w:tc>
          <w:tcPr>
            <w:tcW w:w="1110" w:type="dxa"/>
            <w:vAlign w:val="top"/>
          </w:tcPr>
          <w:p w14:paraId="3755902F">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990" w:type="dxa"/>
            <w:vAlign w:val="top"/>
          </w:tcPr>
          <w:p w14:paraId="2B36B9CD">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38</w:t>
            </w:r>
          </w:p>
        </w:tc>
        <w:tc>
          <w:tcPr>
            <w:tcW w:w="1080" w:type="dxa"/>
            <w:vAlign w:val="top"/>
          </w:tcPr>
          <w:p w14:paraId="6674E6AF">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810" w:type="dxa"/>
            <w:vAlign w:val="top"/>
          </w:tcPr>
          <w:p w14:paraId="357231E9">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14:paraId="5FFFDB33">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4DD10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2" w:hRule="atLeast"/>
        </w:trPr>
        <w:tc>
          <w:tcPr>
            <w:tcW w:w="480" w:type="dxa"/>
          </w:tcPr>
          <w:p w14:paraId="0753D0E4">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10</w:t>
            </w:r>
          </w:p>
        </w:tc>
        <w:tc>
          <w:tcPr>
            <w:tcW w:w="2700" w:type="dxa"/>
          </w:tcPr>
          <w:p w14:paraId="019145E4">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农村独生子女费</w:t>
            </w:r>
          </w:p>
        </w:tc>
        <w:tc>
          <w:tcPr>
            <w:tcW w:w="825" w:type="dxa"/>
            <w:vAlign w:val="top"/>
          </w:tcPr>
          <w:p w14:paraId="71955CFB">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110" w:type="dxa"/>
            <w:vAlign w:val="top"/>
          </w:tcPr>
          <w:p w14:paraId="322D8C46">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90" w:type="dxa"/>
            <w:vAlign w:val="top"/>
          </w:tcPr>
          <w:p w14:paraId="32B738B8">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37</w:t>
            </w:r>
          </w:p>
        </w:tc>
        <w:tc>
          <w:tcPr>
            <w:tcW w:w="1080" w:type="dxa"/>
            <w:vAlign w:val="top"/>
          </w:tcPr>
          <w:p w14:paraId="5D54B5FA">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14:paraId="300F99D1">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95</w:t>
            </w:r>
          </w:p>
        </w:tc>
        <w:tc>
          <w:tcPr>
            <w:tcW w:w="780" w:type="dxa"/>
            <w:vAlign w:val="top"/>
          </w:tcPr>
          <w:p w14:paraId="4882595D">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35FE3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14:paraId="526622C8">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11</w:t>
            </w:r>
          </w:p>
        </w:tc>
        <w:tc>
          <w:tcPr>
            <w:tcW w:w="2700" w:type="dxa"/>
          </w:tcPr>
          <w:p w14:paraId="06C7881A">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人居环境整治经费</w:t>
            </w:r>
          </w:p>
        </w:tc>
        <w:tc>
          <w:tcPr>
            <w:tcW w:w="825" w:type="dxa"/>
            <w:vAlign w:val="top"/>
          </w:tcPr>
          <w:p w14:paraId="3A6CD311">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38</w:t>
            </w:r>
          </w:p>
        </w:tc>
        <w:tc>
          <w:tcPr>
            <w:tcW w:w="1110" w:type="dxa"/>
            <w:vAlign w:val="top"/>
          </w:tcPr>
          <w:p w14:paraId="22C7BD34">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990" w:type="dxa"/>
            <w:vAlign w:val="top"/>
          </w:tcPr>
          <w:p w14:paraId="5BE782FB">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40</w:t>
            </w:r>
          </w:p>
        </w:tc>
        <w:tc>
          <w:tcPr>
            <w:tcW w:w="1080" w:type="dxa"/>
            <w:vAlign w:val="top"/>
          </w:tcPr>
          <w:p w14:paraId="23066F42">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14:paraId="35B4CF4D">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14:paraId="0F66227C">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24B8E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14:paraId="3FC74E46">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12</w:t>
            </w:r>
          </w:p>
        </w:tc>
        <w:tc>
          <w:tcPr>
            <w:tcW w:w="2700" w:type="dxa"/>
          </w:tcPr>
          <w:p w14:paraId="1A4AF457">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原经贸系统关闭企业下放回乡的合同工、副业工涉军人员生活补贴</w:t>
            </w:r>
          </w:p>
        </w:tc>
        <w:tc>
          <w:tcPr>
            <w:tcW w:w="825" w:type="dxa"/>
            <w:vAlign w:val="top"/>
          </w:tcPr>
          <w:p w14:paraId="433250D7">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40</w:t>
            </w:r>
          </w:p>
        </w:tc>
        <w:tc>
          <w:tcPr>
            <w:tcW w:w="1110" w:type="dxa"/>
            <w:vAlign w:val="top"/>
          </w:tcPr>
          <w:p w14:paraId="6F026CB7">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990" w:type="dxa"/>
            <w:vAlign w:val="top"/>
          </w:tcPr>
          <w:p w14:paraId="00AEE18B">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38</w:t>
            </w:r>
          </w:p>
        </w:tc>
        <w:tc>
          <w:tcPr>
            <w:tcW w:w="1080" w:type="dxa"/>
            <w:vAlign w:val="top"/>
          </w:tcPr>
          <w:p w14:paraId="45A0CD54">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810" w:type="dxa"/>
            <w:vAlign w:val="top"/>
          </w:tcPr>
          <w:p w14:paraId="380078AB">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98</w:t>
            </w:r>
          </w:p>
        </w:tc>
        <w:tc>
          <w:tcPr>
            <w:tcW w:w="780" w:type="dxa"/>
            <w:vAlign w:val="top"/>
          </w:tcPr>
          <w:p w14:paraId="6EBDEAB2">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1D0FF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14:paraId="0C8CBACC">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13</w:t>
            </w:r>
          </w:p>
        </w:tc>
        <w:tc>
          <w:tcPr>
            <w:tcW w:w="2700" w:type="dxa"/>
          </w:tcPr>
          <w:p w14:paraId="7D966D10">
            <w:pPr>
              <w:pStyle w:val="13"/>
              <w:tabs>
                <w:tab w:val="left" w:pos="659"/>
              </w:tabs>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综合工作经费</w:t>
            </w:r>
          </w:p>
        </w:tc>
        <w:tc>
          <w:tcPr>
            <w:tcW w:w="825" w:type="dxa"/>
            <w:vAlign w:val="top"/>
          </w:tcPr>
          <w:p w14:paraId="46A0F2DE">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40</w:t>
            </w:r>
          </w:p>
        </w:tc>
        <w:tc>
          <w:tcPr>
            <w:tcW w:w="1110" w:type="dxa"/>
            <w:vAlign w:val="top"/>
          </w:tcPr>
          <w:p w14:paraId="44645281">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10</w:t>
            </w:r>
          </w:p>
        </w:tc>
        <w:tc>
          <w:tcPr>
            <w:tcW w:w="990" w:type="dxa"/>
            <w:vAlign w:val="top"/>
          </w:tcPr>
          <w:p w14:paraId="631DF5CD">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38</w:t>
            </w:r>
          </w:p>
        </w:tc>
        <w:tc>
          <w:tcPr>
            <w:tcW w:w="1080" w:type="dxa"/>
            <w:vAlign w:val="top"/>
          </w:tcPr>
          <w:p w14:paraId="6D895492">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8</w:t>
            </w:r>
          </w:p>
        </w:tc>
        <w:tc>
          <w:tcPr>
            <w:tcW w:w="810" w:type="dxa"/>
            <w:vAlign w:val="top"/>
          </w:tcPr>
          <w:p w14:paraId="1DBBE1BF">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cs="宋体"/>
                <w:color w:val="000000"/>
                <w:kern w:val="0"/>
                <w:sz w:val="21"/>
                <w:szCs w:val="21"/>
                <w:vertAlign w:val="baseline"/>
                <w:lang w:val="en-US" w:eastAsia="zh-CN" w:bidi="ar-SA"/>
              </w:rPr>
              <w:t>96</w:t>
            </w:r>
          </w:p>
        </w:tc>
        <w:tc>
          <w:tcPr>
            <w:tcW w:w="780" w:type="dxa"/>
            <w:vAlign w:val="top"/>
          </w:tcPr>
          <w:p w14:paraId="2D04E606">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r w14:paraId="45D65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 w:type="dxa"/>
          </w:tcPr>
          <w:p w14:paraId="74EA9E17">
            <w:pPr>
              <w:pStyle w:val="13"/>
              <w:snapToGrid w:val="0"/>
              <w:spacing w:beforeLines="50" w:afterLines="50" w:line="360" w:lineRule="auto"/>
              <w:jc w:val="both"/>
              <w:rPr>
                <w:rFonts w:hint="default" w:ascii="仿宋_GB2312" w:eastAsia="仿宋_GB2312"/>
                <w:sz w:val="21"/>
                <w:szCs w:val="21"/>
                <w:vertAlign w:val="baseline"/>
                <w:lang w:val="en-US" w:eastAsia="zh-CN"/>
              </w:rPr>
            </w:pPr>
            <w:r>
              <w:rPr>
                <w:rFonts w:hint="eastAsia" w:ascii="仿宋_GB2312" w:eastAsia="仿宋_GB2312"/>
                <w:sz w:val="21"/>
                <w:szCs w:val="21"/>
                <w:vertAlign w:val="baseline"/>
                <w:lang w:val="en-US" w:eastAsia="zh-CN"/>
              </w:rPr>
              <w:t>14</w:t>
            </w:r>
          </w:p>
        </w:tc>
        <w:tc>
          <w:tcPr>
            <w:tcW w:w="2700" w:type="dxa"/>
          </w:tcPr>
          <w:p w14:paraId="640F0796">
            <w:pPr>
              <w:pStyle w:val="13"/>
              <w:snapToGrid w:val="0"/>
              <w:spacing w:beforeLines="50" w:afterLines="50" w:line="360" w:lineRule="auto"/>
              <w:jc w:val="both"/>
              <w:rPr>
                <w:rFonts w:hint="eastAsia" w:ascii="仿宋_GB2312" w:eastAsia="仿宋_GB2312"/>
                <w:sz w:val="21"/>
                <w:szCs w:val="21"/>
                <w:vertAlign w:val="baseline"/>
                <w:lang w:eastAsia="zh-CN"/>
              </w:rPr>
            </w:pPr>
            <w:r>
              <w:rPr>
                <w:rFonts w:hint="eastAsia" w:ascii="仿宋_GB2312" w:eastAsia="仿宋_GB2312"/>
                <w:sz w:val="21"/>
                <w:szCs w:val="21"/>
                <w:vertAlign w:val="baseline"/>
                <w:lang w:eastAsia="zh-CN"/>
              </w:rPr>
              <w:t>综合工作经费</w:t>
            </w:r>
          </w:p>
        </w:tc>
        <w:tc>
          <w:tcPr>
            <w:tcW w:w="825" w:type="dxa"/>
            <w:vAlign w:val="top"/>
          </w:tcPr>
          <w:p w14:paraId="3BA3A7B6">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40</w:t>
            </w:r>
          </w:p>
        </w:tc>
        <w:tc>
          <w:tcPr>
            <w:tcW w:w="1110" w:type="dxa"/>
            <w:vAlign w:val="top"/>
          </w:tcPr>
          <w:p w14:paraId="0357A591">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10</w:t>
            </w:r>
          </w:p>
        </w:tc>
        <w:tc>
          <w:tcPr>
            <w:tcW w:w="990" w:type="dxa"/>
            <w:vAlign w:val="top"/>
          </w:tcPr>
          <w:p w14:paraId="645EA5BB">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36</w:t>
            </w:r>
          </w:p>
        </w:tc>
        <w:tc>
          <w:tcPr>
            <w:tcW w:w="1080" w:type="dxa"/>
            <w:vAlign w:val="top"/>
          </w:tcPr>
          <w:p w14:paraId="12073AD4">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8</w:t>
            </w:r>
          </w:p>
        </w:tc>
        <w:tc>
          <w:tcPr>
            <w:tcW w:w="810" w:type="dxa"/>
            <w:vAlign w:val="top"/>
          </w:tcPr>
          <w:p w14:paraId="1E8E553B">
            <w:pPr>
              <w:pStyle w:val="13"/>
              <w:snapToGrid w:val="0"/>
              <w:spacing w:beforeLines="50" w:afterLines="50" w:line="360" w:lineRule="auto"/>
              <w:jc w:val="both"/>
              <w:rPr>
                <w:rFonts w:hint="default"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94</w:t>
            </w:r>
          </w:p>
        </w:tc>
        <w:tc>
          <w:tcPr>
            <w:tcW w:w="780" w:type="dxa"/>
            <w:vAlign w:val="top"/>
          </w:tcPr>
          <w:p w14:paraId="2B255BD2">
            <w:pPr>
              <w:pStyle w:val="13"/>
              <w:snapToGrid w:val="0"/>
              <w:spacing w:beforeLines="50" w:afterLines="50" w:line="360" w:lineRule="auto"/>
              <w:jc w:val="both"/>
              <w:rPr>
                <w:rFonts w:hint="eastAsia" w:ascii="仿宋_GB2312" w:hAnsi="宋体" w:eastAsia="仿宋_GB2312" w:cs="宋体"/>
                <w:color w:val="000000"/>
                <w:kern w:val="0"/>
                <w:sz w:val="21"/>
                <w:szCs w:val="21"/>
                <w:vertAlign w:val="baseline"/>
                <w:lang w:val="en-US" w:eastAsia="zh-CN" w:bidi="ar-SA"/>
              </w:rPr>
            </w:pPr>
            <w:r>
              <w:rPr>
                <w:rFonts w:hint="eastAsia" w:ascii="仿宋_GB2312" w:eastAsia="仿宋_GB2312"/>
                <w:sz w:val="21"/>
                <w:szCs w:val="21"/>
                <w:vertAlign w:val="baseline"/>
                <w:lang w:val="en-US" w:eastAsia="zh-CN"/>
              </w:rPr>
              <w:t>优秀</w:t>
            </w:r>
          </w:p>
        </w:tc>
      </w:tr>
    </w:tbl>
    <w:p w14:paraId="10AC431A">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textAlignment w:val="auto"/>
        <w:outlineLvl w:val="9"/>
        <w:rPr>
          <w:rFonts w:hint="eastAsia" w:ascii="黑体" w:hAnsi="黑体" w:eastAsia="黑体" w:cs="黑体"/>
          <w:sz w:val="32"/>
          <w:szCs w:val="32"/>
          <w:lang w:eastAsia="zh-CN"/>
        </w:rPr>
      </w:pPr>
    </w:p>
    <w:p w14:paraId="5D3BAAB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630" w:leftChars="0" w:right="0" w:right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val="en-US" w:eastAsia="zh-CN"/>
        </w:rPr>
        <w:t>四、</w:t>
      </w:r>
      <w:r>
        <w:rPr>
          <w:rFonts w:hint="eastAsia" w:ascii="黑体" w:hAnsi="黑体" w:eastAsia="黑体" w:cs="黑体"/>
          <w:sz w:val="32"/>
          <w:szCs w:val="32"/>
          <w:lang w:eastAsia="zh-CN"/>
        </w:rPr>
        <w:t>评价结论和评价等级</w:t>
      </w:r>
    </w:p>
    <w:p w14:paraId="19BFE809">
      <w:pPr>
        <w:widowControl w:val="0"/>
        <w:numPr>
          <w:ilvl w:val="0"/>
          <w:numId w:val="0"/>
        </w:numPr>
        <w:wordWrap/>
        <w:adjustRightInd/>
        <w:snapToGrid w:val="0"/>
        <w:spacing w:line="560" w:lineRule="exact"/>
        <w:ind w:left="630" w:leftChars="0" w:right="0" w:rightChars="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综合评价常安镇人民政府2024年评价等级为优秀</w:t>
      </w:r>
    </w:p>
    <w:p w14:paraId="02CBA0FE">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577BB89A">
      <w:pPr>
        <w:keepNext w:val="0"/>
        <w:keepLines w:val="0"/>
        <w:pageBreakBefore w:val="0"/>
        <w:widowControl w:val="0"/>
        <w:numPr>
          <w:ilvl w:val="0"/>
          <w:numId w:val="5"/>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752130D4">
      <w:pPr>
        <w:widowControl w:val="0"/>
        <w:numPr>
          <w:ilvl w:val="0"/>
          <w:numId w:val="0"/>
        </w:numPr>
        <w:wordWrap/>
        <w:adjustRightInd/>
        <w:snapToGrid w:val="0"/>
        <w:spacing w:line="560" w:lineRule="exact"/>
        <w:ind w:left="630" w:leftChars="0" w:right="0" w:rightChars="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预算执行跟踪情况不到位</w:t>
      </w:r>
    </w:p>
    <w:p w14:paraId="6386E52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14:paraId="20CBA8C5">
      <w:pPr>
        <w:widowControl w:val="0"/>
        <w:numPr>
          <w:ilvl w:val="0"/>
          <w:numId w:val="0"/>
        </w:numPr>
        <w:wordWrap/>
        <w:adjustRightInd/>
        <w:snapToGrid w:val="0"/>
        <w:spacing w:line="560" w:lineRule="exact"/>
        <w:ind w:left="630" w:leftChars="0" w:right="0" w:rightChars="0" w:firstLine="640" w:firstLineChars="200"/>
        <w:textAlignment w:val="auto"/>
        <w:outlineLvl w:val="9"/>
        <w:rPr>
          <w:rFonts w:hint="eastAsia" w:ascii="楷体_GB2312" w:hAnsi="楷体_GB2312" w:eastAsia="楷体_GB2312" w:cs="楷体_GB2312"/>
          <w:bCs/>
          <w:sz w:val="32"/>
          <w:szCs w:val="32"/>
        </w:rPr>
      </w:pPr>
      <w:r>
        <w:rPr>
          <w:rFonts w:hint="eastAsia" w:ascii="仿宋" w:hAnsi="仿宋" w:eastAsia="仿宋"/>
          <w:sz w:val="32"/>
          <w:szCs w:val="32"/>
        </w:rPr>
        <w:t>接下来的项目中我单位将</w:t>
      </w:r>
      <w:r>
        <w:rPr>
          <w:rFonts w:hint="eastAsia" w:ascii="仿宋" w:hAnsi="仿宋" w:eastAsia="仿宋" w:cs="仿宋"/>
          <w:kern w:val="0"/>
          <w:sz w:val="32"/>
          <w:szCs w:val="32"/>
          <w:lang w:val="zh-CN"/>
        </w:rPr>
        <w:t>健全制度、完善政策、改进管理、优化</w:t>
      </w:r>
      <w:r>
        <w:rPr>
          <w:rFonts w:hint="eastAsia" w:ascii="仿宋" w:hAnsi="仿宋" w:eastAsia="仿宋" w:cs="仿宋"/>
          <w:sz w:val="32"/>
          <w:szCs w:val="32"/>
        </w:rPr>
        <w:t>流程</w:t>
      </w:r>
      <w:r>
        <w:rPr>
          <w:rFonts w:hint="eastAsia" w:ascii="仿宋" w:hAnsi="仿宋" w:eastAsia="仿宋" w:cs="仿宋"/>
          <w:sz w:val="32"/>
          <w:szCs w:val="32"/>
          <w:lang w:eastAsia="zh-CN"/>
        </w:rPr>
        <w:t>，</w:t>
      </w:r>
      <w:r>
        <w:rPr>
          <w:rFonts w:hint="eastAsia" w:ascii="仿宋" w:hAnsi="仿宋" w:eastAsia="仿宋"/>
          <w:sz w:val="32"/>
          <w:szCs w:val="32"/>
        </w:rPr>
        <w:t>尽量做到科学、合理的分配资金，在财政资金按时到位的情况下，有序进行各项工作，以确保各项工作保质完成。</w:t>
      </w:r>
    </w:p>
    <w:p w14:paraId="24DEDF7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14:paraId="25A3F53D">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89"/>
        <w:gridCol w:w="2265"/>
        <w:gridCol w:w="2867"/>
      </w:tblGrid>
      <w:tr w14:paraId="0743F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589" w:type="dxa"/>
          </w:tcPr>
          <w:p w14:paraId="6351A363">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工作单位</w:t>
            </w:r>
          </w:p>
        </w:tc>
        <w:tc>
          <w:tcPr>
            <w:tcW w:w="2265" w:type="dxa"/>
          </w:tcPr>
          <w:p w14:paraId="34FBA702">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rPr>
              <w:t>职务</w:t>
            </w:r>
            <w:r>
              <w:rPr>
                <w:rFonts w:hint="eastAsia" w:ascii="仿宋_GB2312" w:hAnsi="仿宋" w:eastAsia="仿宋_GB2312" w:cs="仿宋_GB2312"/>
                <w:sz w:val="32"/>
                <w:szCs w:val="32"/>
                <w:lang w:val="en-US" w:eastAsia="zh-CN"/>
              </w:rPr>
              <w:t>/职称</w:t>
            </w:r>
          </w:p>
        </w:tc>
        <w:tc>
          <w:tcPr>
            <w:tcW w:w="2867" w:type="dxa"/>
          </w:tcPr>
          <w:p w14:paraId="4F8E0212">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姓名</w:t>
            </w:r>
          </w:p>
        </w:tc>
      </w:tr>
      <w:tr w14:paraId="165D2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restart"/>
            <w:vAlign w:val="center"/>
          </w:tcPr>
          <w:p w14:paraId="707B797B">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石家庄市藁城区常安镇人民政府</w:t>
            </w:r>
          </w:p>
          <w:p w14:paraId="5075064D">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p>
        </w:tc>
        <w:tc>
          <w:tcPr>
            <w:tcW w:w="2265" w:type="dxa"/>
            <w:tcBorders>
              <w:left w:val="single" w:color="auto" w:sz="4" w:space="0"/>
            </w:tcBorders>
          </w:tcPr>
          <w:p w14:paraId="0E148BEA">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镇长</w:t>
            </w:r>
          </w:p>
        </w:tc>
        <w:tc>
          <w:tcPr>
            <w:tcW w:w="2867" w:type="dxa"/>
            <w:tcBorders>
              <w:left w:val="single" w:color="auto" w:sz="4" w:space="0"/>
            </w:tcBorders>
          </w:tcPr>
          <w:p w14:paraId="774C8A25">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兰禾</w:t>
            </w:r>
          </w:p>
        </w:tc>
      </w:tr>
      <w:tr w14:paraId="615C0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6DA22EAA"/>
        </w:tc>
        <w:tc>
          <w:tcPr>
            <w:tcW w:w="2265" w:type="dxa"/>
            <w:tcBorders>
              <w:left w:val="single" w:color="auto" w:sz="4" w:space="0"/>
            </w:tcBorders>
          </w:tcPr>
          <w:p w14:paraId="2F1C5266">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宋体" w:eastAsia="仿宋_GB2312" w:cs="宋体"/>
                <w:color w:val="000000"/>
                <w:kern w:val="0"/>
                <w:sz w:val="32"/>
                <w:szCs w:val="32"/>
              </w:rPr>
              <w:t>纪检书记</w:t>
            </w:r>
          </w:p>
        </w:tc>
        <w:tc>
          <w:tcPr>
            <w:tcW w:w="2867" w:type="dxa"/>
            <w:tcBorders>
              <w:left w:val="single" w:color="auto" w:sz="4" w:space="0"/>
            </w:tcBorders>
          </w:tcPr>
          <w:p w14:paraId="6DC5EF57">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盖梦瑶</w:t>
            </w:r>
          </w:p>
        </w:tc>
      </w:tr>
      <w:tr w14:paraId="50602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5787C626"/>
        </w:tc>
        <w:tc>
          <w:tcPr>
            <w:tcW w:w="2265" w:type="dxa"/>
            <w:tcBorders>
              <w:left w:val="single" w:color="auto" w:sz="4" w:space="0"/>
            </w:tcBorders>
          </w:tcPr>
          <w:p w14:paraId="700DDD15">
            <w:pPr>
              <w:pBdr>
                <w:top w:val="none" w:color="auto" w:sz="0" w:space="0"/>
                <w:left w:val="none" w:color="auto" w:sz="0" w:space="0"/>
                <w:bottom w:val="none" w:color="auto" w:sz="0" w:space="0"/>
                <w:right w:val="none" w:color="auto" w:sz="0" w:space="0"/>
              </w:pBdr>
              <w:wordWrap/>
              <w:spacing w:line="560" w:lineRule="exact"/>
              <w:ind w:left="0"/>
              <w:jc w:val="center"/>
              <w:rPr>
                <w:rFonts w:ascii="仿宋_GB2312" w:hAnsi="仿宋" w:eastAsia="仿宋_GB2312" w:cs="仿宋_GB2312"/>
                <w:sz w:val="32"/>
                <w:szCs w:val="32"/>
              </w:rPr>
            </w:pPr>
            <w:r>
              <w:rPr>
                <w:rFonts w:hint="eastAsia" w:ascii="仿宋_GB2312" w:hAnsi="宋体" w:eastAsia="仿宋_GB2312" w:cs="宋体"/>
                <w:color w:val="000000"/>
                <w:kern w:val="0"/>
                <w:sz w:val="32"/>
                <w:szCs w:val="32"/>
                <w:lang w:val="en-US" w:eastAsia="zh-CN"/>
              </w:rPr>
              <w:t>人大</w:t>
            </w:r>
            <w:r>
              <w:rPr>
                <w:rFonts w:hint="eastAsia" w:ascii="仿宋_GB2312" w:hAnsi="宋体" w:eastAsia="仿宋_GB2312" w:cs="宋体"/>
                <w:color w:val="000000"/>
                <w:kern w:val="0"/>
                <w:sz w:val="32"/>
                <w:szCs w:val="32"/>
              </w:rPr>
              <w:t>主席</w:t>
            </w:r>
          </w:p>
        </w:tc>
        <w:tc>
          <w:tcPr>
            <w:tcW w:w="2867" w:type="dxa"/>
            <w:tcBorders>
              <w:left w:val="single" w:color="auto" w:sz="4" w:space="0"/>
            </w:tcBorders>
          </w:tcPr>
          <w:p w14:paraId="41311338">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赵晓磊</w:t>
            </w:r>
          </w:p>
        </w:tc>
      </w:tr>
      <w:tr w14:paraId="1D931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4EC61911"/>
        </w:tc>
        <w:tc>
          <w:tcPr>
            <w:tcW w:w="2265" w:type="dxa"/>
            <w:tcBorders>
              <w:left w:val="single" w:color="auto" w:sz="4" w:space="0"/>
            </w:tcBorders>
          </w:tcPr>
          <w:p w14:paraId="73D47610">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宋体" w:eastAsia="仿宋_GB2312" w:cs="宋体"/>
                <w:color w:val="000000"/>
                <w:kern w:val="0"/>
                <w:sz w:val="32"/>
                <w:szCs w:val="32"/>
                <w:lang w:val="en-US" w:eastAsia="zh-CN"/>
              </w:rPr>
            </w:pPr>
            <w:r>
              <w:rPr>
                <w:rFonts w:hint="eastAsia" w:ascii="仿宋_GB2312" w:hAnsi="宋体" w:eastAsia="仿宋_GB2312" w:cs="宋体"/>
                <w:color w:val="auto"/>
                <w:kern w:val="0"/>
                <w:sz w:val="32"/>
                <w:szCs w:val="32"/>
                <w:lang w:val="en-US" w:eastAsia="zh-CN" w:bidi="ar-SA"/>
              </w:rPr>
              <w:t>副镇长</w:t>
            </w:r>
          </w:p>
        </w:tc>
        <w:tc>
          <w:tcPr>
            <w:tcW w:w="2867" w:type="dxa"/>
            <w:tcBorders>
              <w:left w:val="single" w:color="auto" w:sz="4" w:space="0"/>
            </w:tcBorders>
          </w:tcPr>
          <w:p w14:paraId="4B531862">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刘玉净</w:t>
            </w:r>
          </w:p>
        </w:tc>
      </w:tr>
      <w:tr w14:paraId="216C1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64D598F2"/>
        </w:tc>
        <w:tc>
          <w:tcPr>
            <w:tcW w:w="2265" w:type="dxa"/>
            <w:tcBorders>
              <w:left w:val="single" w:color="auto" w:sz="4" w:space="0"/>
            </w:tcBorders>
          </w:tcPr>
          <w:p w14:paraId="339D0DD3">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科员</w:t>
            </w:r>
          </w:p>
        </w:tc>
        <w:tc>
          <w:tcPr>
            <w:tcW w:w="2867" w:type="dxa"/>
            <w:tcBorders>
              <w:left w:val="single" w:color="auto" w:sz="4" w:space="0"/>
            </w:tcBorders>
          </w:tcPr>
          <w:p w14:paraId="44EC974C">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郭雨</w:t>
            </w:r>
          </w:p>
        </w:tc>
      </w:tr>
    </w:tbl>
    <w:p w14:paraId="4BFE0A1D">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EF59978-51A9-40C8-BEFB-A828A5EAB9F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embedRegular r:id="rId2" w:fontKey="{9A4A3641-0D29-4549-A31B-57CDAC5B2B62}"/>
  </w:font>
  <w:font w:name="仿宋_GB2312">
    <w:panose1 w:val="02010609030101010101"/>
    <w:charset w:val="86"/>
    <w:family w:val="auto"/>
    <w:pitch w:val="default"/>
    <w:sig w:usb0="00000001" w:usb1="080E0000" w:usb2="00000000" w:usb3="00000000" w:csb0="00040000" w:csb1="00000000"/>
    <w:embedRegular r:id="rId3" w:fontKey="{02B71034-B6F3-48FF-A603-BAE04EA62A54}"/>
  </w:font>
  <w:font w:name="楷体_GB2312">
    <w:panose1 w:val="02010609030101010101"/>
    <w:charset w:val="86"/>
    <w:family w:val="auto"/>
    <w:pitch w:val="default"/>
    <w:sig w:usb0="00000001" w:usb1="080E0000" w:usb2="00000000" w:usb3="00000000" w:csb0="00040000" w:csb1="00000000"/>
    <w:embedRegular r:id="rId4" w:fontKey="{2779EBFC-5B10-4C27-9BFD-60ED07D9A5EF}"/>
  </w:font>
  <w:font w:name="仿宋">
    <w:panose1 w:val="02010609060101010101"/>
    <w:charset w:val="86"/>
    <w:family w:val="auto"/>
    <w:pitch w:val="default"/>
    <w:sig w:usb0="800002BF" w:usb1="38CF7CFA" w:usb2="00000016" w:usb3="00000000" w:csb0="00040001" w:csb1="00000000"/>
    <w:embedRegular r:id="rId5" w:fontKey="{2F184641-8738-4711-9DF7-0A75140F6D4F}"/>
  </w:font>
  <w:font w:name="楷体">
    <w:panose1 w:val="02010609060101010101"/>
    <w:charset w:val="86"/>
    <w:family w:val="modern"/>
    <w:pitch w:val="default"/>
    <w:sig w:usb0="800002BF" w:usb1="38CF7CFA" w:usb2="00000016" w:usb3="00000000" w:csb0="00040001" w:csb1="00000000"/>
    <w:embedRegular r:id="rId6" w:fontKey="{C1B40C25-ED30-4379-8E8A-6E3C762404E5}"/>
  </w:font>
  <w:font w:name="WPSEMBED1">
    <w:panose1 w:val="02010609030101010101"/>
    <w:charset w:val="86"/>
    <w:family w:val="auto"/>
    <w:pitch w:val="default"/>
    <w:sig w:usb0="00000001" w:usb1="080E0000" w:usb2="00000000" w:usb3="00000000" w:csb0="00040000"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181E46">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14:paraId="72EDA9F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fill on="f" focussize="0,0"/>
              <v:stroke on="f" joinstyle="round"/>
              <v:imagedata o:title=""/>
              <o:lock v:ext="edit" aspectratio="f"/>
              <v:textbox inset="0mm,0mm,0mm,0mm" style="mso-fit-shape-to-text:t;">
                <w:txbxContent>
                  <w:p w14:paraId="72EDA9F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DF9ADD">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pPr>
        <w:ind w:left="-10"/>
      </w:pPr>
      <w:rPr>
        <w:rFonts w:hint="eastAsia"/>
      </w:rPr>
    </w:lvl>
  </w:abstractNum>
  <w:abstractNum w:abstractNumId="1">
    <w:nsid w:val="0F88FC51"/>
    <w:multiLevelType w:val="singleLevel"/>
    <w:tmpl w:val="0F88FC51"/>
    <w:lvl w:ilvl="0" w:tentative="0">
      <w:start w:val="2"/>
      <w:numFmt w:val="chineseCounting"/>
      <w:suff w:val="nothing"/>
      <w:lvlText w:val="（%1）"/>
      <w:lvlJc w:val="left"/>
      <w:rPr>
        <w:rFonts w:hint="eastAsia"/>
      </w:rPr>
    </w:lvl>
  </w:abstractNum>
  <w:abstractNum w:abstractNumId="2">
    <w:nsid w:val="12C5CC67"/>
    <w:multiLevelType w:val="singleLevel"/>
    <w:tmpl w:val="12C5CC67"/>
    <w:lvl w:ilvl="0" w:tentative="0">
      <w:start w:val="2"/>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abstractNum w:abstractNumId="4">
    <w:nsid w:val="66351749"/>
    <w:multiLevelType w:val="singleLevel"/>
    <w:tmpl w:val="66351749"/>
    <w:lvl w:ilvl="0" w:tentative="0">
      <w:start w:val="1"/>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doNotUseIndentAsNumberingTabStop/>
    <w:compatSetting w:name="compatibilityMode" w:uri="http://schemas.microsoft.com/office/word" w:val="14"/>
  </w:compat>
  <w:docVars>
    <w:docVar w:name="commondata" w:val="eyJoZGlkIjoiNGE2ZDVhYjFkNzNmZjA0ZTExM2M2ODcxZGVjNWRjNGEifQ=="/>
  </w:docVars>
  <w:rsids>
    <w:rsidRoot w:val="00000000"/>
    <w:rsid w:val="02B1196D"/>
    <w:rsid w:val="134F6B82"/>
    <w:rsid w:val="13955CCA"/>
    <w:rsid w:val="3DDE37D0"/>
    <w:rsid w:val="58B8456C"/>
    <w:rsid w:val="614F4EC5"/>
    <w:rsid w:val="69206851"/>
    <w:rsid w:val="72270532"/>
    <w:rsid w:val="7B6E11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heading 1 Char"/>
    <w:basedOn w:val="9"/>
    <w:link w:val="2"/>
    <w:qFormat/>
    <w:uiPriority w:val="0"/>
    <w:rPr>
      <w:rFonts w:ascii="Times New Roman" w:hAnsi="Times New Roman" w:eastAsia="宋体" w:cs="Times New Roman"/>
      <w:b/>
      <w:bCs/>
      <w:kern w:val="44"/>
      <w:sz w:val="44"/>
      <w:szCs w:val="44"/>
      <w:lang w:val="en-US" w:eastAsia="zh-CN" w:bidi="ar-SA"/>
    </w:rPr>
  </w:style>
  <w:style w:type="character" w:customStyle="1" w:styleId="11">
    <w:name w:val="heading 2 Char"/>
    <w:basedOn w:val="9"/>
    <w:link w:val="3"/>
    <w:qFormat/>
    <w:uiPriority w:val="0"/>
    <w:rPr>
      <w:rFonts w:ascii="Times New Roman" w:hAnsi="Times New Roman" w:eastAsia="黑体" w:cs="Times New Roman"/>
      <w:b/>
      <w:bCs/>
      <w:kern w:val="2"/>
      <w:sz w:val="32"/>
      <w:szCs w:val="32"/>
      <w:lang w:val="en-US" w:eastAsia="zh-CN" w:bidi="ar-SA"/>
    </w:rPr>
  </w:style>
  <w:style w:type="character" w:customStyle="1" w:styleId="12">
    <w:name w:val="heading 3 Char"/>
    <w:basedOn w:val="9"/>
    <w:link w:val="4"/>
    <w:qFormat/>
    <w:uiPriority w:val="0"/>
    <w:rPr>
      <w:rFonts w:ascii="Times New Roman" w:hAnsi="Times New Roman" w:eastAsia="宋体" w:cs="Times New Roman"/>
      <w:b/>
      <w:bCs/>
      <w:kern w:val="2"/>
      <w:sz w:val="32"/>
      <w:szCs w:val="32"/>
      <w:lang w:val="en-US" w:eastAsia="zh-CN" w:bidi="ar-SA"/>
    </w:rPr>
  </w:style>
  <w:style w:type="paragraph" w:customStyle="1" w:styleId="13">
    <w:name w:val="Default"/>
    <w:qFormat/>
    <w:uiPriority w:val="99"/>
    <w:pPr>
      <w:widowControl w:val="0"/>
      <w:autoSpaceDE w:val="0"/>
      <w:autoSpaceDN w:val="0"/>
      <w:adjustRightInd w:val="0"/>
    </w:pPr>
    <w:rPr>
      <w:rFonts w:ascii="宋体" w:hAnsi="宋体" w:eastAsia="宋体" w:cs="宋体"/>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5</Pages>
  <Words>1446</Words>
  <Characters>1538</Characters>
  <Lines>0</Lines>
  <Paragraphs>31</Paragraphs>
  <TotalTime>7</TotalTime>
  <ScaleCrop>false</ScaleCrop>
  <LinksUpToDate>false</LinksUpToDate>
  <CharactersWithSpaces>1540</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2025-08-20T07:23:53Z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293E0825822E440B897EC5932F0C8689</vt:lpwstr>
  </property>
  <property fmtid="{D5CDD505-2E9C-101B-9397-08002B2CF9AE}" pid="4" name="KSOTemplateDocerSaveRecord">
    <vt:lpwstr>eyJoZGlkIjoiYTRkZjYwODQyN2QxOTU4Mzc5MDkyZjcyNTA5NjE4M2QiLCJ1c2VySWQiOiIxNTUwMjQwMDk2In0=</vt:lpwstr>
  </property>
</Properties>
</file>