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0860DFB">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sz w:val="44"/>
          <w:szCs w:val="44"/>
          <w:lang w:val="en-US" w:eastAsia="zh-CN"/>
        </w:rPr>
        <w:t>藁城区兴安镇人民政府</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both"/>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lang w:eastAsia="zh-CN"/>
        </w:rPr>
        <w:t>贯彻落实</w:t>
      </w:r>
      <w:r>
        <w:rPr>
          <w:rFonts w:hint="eastAsia" w:ascii="方正仿宋_GB2312" w:hAnsi="方正仿宋_GB2312" w:eastAsia="方正仿宋_GB2312" w:cs="方正仿宋_GB2312"/>
          <w:sz w:val="32"/>
          <w:szCs w:val="32"/>
          <w:highlight w:val="none"/>
          <w:lang w:eastAsia="zh-CN"/>
        </w:rPr>
        <w:t>区委区政府</w:t>
      </w:r>
      <w:r>
        <w:rPr>
          <w:rFonts w:hint="eastAsia" w:ascii="方正仿宋_GB2312" w:hAnsi="方正仿宋_GB2312" w:eastAsia="方正仿宋_GB2312" w:cs="方正仿宋_GB2312"/>
          <w:sz w:val="32"/>
          <w:szCs w:val="32"/>
          <w:highlight w:val="none"/>
        </w:rPr>
        <w:t>《</w:t>
      </w:r>
      <w:r>
        <w:rPr>
          <w:rFonts w:hint="eastAsia" w:ascii="方正仿宋_GB2312" w:hAnsi="方正仿宋_GB2312" w:eastAsia="方正仿宋_GB2312" w:cs="方正仿宋_GB2312"/>
          <w:sz w:val="32"/>
          <w:szCs w:val="32"/>
          <w:highlight w:val="none"/>
          <w:lang w:eastAsia="zh-CN"/>
        </w:rPr>
        <w:t>关于全面落实预算绩效管理的实施意见</w:t>
      </w:r>
      <w:r>
        <w:rPr>
          <w:rFonts w:hint="eastAsia" w:ascii="方正仿宋_GB2312" w:hAnsi="方正仿宋_GB2312" w:eastAsia="方正仿宋_GB2312" w:cs="方正仿宋_GB2312"/>
          <w:sz w:val="32"/>
          <w:szCs w:val="32"/>
          <w:highlight w:val="none"/>
        </w:rPr>
        <w:t>》（</w:t>
      </w:r>
      <w:r>
        <w:rPr>
          <w:rFonts w:hint="eastAsia" w:ascii="方正仿宋_GB2312" w:hAnsi="方正仿宋_GB2312" w:eastAsia="方正仿宋_GB2312" w:cs="方正仿宋_GB2312"/>
          <w:sz w:val="32"/>
          <w:szCs w:val="32"/>
          <w:highlight w:val="none"/>
          <w:lang w:eastAsia="zh-CN"/>
        </w:rPr>
        <w:t>藁发</w:t>
      </w:r>
      <w:r>
        <w:rPr>
          <w:rFonts w:hint="eastAsia" w:ascii="方正仿宋_GB2312" w:hAnsi="方正仿宋_GB2312" w:eastAsia="方正仿宋_GB2312" w:cs="方正仿宋_GB2312"/>
          <w:sz w:val="32"/>
          <w:szCs w:val="32"/>
          <w:highlight w:val="none"/>
        </w:rPr>
        <w:t>〔</w:t>
      </w:r>
      <w:r>
        <w:rPr>
          <w:rFonts w:hint="eastAsia" w:ascii="方正仿宋_GB2312" w:hAnsi="方正仿宋_GB2312" w:eastAsia="方正仿宋_GB2312" w:cs="方正仿宋_GB2312"/>
          <w:sz w:val="32"/>
          <w:szCs w:val="32"/>
          <w:highlight w:val="none"/>
          <w:lang w:eastAsia="zh-CN"/>
        </w:rPr>
        <w:t>2019</w:t>
      </w:r>
      <w:r>
        <w:rPr>
          <w:rFonts w:hint="eastAsia" w:ascii="方正仿宋_GB2312" w:hAnsi="方正仿宋_GB2312" w:eastAsia="方正仿宋_GB2312" w:cs="方正仿宋_GB2312"/>
          <w:sz w:val="32"/>
          <w:szCs w:val="32"/>
          <w:highlight w:val="none"/>
        </w:rPr>
        <w:t>〕</w:t>
      </w:r>
      <w:r>
        <w:rPr>
          <w:rFonts w:hint="eastAsia" w:ascii="方正仿宋_GB2312" w:hAnsi="方正仿宋_GB2312" w:eastAsia="方正仿宋_GB2312" w:cs="方正仿宋_GB2312"/>
          <w:sz w:val="32"/>
          <w:szCs w:val="32"/>
          <w:highlight w:val="none"/>
          <w:lang w:val="en-US" w:eastAsia="zh-CN"/>
        </w:rPr>
        <w:t>9</w:t>
      </w:r>
      <w:r>
        <w:rPr>
          <w:rFonts w:hint="eastAsia" w:ascii="方正仿宋_GB2312" w:hAnsi="方正仿宋_GB2312" w:eastAsia="方正仿宋_GB2312" w:cs="方正仿宋_GB2312"/>
          <w:sz w:val="32"/>
          <w:szCs w:val="32"/>
          <w:highlight w:val="none"/>
        </w:rPr>
        <w:t>号）</w:t>
      </w:r>
      <w:r>
        <w:rPr>
          <w:rFonts w:hint="eastAsia" w:ascii="方正仿宋_GB2312" w:hAnsi="方正仿宋_GB2312" w:eastAsia="方正仿宋_GB2312" w:cs="方正仿宋_GB2312"/>
          <w:sz w:val="32"/>
          <w:szCs w:val="32"/>
          <w:highlight w:val="none"/>
          <w:lang w:eastAsia="zh-CN"/>
        </w:rPr>
        <w:t>文件精神</w:t>
      </w:r>
      <w:r>
        <w:rPr>
          <w:rFonts w:hint="eastAsia" w:ascii="方正仿宋_GB2312" w:hAnsi="方正仿宋_GB2312" w:eastAsia="方正仿宋_GB2312" w:cs="方正仿宋_GB2312"/>
          <w:sz w:val="32"/>
          <w:szCs w:val="32"/>
          <w:highlight w:val="none"/>
        </w:rPr>
        <w:t>，</w:t>
      </w:r>
      <w:r>
        <w:rPr>
          <w:rFonts w:hint="eastAsia" w:ascii="方正仿宋_GB2312" w:hAnsi="方正仿宋_GB2312" w:eastAsia="方正仿宋_GB2312" w:cs="方正仿宋_GB2312"/>
          <w:sz w:val="32"/>
          <w:szCs w:val="32"/>
        </w:rPr>
        <w:t>遵循“科学性、规范性、客观性和公正性”的原</w:t>
      </w:r>
      <w:r>
        <w:rPr>
          <w:rFonts w:hint="eastAsia" w:ascii="方正仿宋_GB2312" w:hAnsi="方正仿宋_GB2312" w:eastAsia="方正仿宋_GB2312" w:cs="方正仿宋_GB2312"/>
          <w:sz w:val="32"/>
          <w:szCs w:val="32"/>
          <w:highlight w:val="none"/>
          <w:lang w:eastAsia="zh-CN"/>
        </w:rPr>
        <w:t>则，对</w:t>
      </w:r>
      <w:r>
        <w:rPr>
          <w:rFonts w:hint="eastAsia" w:ascii="方正仿宋_GB2312" w:hAnsi="方正仿宋_GB2312" w:eastAsia="方正仿宋_GB2312" w:cs="方正仿宋_GB2312"/>
          <w:sz w:val="32"/>
          <w:szCs w:val="32"/>
          <w:lang w:val="en-US" w:eastAsia="zh-CN"/>
        </w:rPr>
        <w:t>藁城区兴安镇人民政府</w:t>
      </w:r>
      <w:r>
        <w:rPr>
          <w:rFonts w:hint="eastAsia" w:ascii="方正仿宋_GB2312" w:hAnsi="方正仿宋_GB2312" w:eastAsia="方正仿宋_GB2312" w:cs="方正仿宋_GB2312"/>
          <w:sz w:val="32"/>
          <w:szCs w:val="32"/>
          <w:highlight w:val="none"/>
          <w:lang w:eastAsia="zh-CN"/>
        </w:rPr>
        <w:t>202</w:t>
      </w:r>
      <w:r>
        <w:rPr>
          <w:rFonts w:hint="eastAsia" w:ascii="方正仿宋_GB2312" w:hAnsi="方正仿宋_GB2312" w:eastAsia="方正仿宋_GB2312" w:cs="方正仿宋_GB2312"/>
          <w:sz w:val="32"/>
          <w:szCs w:val="32"/>
          <w:highlight w:val="none"/>
          <w:lang w:val="en-US" w:eastAsia="zh-CN"/>
        </w:rPr>
        <w:t>4</w:t>
      </w:r>
      <w:r>
        <w:rPr>
          <w:rFonts w:hint="eastAsia" w:ascii="方正仿宋_GB2312" w:hAnsi="方正仿宋_GB2312" w:eastAsia="方正仿宋_GB2312" w:cs="方正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46F12F6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val="en-US" w:eastAsia="zh-CN"/>
        </w:rPr>
      </w:pPr>
      <w:r>
        <w:rPr>
          <w:rFonts w:hint="eastAsia" w:ascii="方正仿宋_GB2312" w:hAnsi="方正仿宋_GB2312" w:eastAsia="方正仿宋_GB2312" w:cs="方正仿宋_GB2312"/>
          <w:sz w:val="32"/>
          <w:szCs w:val="32"/>
          <w:highlight w:val="none"/>
          <w:lang w:val="en-US" w:eastAsia="zh-CN"/>
        </w:rPr>
        <w:t>1、机构设置</w:t>
      </w:r>
    </w:p>
    <w:tbl>
      <w:tblPr>
        <w:tblStyle w:val="7"/>
        <w:tblpPr w:leftFromText="180" w:rightFromText="180" w:vertAnchor="text" w:horzAnchor="page" w:tblpXSpec="center" w:tblpY="10"/>
        <w:tblOverlap w:val="never"/>
        <w:tblW w:w="98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0"/>
        <w:gridCol w:w="5625"/>
        <w:gridCol w:w="1743"/>
        <w:gridCol w:w="1502"/>
      </w:tblGrid>
      <w:tr w14:paraId="252FC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980" w:type="dxa"/>
            <w:tcBorders>
              <w:top w:val="nil"/>
              <w:left w:val="nil"/>
              <w:bottom w:val="single" w:color="auto" w:sz="4" w:space="0"/>
              <w:right w:val="single" w:color="auto" w:sz="4" w:space="0"/>
            </w:tcBorders>
            <w:noWrap w:val="0"/>
            <w:vAlign w:val="center"/>
          </w:tcPr>
          <w:p w14:paraId="4A623217">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rPr>
            </w:pPr>
            <w:r>
              <w:rPr>
                <w:rFonts w:hint="eastAsia" w:ascii="方正仿宋_GB2312" w:hAnsi="方正仿宋_GB2312" w:eastAsia="方正仿宋_GB2312" w:cs="方正仿宋_GB2312"/>
                <w:b w:val="0"/>
                <w:bCs w:val="0"/>
                <w:kern w:val="0"/>
                <w:sz w:val="32"/>
                <w:szCs w:val="32"/>
              </w:rPr>
              <w:t>序号</w:t>
            </w:r>
          </w:p>
        </w:tc>
        <w:tc>
          <w:tcPr>
            <w:tcW w:w="5625" w:type="dxa"/>
            <w:tcBorders>
              <w:top w:val="nil"/>
              <w:left w:val="single" w:color="auto" w:sz="4" w:space="0"/>
              <w:bottom w:val="single" w:color="auto" w:sz="4" w:space="0"/>
              <w:right w:val="single" w:color="auto" w:sz="4" w:space="0"/>
            </w:tcBorders>
            <w:noWrap w:val="0"/>
            <w:vAlign w:val="center"/>
          </w:tcPr>
          <w:p w14:paraId="44EABD06">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rPr>
            </w:pPr>
            <w:r>
              <w:rPr>
                <w:rFonts w:hint="eastAsia" w:ascii="方正仿宋_GB2312" w:hAnsi="方正仿宋_GB2312" w:eastAsia="方正仿宋_GB2312" w:cs="方正仿宋_GB2312"/>
                <w:b w:val="0"/>
                <w:bCs w:val="0"/>
                <w:kern w:val="0"/>
                <w:sz w:val="32"/>
                <w:szCs w:val="32"/>
              </w:rPr>
              <w:t>单位名称</w:t>
            </w:r>
          </w:p>
        </w:tc>
        <w:tc>
          <w:tcPr>
            <w:tcW w:w="1743" w:type="dxa"/>
            <w:tcBorders>
              <w:top w:val="nil"/>
              <w:left w:val="single" w:color="auto" w:sz="4" w:space="0"/>
              <w:bottom w:val="single" w:color="auto" w:sz="4" w:space="0"/>
              <w:right w:val="single" w:color="auto" w:sz="4" w:space="0"/>
            </w:tcBorders>
            <w:noWrap w:val="0"/>
            <w:vAlign w:val="center"/>
          </w:tcPr>
          <w:p w14:paraId="623222E4">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rPr>
            </w:pPr>
            <w:r>
              <w:rPr>
                <w:rFonts w:hint="eastAsia" w:ascii="方正仿宋_GB2312" w:hAnsi="方正仿宋_GB2312" w:eastAsia="方正仿宋_GB2312" w:cs="方正仿宋_GB2312"/>
                <w:b w:val="0"/>
                <w:bCs w:val="0"/>
                <w:kern w:val="0"/>
                <w:sz w:val="32"/>
                <w:szCs w:val="32"/>
              </w:rPr>
              <w:t>单位基本性质</w:t>
            </w:r>
          </w:p>
        </w:tc>
        <w:tc>
          <w:tcPr>
            <w:tcW w:w="1502" w:type="dxa"/>
            <w:tcBorders>
              <w:top w:val="nil"/>
              <w:left w:val="single" w:color="auto" w:sz="4" w:space="0"/>
              <w:bottom w:val="single" w:color="auto" w:sz="4" w:space="0"/>
              <w:right w:val="nil"/>
            </w:tcBorders>
            <w:noWrap w:val="0"/>
            <w:vAlign w:val="center"/>
          </w:tcPr>
          <w:p w14:paraId="1A0AF5DD">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rPr>
            </w:pPr>
            <w:r>
              <w:rPr>
                <w:rFonts w:hint="eastAsia" w:ascii="方正仿宋_GB2312" w:hAnsi="方正仿宋_GB2312" w:eastAsia="方正仿宋_GB2312" w:cs="方正仿宋_GB2312"/>
                <w:b w:val="0"/>
                <w:bCs w:val="0"/>
                <w:kern w:val="0"/>
                <w:sz w:val="32"/>
                <w:szCs w:val="32"/>
              </w:rPr>
              <w:t>经费形式</w:t>
            </w:r>
          </w:p>
        </w:tc>
      </w:tr>
      <w:tr w14:paraId="007C7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980" w:type="dxa"/>
            <w:tcBorders>
              <w:top w:val="single" w:color="auto" w:sz="4" w:space="0"/>
              <w:left w:val="nil"/>
              <w:bottom w:val="nil"/>
              <w:right w:val="single" w:color="auto" w:sz="4" w:space="0"/>
            </w:tcBorders>
            <w:noWrap w:val="0"/>
            <w:vAlign w:val="top"/>
          </w:tcPr>
          <w:p w14:paraId="0CAFAB25">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rPr>
            </w:pPr>
            <w:r>
              <w:rPr>
                <w:rFonts w:hint="eastAsia" w:ascii="方正仿宋_GB2312" w:hAnsi="方正仿宋_GB2312" w:eastAsia="方正仿宋_GB2312" w:cs="方正仿宋_GB2312"/>
                <w:b w:val="0"/>
                <w:bCs w:val="0"/>
                <w:kern w:val="0"/>
                <w:sz w:val="32"/>
                <w:szCs w:val="32"/>
              </w:rPr>
              <w:t>1</w:t>
            </w:r>
          </w:p>
        </w:tc>
        <w:tc>
          <w:tcPr>
            <w:tcW w:w="5625" w:type="dxa"/>
            <w:tcBorders>
              <w:top w:val="single" w:color="auto" w:sz="4" w:space="0"/>
              <w:left w:val="single" w:color="auto" w:sz="4" w:space="0"/>
              <w:bottom w:val="nil"/>
              <w:right w:val="single" w:color="auto" w:sz="4" w:space="0"/>
            </w:tcBorders>
            <w:noWrap w:val="0"/>
            <w:vAlign w:val="top"/>
          </w:tcPr>
          <w:p w14:paraId="056E9698">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rPr>
            </w:pPr>
            <w:r>
              <w:rPr>
                <w:rFonts w:hint="eastAsia" w:ascii="方正仿宋_GB2312" w:hAnsi="方正仿宋_GB2312" w:eastAsia="方正仿宋_GB2312" w:cs="方正仿宋_GB2312"/>
                <w:b w:val="0"/>
                <w:bCs w:val="0"/>
                <w:kern w:val="0"/>
                <w:sz w:val="32"/>
                <w:szCs w:val="32"/>
                <w:lang w:eastAsia="zh-CN"/>
              </w:rPr>
              <w:t>石家庄市藁城区兴安镇人民政府</w:t>
            </w:r>
            <w:r>
              <w:rPr>
                <w:rFonts w:hint="eastAsia" w:ascii="方正仿宋_GB2312" w:hAnsi="方正仿宋_GB2312" w:eastAsia="方正仿宋_GB2312" w:cs="方正仿宋_GB2312"/>
                <w:b w:val="0"/>
                <w:bCs w:val="0"/>
                <w:kern w:val="0"/>
                <w:sz w:val="32"/>
                <w:szCs w:val="32"/>
              </w:rPr>
              <w:t>(</w:t>
            </w:r>
            <w:r>
              <w:rPr>
                <w:rFonts w:hint="eastAsia" w:ascii="方正仿宋_GB2312" w:hAnsi="方正仿宋_GB2312" w:eastAsia="方正仿宋_GB2312" w:cs="方正仿宋_GB2312"/>
                <w:b w:val="0"/>
                <w:bCs w:val="0"/>
                <w:kern w:val="0"/>
                <w:sz w:val="32"/>
                <w:szCs w:val="32"/>
                <w:lang w:eastAsia="zh-CN"/>
              </w:rPr>
              <w:t>机关</w:t>
            </w:r>
            <w:r>
              <w:rPr>
                <w:rFonts w:hint="eastAsia" w:ascii="方正仿宋_GB2312" w:hAnsi="方正仿宋_GB2312" w:eastAsia="方正仿宋_GB2312" w:cs="方正仿宋_GB2312"/>
                <w:b w:val="0"/>
                <w:bCs w:val="0"/>
                <w:kern w:val="0"/>
                <w:sz w:val="32"/>
                <w:szCs w:val="32"/>
              </w:rPr>
              <w:t>)</w:t>
            </w:r>
          </w:p>
        </w:tc>
        <w:tc>
          <w:tcPr>
            <w:tcW w:w="1743" w:type="dxa"/>
            <w:tcBorders>
              <w:top w:val="single" w:color="auto" w:sz="4" w:space="0"/>
              <w:left w:val="single" w:color="auto" w:sz="4" w:space="0"/>
              <w:bottom w:val="nil"/>
              <w:right w:val="single" w:color="auto" w:sz="4" w:space="0"/>
            </w:tcBorders>
            <w:noWrap w:val="0"/>
            <w:vAlign w:val="top"/>
          </w:tcPr>
          <w:p w14:paraId="62D6F68F">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lang w:eastAsia="zh-CN"/>
              </w:rPr>
            </w:pPr>
            <w:r>
              <w:rPr>
                <w:rFonts w:hint="eastAsia" w:ascii="方正仿宋_GB2312" w:hAnsi="方正仿宋_GB2312" w:eastAsia="方正仿宋_GB2312" w:cs="方正仿宋_GB2312"/>
                <w:b w:val="0"/>
                <w:bCs w:val="0"/>
                <w:kern w:val="0"/>
                <w:sz w:val="32"/>
                <w:szCs w:val="32"/>
                <w:lang w:eastAsia="zh-CN"/>
              </w:rPr>
              <w:t>行政单位</w:t>
            </w:r>
          </w:p>
        </w:tc>
        <w:tc>
          <w:tcPr>
            <w:tcW w:w="1502" w:type="dxa"/>
            <w:tcBorders>
              <w:top w:val="single" w:color="auto" w:sz="4" w:space="0"/>
              <w:left w:val="single" w:color="auto" w:sz="4" w:space="0"/>
              <w:bottom w:val="nil"/>
              <w:right w:val="nil"/>
            </w:tcBorders>
            <w:noWrap w:val="0"/>
            <w:vAlign w:val="top"/>
          </w:tcPr>
          <w:p w14:paraId="4B429974">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方正仿宋_GB2312" w:hAnsi="方正仿宋_GB2312" w:eastAsia="方正仿宋_GB2312" w:cs="方正仿宋_GB2312"/>
                <w:b w:val="0"/>
                <w:bCs w:val="0"/>
                <w:kern w:val="0"/>
                <w:sz w:val="32"/>
                <w:szCs w:val="32"/>
                <w:lang w:eastAsia="zh-CN"/>
              </w:rPr>
            </w:pPr>
            <w:r>
              <w:rPr>
                <w:rFonts w:hint="eastAsia" w:ascii="方正仿宋_GB2312" w:hAnsi="方正仿宋_GB2312" w:eastAsia="方正仿宋_GB2312" w:cs="方正仿宋_GB2312"/>
                <w:b w:val="0"/>
                <w:bCs w:val="0"/>
                <w:kern w:val="0"/>
                <w:sz w:val="32"/>
                <w:szCs w:val="32"/>
                <w:lang w:eastAsia="zh-CN"/>
              </w:rPr>
              <w:t>财政拨款</w:t>
            </w:r>
          </w:p>
        </w:tc>
      </w:tr>
    </w:tbl>
    <w:p w14:paraId="7003FF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bCs/>
          <w:sz w:val="32"/>
          <w:szCs w:val="32"/>
          <w:lang w:val="en-US" w:eastAsia="zh-CN"/>
        </w:rPr>
      </w:pPr>
      <w:r>
        <w:rPr>
          <w:rFonts w:hint="eastAsia" w:ascii="方正仿宋_GB2312" w:hAnsi="方正仿宋_GB2312" w:eastAsia="方正仿宋_GB2312" w:cs="方正仿宋_GB2312"/>
          <w:bCs/>
          <w:sz w:val="32"/>
          <w:szCs w:val="32"/>
          <w:lang w:val="en-US" w:eastAsia="zh-CN"/>
        </w:rPr>
        <w:t>2、人员情况</w:t>
      </w:r>
    </w:p>
    <w:p w14:paraId="614A30A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2024年末本单位实有人数59人，其中财政拨款开支人员59人，离退休干部16人。</w:t>
      </w:r>
    </w:p>
    <w:p w14:paraId="2DE560B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3、石家庄市藁城区兴安镇主要职责是：</w:t>
      </w:r>
    </w:p>
    <w:p w14:paraId="5787DF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兴安镇主要围绕加强党的领导、夯实基层政权、促进经济发展、增加农民收入、优化公共服务、着力改善民生、强化社会治理、维护社会稳定、推进基层民主、促进农村和谐、改善生态环境、提升乡风文明等方面履行职能。</w:t>
      </w:r>
    </w:p>
    <w:p w14:paraId="35A121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1）宣传贯彻执行党的路线方针政策和党中央、上级党组织及本级镇党员代表大会（党员大会）的决议。贯彻执行法律、法规、规章和上级人民代表大会及其常务委员会决议及上级政府的决定、命令，执行本级人民代表大会的决议。</w:t>
      </w:r>
    </w:p>
    <w:p w14:paraId="50128CF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（2）讨论和决定本镇经济建设、政治建设、文化建设、社会建设、生态文明建设和党的建设以及乡村振兴中的重大问题。</w:t>
      </w:r>
    </w:p>
    <w:p w14:paraId="6985B65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（3）组织召开本级人民代表大会，充分行使重大事项的决定权、监督权和任免权，组好人大代表工作,联系选民、反映群众意见和要求。</w:t>
      </w:r>
    </w:p>
    <w:p w14:paraId="68C898E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4）执行本政区域内的经济和社会发展计划、预算，管理本行政区域内经济、教育、科学、文化、卫生健康、体育事业和财政、统计、民政、司法行政等行政工作。落实本行政区域内发展规划、专项规划、区域规划、国土空间规划。</w:t>
      </w:r>
    </w:p>
    <w:p w14:paraId="110068E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5）镇党委领导镇政权机关、群团组织和其他各类组织、加强指导和规范，支持和保证这些机关和组织按照国家法律法规以及各自章程履行职责。坚持党管武装的根本原则和制度，协调各方力量，对镇人民武装工作实行统一领导。</w:t>
      </w:r>
    </w:p>
    <w:p w14:paraId="026549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6）加强镇党委自身建设和村（社区）党组织建设，以及其他隶属镇党委的党组织建设，抓好发展党员工作，加强党员队伍建设。维护和执行党的纪律，监督党员干部和其他任何工作人员严格遵守国家法律法规。</w:t>
      </w:r>
    </w:p>
    <w:p w14:paraId="25BD506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（7）按照干部管理权限，负责对干部的教育、培训、选拔、考核和监督工作。协助管理上级有关部门驻本镇单位的干部。做好人才服务工作。</w:t>
      </w:r>
    </w:p>
    <w:p w14:paraId="1A1F389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8）领导本镇的基层治理，加强社会主义民主法制建设和精神文明建设，加强社会治安综合治理，做好应急管理、生态环境、乡村振兴、民生保障、防反贫、民族宗教、防范邪教等工作。承担民兵预备役、征兵、退役军人服务、拥军优属等工作。</w:t>
      </w:r>
    </w:p>
    <w:p w14:paraId="72996F0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9）保护社会主义的全民所有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5A5C36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val="en-US" w:eastAsia="zh-CN"/>
        </w:rPr>
        <w:t>（10）承办上级党委、人大、政府交办的其他事项。</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6CE2DD3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方正仿宋_GB2312" w:hAnsi="方正仿宋_GB2312" w:eastAsia="方正仿宋_GB2312" w:cs="方正仿宋_GB2312"/>
          <w:sz w:val="32"/>
          <w:szCs w:val="32"/>
          <w:lang w:val="en-US" w:eastAsia="zh-CN"/>
        </w:rPr>
        <w:t>2024年本镇预算安排2366.962126万元，决算支出2366.962126万元，其中基本支出1204.144669万元，包括人员经费1013.785069万元和日常公用经费190.3596万元，项目支出1162.817457万元。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E6DA37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坚持以习近平新时代中国特色社会主义思想为指导，全面贯彻党的二十大精神和认真贯彻落实省、市、区一系列决策部署。镇党委全面领导本镇的工作和基层社会治理，支持和保证行政组织，经济组织和群众自治组织充分行驶职权。镇人大加强基层政权，推进基层民主法治建设和政治文明建设。镇政府依法行驶行政职权，宣传贯彻党的路线方针政策和党员代表大会的决议，讨论和决定本镇经济建设、政治建设、文化建设、社会建设、生态文明建设和党的建设以及乡村振兴中的重大问题。</w:t>
      </w:r>
    </w:p>
    <w:p w14:paraId="7883862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全镇各部门团结带领全镇广大干部群众攻坚克难、砥砺奋进，坚持稳中求进、稳中求新，坚持深化改革、扩大开放，切实增强机遇意识、忧患意识、责任意识，统筹推进项目建设、乡村振兴、绿色发展、效能革命等重点工作，推动全镇高质量发展。</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5C34BD1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根据年度绩效考核工作总体要求，我单位严格按照上级部署，围绕“科学规范、客观公正、注重实效”的原则，扎实开展了绩效自评工作。现将相关情况汇报如下：</w:t>
      </w:r>
    </w:p>
    <w:p w14:paraId="2C2517D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为保证绩效管理工作的顺利开展，</w:t>
      </w:r>
      <w:r>
        <w:rPr>
          <w:rFonts w:hint="eastAsia" w:ascii="方正仿宋_GB2312" w:hAnsi="方正仿宋_GB2312" w:eastAsia="方正仿宋_GB2312" w:cs="方正仿宋_GB2312"/>
          <w:sz w:val="32"/>
          <w:szCs w:val="32"/>
          <w:highlight w:val="none"/>
          <w:lang w:val="en-US" w:eastAsia="zh-CN"/>
        </w:rPr>
        <w:t>成立</w:t>
      </w:r>
      <w:r>
        <w:rPr>
          <w:rFonts w:hint="eastAsia" w:ascii="方正仿宋_GB2312" w:hAnsi="方正仿宋_GB2312" w:eastAsia="方正仿宋_GB2312" w:cs="方正仿宋_GB2312"/>
          <w:sz w:val="32"/>
          <w:szCs w:val="32"/>
          <w:highlight w:val="none"/>
          <w:lang w:eastAsia="zh-CN"/>
        </w:rPr>
        <w:t>绩效管理工作领导小组，</w:t>
      </w:r>
      <w:r>
        <w:rPr>
          <w:rFonts w:hint="eastAsia" w:ascii="方正仿宋_GB2312" w:hAnsi="方正仿宋_GB2312" w:eastAsia="方正仿宋_GB2312" w:cs="方正仿宋_GB2312"/>
          <w:sz w:val="32"/>
          <w:szCs w:val="32"/>
          <w:highlight w:val="none"/>
          <w:lang w:val="en-US" w:eastAsia="zh-CN"/>
        </w:rPr>
        <w:t>由镇长何世冲同志任组长</w:t>
      </w:r>
      <w:r>
        <w:rPr>
          <w:rFonts w:hint="eastAsia" w:ascii="方正仿宋_GB2312" w:hAnsi="方正仿宋_GB2312" w:eastAsia="方正仿宋_GB2312" w:cs="方正仿宋_GB2312"/>
          <w:sz w:val="32"/>
          <w:szCs w:val="32"/>
          <w:highlight w:val="none"/>
          <w:lang w:eastAsia="zh-CN"/>
        </w:rPr>
        <w:t>，</w:t>
      </w:r>
      <w:r>
        <w:rPr>
          <w:rFonts w:hint="eastAsia" w:ascii="方正仿宋_GB2312" w:hAnsi="方正仿宋_GB2312" w:eastAsia="方正仿宋_GB2312" w:cs="方正仿宋_GB2312"/>
          <w:sz w:val="32"/>
          <w:szCs w:val="32"/>
          <w:highlight w:val="none"/>
          <w:lang w:val="en-US" w:eastAsia="zh-CN"/>
        </w:rPr>
        <w:t>各业务领导为副组长，安排财政人员</w:t>
      </w:r>
      <w:r>
        <w:rPr>
          <w:rFonts w:hint="eastAsia" w:ascii="方正仿宋_GB2312" w:hAnsi="方正仿宋_GB2312" w:eastAsia="方正仿宋_GB2312" w:cs="方正仿宋_GB2312"/>
          <w:sz w:val="32"/>
          <w:szCs w:val="32"/>
          <w:highlight w:val="none"/>
          <w:lang w:eastAsia="zh-CN"/>
        </w:rPr>
        <w:t>具体负责绩效管理工作，明确职责分工，统筹推进自评工作，</w:t>
      </w:r>
    </w:p>
    <w:p w14:paraId="3C7EE46A">
      <w:pPr>
        <w:keepNext w:val="0"/>
        <w:keepLines w:val="0"/>
        <w:pageBreakBefore w:val="0"/>
        <w:widowControl w:val="0"/>
        <w:kinsoku/>
        <w:wordWrap/>
        <w:overflowPunct/>
        <w:topLinePunct w:val="0"/>
        <w:autoSpaceDE/>
        <w:autoSpaceDN/>
        <w:bidi w:val="0"/>
        <w:spacing w:line="560" w:lineRule="exact"/>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细化评价标准、时间节点和任务分工，确保自评工作有序开展。</w:t>
      </w:r>
    </w:p>
    <w:p w14:paraId="3F3E815A">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专班负责收</w:t>
      </w:r>
      <w:r>
        <w:rPr>
          <w:rFonts w:hint="eastAsia" w:ascii="方正仿宋_GB2312" w:hAnsi="方正仿宋_GB2312" w:eastAsia="方正仿宋_GB2312" w:cs="方正仿宋_GB2312"/>
          <w:sz w:val="32"/>
          <w:szCs w:val="32"/>
          <w:highlight w:val="none"/>
          <w:lang w:eastAsia="zh-CN"/>
        </w:rPr>
        <w:t>集与整理依据绩效考核指标涵盖佐证材料等，各部门对照指标逐项自查，提交自评报告及佐证材料，专班同步开展资料审核，汇总自评结果，编制《绩效自评总报告》，督促整改落实。</w:t>
      </w:r>
    </w:p>
    <w:p w14:paraId="416C2E9C">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1420715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1、成立预算绩效评价小组。为保证绩效评价工作顺利开展，藁城区兴安镇人民政府成立了绩效评价领导小组，负责绩效评价的组织管理等工作。</w:t>
      </w:r>
    </w:p>
    <w:p w14:paraId="23A5510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2、组织开展自评。石家庄市藁城区兴安镇人民政府按照要求整理相关数据和资料，对部门综合绩效情况进行自我评价，由绩效评价领导小组牵头，组织</w:t>
      </w:r>
      <w:r>
        <w:rPr>
          <w:rFonts w:hint="eastAsia" w:ascii="方正仿宋_GB2312" w:hAnsi="方正仿宋_GB2312" w:eastAsia="方正仿宋_GB2312" w:cs="方正仿宋_GB2312"/>
          <w:sz w:val="32"/>
          <w:szCs w:val="32"/>
          <w:highlight w:val="none"/>
          <w:lang w:val="en-US" w:eastAsia="zh-CN"/>
        </w:rPr>
        <w:t>各业务部门</w:t>
      </w:r>
      <w:r>
        <w:rPr>
          <w:rFonts w:hint="eastAsia" w:ascii="方正仿宋_GB2312" w:hAnsi="方正仿宋_GB2312" w:eastAsia="方正仿宋_GB2312" w:cs="方正仿宋_GB2312"/>
          <w:sz w:val="32"/>
          <w:szCs w:val="32"/>
          <w:highlight w:val="none"/>
          <w:lang w:eastAsia="zh-CN"/>
        </w:rPr>
        <w:t>对202</w:t>
      </w:r>
      <w:r>
        <w:rPr>
          <w:rFonts w:hint="eastAsia" w:ascii="方正仿宋_GB2312" w:hAnsi="方正仿宋_GB2312" w:eastAsia="方正仿宋_GB2312" w:cs="方正仿宋_GB2312"/>
          <w:sz w:val="32"/>
          <w:szCs w:val="32"/>
          <w:highlight w:val="none"/>
          <w:lang w:val="en-US" w:eastAsia="zh-CN"/>
        </w:rPr>
        <w:t>4</w:t>
      </w:r>
      <w:r>
        <w:rPr>
          <w:rFonts w:hint="eastAsia" w:ascii="方正仿宋_GB2312" w:hAnsi="方正仿宋_GB2312" w:eastAsia="方正仿宋_GB2312" w:cs="方正仿宋_GB2312"/>
          <w:sz w:val="32"/>
          <w:szCs w:val="32"/>
          <w:highlight w:val="none"/>
          <w:lang w:eastAsia="zh-CN"/>
        </w:rPr>
        <w:t>年所有与本部门相关的财政支出项目开展了自评，逐个项目填报了《区级部门预算项目自评表》，并撰写《202</w:t>
      </w:r>
      <w:r>
        <w:rPr>
          <w:rFonts w:hint="eastAsia" w:ascii="方正仿宋_GB2312" w:hAnsi="方正仿宋_GB2312" w:eastAsia="方正仿宋_GB2312" w:cs="方正仿宋_GB2312"/>
          <w:sz w:val="32"/>
          <w:szCs w:val="32"/>
          <w:highlight w:val="none"/>
          <w:lang w:val="en-US" w:eastAsia="zh-CN"/>
        </w:rPr>
        <w:t>4</w:t>
      </w:r>
      <w:r>
        <w:rPr>
          <w:rFonts w:hint="eastAsia" w:ascii="方正仿宋_GB2312" w:hAnsi="方正仿宋_GB2312" w:eastAsia="方正仿宋_GB2312" w:cs="方正仿宋_GB2312"/>
          <w:sz w:val="32"/>
          <w:szCs w:val="32"/>
          <w:highlight w:val="none"/>
          <w:lang w:eastAsia="zh-CN"/>
        </w:rPr>
        <w:t>部门年度绩效自评工作报告》。</w:t>
      </w:r>
    </w:p>
    <w:p w14:paraId="52D57E3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bCs/>
          <w:sz w:val="32"/>
          <w:szCs w:val="32"/>
        </w:rPr>
      </w:pPr>
      <w:r>
        <w:rPr>
          <w:rFonts w:hint="eastAsia" w:ascii="方正仿宋_GB2312" w:hAnsi="方正仿宋_GB2312" w:eastAsia="方正仿宋_GB2312" w:cs="方正仿宋_GB2312"/>
          <w:sz w:val="32"/>
          <w:szCs w:val="32"/>
          <w:highlight w:val="none"/>
          <w:lang w:eastAsia="zh-CN"/>
        </w:rPr>
        <w:t>3、石家庄市藁城区兴安镇人民政府执行财经制度和管理规定，按时完成预算执行进度，严格控制、合理利用各项经费，按要求进行预算管理。</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309FA7C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藁城区兴安镇人民政府本着环境整治与治理、城乡面貌改造、村级运行、保障生产安全、维护社会稳定、防止环境污染、清理违法占地等工作中产生的人力、物力支出，确保我镇各项工作顺利运行，202</w:t>
      </w:r>
      <w:r>
        <w:rPr>
          <w:rFonts w:hint="eastAsia" w:ascii="方正仿宋_GB2312" w:hAnsi="方正仿宋_GB2312" w:eastAsia="方正仿宋_GB2312" w:cs="方正仿宋_GB2312"/>
          <w:sz w:val="32"/>
          <w:szCs w:val="32"/>
          <w:highlight w:val="none"/>
          <w:lang w:val="en-US" w:eastAsia="zh-CN"/>
        </w:rPr>
        <w:t>4</w:t>
      </w:r>
      <w:r>
        <w:rPr>
          <w:rFonts w:hint="eastAsia" w:ascii="方正仿宋_GB2312" w:hAnsi="方正仿宋_GB2312" w:eastAsia="方正仿宋_GB2312" w:cs="方正仿宋_GB2312"/>
          <w:sz w:val="32"/>
          <w:szCs w:val="32"/>
          <w:highlight w:val="none"/>
          <w:lang w:eastAsia="zh-CN"/>
        </w:rPr>
        <w:t>年预算项目合计</w:t>
      </w:r>
      <w:r>
        <w:rPr>
          <w:rFonts w:hint="eastAsia" w:ascii="方正仿宋_GB2312" w:hAnsi="方正仿宋_GB2312" w:eastAsia="方正仿宋_GB2312" w:cs="方正仿宋_GB2312"/>
          <w:sz w:val="32"/>
          <w:szCs w:val="32"/>
          <w:highlight w:val="none"/>
          <w:lang w:val="en-US" w:eastAsia="zh-CN"/>
        </w:rPr>
        <w:t>9</w:t>
      </w:r>
      <w:r>
        <w:rPr>
          <w:rFonts w:hint="eastAsia" w:ascii="方正仿宋_GB2312" w:hAnsi="方正仿宋_GB2312" w:eastAsia="方正仿宋_GB2312" w:cs="方正仿宋_GB2312"/>
          <w:sz w:val="32"/>
          <w:szCs w:val="32"/>
          <w:highlight w:val="none"/>
          <w:lang w:eastAsia="zh-CN"/>
        </w:rPr>
        <w:t>个，</w:t>
      </w:r>
      <w:r>
        <w:rPr>
          <w:rFonts w:hint="eastAsia" w:ascii="方正仿宋_GB2312" w:hAnsi="方正仿宋_GB2312" w:eastAsia="方正仿宋_GB2312" w:cs="方正仿宋_GB2312"/>
          <w:sz w:val="32"/>
          <w:szCs w:val="32"/>
          <w:highlight w:val="none"/>
          <w:lang w:val="en-US" w:eastAsia="zh-CN"/>
        </w:rPr>
        <w:t>项目支出1162.817457万元 ，包括</w:t>
      </w:r>
      <w:r>
        <w:rPr>
          <w:rFonts w:hint="eastAsia" w:ascii="方正仿宋_GB2312" w:hAnsi="方正仿宋_GB2312" w:eastAsia="方正仿宋_GB2312" w:cs="方正仿宋_GB2312"/>
          <w:sz w:val="32"/>
          <w:szCs w:val="32"/>
          <w:highlight w:val="none"/>
          <w:lang w:eastAsia="zh-CN"/>
        </w:rPr>
        <w:t>城乡社区环境综合整治、社会综合治理（综治、联防人员劳务费、律师费等）等，主要资金来源为财政预算拨款。</w:t>
      </w:r>
    </w:p>
    <w:p w14:paraId="176BB7A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我镇将上述资金细化，根据预算管理的要求，结合我单位实际情况，制定了切实可行、可量化、可考评的年度目标，并依据财政制定的相关财经制度、政府采购法规及行政会计制度，在严格实行专款专用的前提下进行了实时监控、全程监督。单位领导十分重视专项资金的使用，按财政相关要求资金项目进展情况良好。截至</w:t>
      </w:r>
      <w:bookmarkStart w:id="0" w:name="_GoBack"/>
      <w:bookmarkEnd w:id="0"/>
      <w:r>
        <w:rPr>
          <w:rFonts w:hint="eastAsia" w:ascii="方正仿宋_GB2312" w:hAnsi="方正仿宋_GB2312" w:eastAsia="方正仿宋_GB2312" w:cs="方正仿宋_GB2312"/>
          <w:sz w:val="32"/>
          <w:szCs w:val="32"/>
          <w:highlight w:val="none"/>
          <w:lang w:eastAsia="zh-CN"/>
        </w:rPr>
        <w:t>202</w:t>
      </w:r>
      <w:r>
        <w:rPr>
          <w:rFonts w:hint="eastAsia" w:ascii="方正仿宋_GB2312" w:hAnsi="方正仿宋_GB2312" w:eastAsia="方正仿宋_GB2312" w:cs="方正仿宋_GB2312"/>
          <w:sz w:val="32"/>
          <w:szCs w:val="32"/>
          <w:highlight w:val="none"/>
          <w:lang w:val="en-US" w:eastAsia="zh-CN"/>
        </w:rPr>
        <w:t>4</w:t>
      </w:r>
      <w:r>
        <w:rPr>
          <w:rFonts w:hint="eastAsia" w:ascii="方正仿宋_GB2312" w:hAnsi="方正仿宋_GB2312" w:eastAsia="方正仿宋_GB2312" w:cs="方正仿宋_GB2312"/>
          <w:sz w:val="32"/>
          <w:szCs w:val="32"/>
          <w:highlight w:val="none"/>
          <w:lang w:eastAsia="zh-CN"/>
        </w:rPr>
        <w:t>年12月底，单位尚未发现有挪用、挤占专项资金的情况。</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36AD0B0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1</w:t>
      </w:r>
      <w:r>
        <w:rPr>
          <w:rFonts w:hint="eastAsia" w:ascii="方正仿宋_GB2312" w:hAnsi="方正仿宋_GB2312" w:eastAsia="方正仿宋_GB2312" w:cs="方正仿宋_GB2312"/>
          <w:sz w:val="32"/>
          <w:szCs w:val="32"/>
          <w:highlight w:val="none"/>
          <w:lang w:eastAsia="zh-CN"/>
        </w:rPr>
        <w:t>、城乡社区环境综合整治资金，2024年度用于城乡社区环境卫生的开支；减轻环境污染，改善村容村貌，完成各村村容村貌的改善。</w:t>
      </w:r>
    </w:p>
    <w:p w14:paraId="6FEB452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方正仿宋_GB2312" w:hAnsi="方正仿宋_GB2312" w:eastAsia="方正仿宋_GB2312" w:cs="方正仿宋_GB2312"/>
          <w:sz w:val="32"/>
          <w:szCs w:val="32"/>
          <w:highlight w:val="none"/>
          <w:lang w:val="en-US" w:eastAsia="zh-CN"/>
        </w:rPr>
      </w:pPr>
      <w:r>
        <w:rPr>
          <w:rFonts w:hint="eastAsia" w:ascii="方正仿宋_GB2312" w:hAnsi="方正仿宋_GB2312" w:eastAsia="方正仿宋_GB2312" w:cs="方正仿宋_GB2312"/>
          <w:sz w:val="32"/>
          <w:szCs w:val="32"/>
          <w:highlight w:val="none"/>
          <w:lang w:val="en-US" w:eastAsia="zh-CN"/>
        </w:rPr>
        <w:t>2、大气污染防治工作经费2024年度开展扬尘专项治理、路域环境及村域环境整治、工业企业排查治理等各项工作，采取各种措施积极应对重污染天气。</w:t>
      </w:r>
    </w:p>
    <w:p w14:paraId="7145249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3</w:t>
      </w:r>
      <w:r>
        <w:rPr>
          <w:rFonts w:hint="eastAsia" w:ascii="方正仿宋_GB2312" w:hAnsi="方正仿宋_GB2312" w:eastAsia="方正仿宋_GB2312" w:cs="方正仿宋_GB2312"/>
          <w:sz w:val="32"/>
          <w:szCs w:val="32"/>
          <w:highlight w:val="none"/>
          <w:lang w:eastAsia="zh-CN"/>
        </w:rPr>
        <w:t>、</w:t>
      </w:r>
      <w:r>
        <w:rPr>
          <w:rFonts w:hint="eastAsia" w:ascii="方正仿宋_GB2312" w:hAnsi="方正仿宋_GB2312" w:eastAsia="方正仿宋_GB2312" w:cs="方正仿宋_GB2312"/>
          <w:sz w:val="32"/>
          <w:szCs w:val="32"/>
          <w:highlight w:val="none"/>
          <w:lang w:val="en-US" w:eastAsia="zh-CN"/>
        </w:rPr>
        <w:t>公用经费</w:t>
      </w:r>
      <w:r>
        <w:rPr>
          <w:rFonts w:hint="eastAsia" w:ascii="方正仿宋_GB2312" w:hAnsi="方正仿宋_GB2312" w:eastAsia="方正仿宋_GB2312" w:cs="方正仿宋_GB2312"/>
          <w:sz w:val="32"/>
          <w:szCs w:val="32"/>
          <w:highlight w:val="none"/>
          <w:lang w:eastAsia="zh-CN"/>
        </w:rPr>
        <w:t>（机关后勤运转经费），2024年度用于食堂各类物品伙食费及大院维修维护开支，保障大院环境整洁、正常运行。</w:t>
      </w:r>
    </w:p>
    <w:p w14:paraId="7415B8FB">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4</w:t>
      </w:r>
      <w:r>
        <w:rPr>
          <w:rFonts w:hint="eastAsia" w:ascii="方正仿宋_GB2312" w:hAnsi="方正仿宋_GB2312" w:eastAsia="方正仿宋_GB2312" w:cs="方正仿宋_GB2312"/>
          <w:sz w:val="32"/>
          <w:szCs w:val="32"/>
          <w:highlight w:val="none"/>
          <w:lang w:eastAsia="zh-CN"/>
        </w:rPr>
        <w:t>、</w:t>
      </w:r>
      <w:r>
        <w:rPr>
          <w:rFonts w:hint="eastAsia" w:ascii="方正仿宋_GB2312" w:hAnsi="方正仿宋_GB2312" w:eastAsia="方正仿宋_GB2312" w:cs="方正仿宋_GB2312"/>
          <w:sz w:val="32"/>
          <w:szCs w:val="32"/>
          <w:highlight w:val="none"/>
          <w:lang w:val="en-US" w:eastAsia="zh-CN"/>
        </w:rPr>
        <w:t>公用经费</w:t>
      </w:r>
      <w:r>
        <w:rPr>
          <w:rFonts w:hint="eastAsia" w:ascii="方正仿宋_GB2312" w:hAnsi="方正仿宋_GB2312" w:eastAsia="方正仿宋_GB2312" w:cs="方正仿宋_GB2312"/>
          <w:sz w:val="32"/>
          <w:szCs w:val="32"/>
          <w:highlight w:val="none"/>
          <w:lang w:eastAsia="zh-CN"/>
        </w:rPr>
        <w:t>（信访维稳、安全生产、食品安全），2024年度保障镇安全生产、食品安全工作经费；促进机关工作开展，提升镇办公各项工作水平，保障工作正常运转。</w:t>
      </w:r>
    </w:p>
    <w:p w14:paraId="2A0C5BD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5</w:t>
      </w:r>
      <w:r>
        <w:rPr>
          <w:rFonts w:hint="eastAsia" w:ascii="方正仿宋_GB2312" w:hAnsi="方正仿宋_GB2312" w:eastAsia="方正仿宋_GB2312" w:cs="方正仿宋_GB2312"/>
          <w:sz w:val="32"/>
          <w:szCs w:val="32"/>
          <w:highlight w:val="none"/>
          <w:lang w:eastAsia="zh-CN"/>
        </w:rPr>
        <w:t>、计划生育独生子女父母奖金，2024年度用于计划生育目标责任奖励、独生子女父母奖励等，用以维护独生子女群体的稳定。</w:t>
      </w:r>
    </w:p>
    <w:p w14:paraId="01B7D8E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6</w:t>
      </w:r>
      <w:r>
        <w:rPr>
          <w:rFonts w:hint="eastAsia" w:ascii="方正仿宋_GB2312" w:hAnsi="方正仿宋_GB2312" w:eastAsia="方正仿宋_GB2312" w:cs="方正仿宋_GB2312"/>
          <w:sz w:val="32"/>
          <w:szCs w:val="32"/>
          <w:highlight w:val="none"/>
          <w:lang w:eastAsia="zh-CN"/>
        </w:rPr>
        <w:t>、社会综合治理（综治、联防人员劳务费、律师费等），2024年度用于联防队员、门岗人员的开支，社会综合治理及律师费；保障劳务费按时发放，维护社会稳定。</w:t>
      </w:r>
    </w:p>
    <w:p w14:paraId="037D27D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方正仿宋_GB2312" w:hAnsi="方正仿宋_GB2312" w:eastAsia="方正仿宋_GB2312" w:cs="方正仿宋_GB2312"/>
          <w:sz w:val="32"/>
          <w:szCs w:val="32"/>
          <w:highlight w:val="none"/>
          <w:lang w:val="en-US" w:eastAsia="zh-CN"/>
        </w:rPr>
      </w:pPr>
      <w:r>
        <w:rPr>
          <w:rFonts w:hint="eastAsia" w:ascii="方正仿宋_GB2312" w:hAnsi="方正仿宋_GB2312" w:eastAsia="方正仿宋_GB2312" w:cs="方正仿宋_GB2312"/>
          <w:sz w:val="32"/>
          <w:szCs w:val="32"/>
          <w:highlight w:val="none"/>
          <w:lang w:val="en-US" w:eastAsia="zh-CN"/>
        </w:rPr>
        <w:t>7、石财建【2023】88号中央-土壤污染防治专项资金，2024完成了部分兴安镇东里村滹沱河北岸历史遗留项目固体废物源头整治（涉金属历史遗留矿渣污染治理重点任务）。</w:t>
      </w:r>
    </w:p>
    <w:p w14:paraId="43D6BB3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方正仿宋_GB2312" w:hAnsi="方正仿宋_GB2312" w:eastAsia="方正仿宋_GB2312" w:cs="方正仿宋_GB2312"/>
          <w:sz w:val="32"/>
          <w:szCs w:val="32"/>
          <w:highlight w:val="none"/>
          <w:lang w:val="en-US" w:eastAsia="zh-CN"/>
        </w:rPr>
      </w:pPr>
      <w:r>
        <w:rPr>
          <w:rFonts w:hint="eastAsia" w:ascii="方正仿宋_GB2312" w:hAnsi="方正仿宋_GB2312" w:eastAsia="方正仿宋_GB2312" w:cs="方正仿宋_GB2312"/>
          <w:sz w:val="32"/>
          <w:szCs w:val="32"/>
          <w:highlight w:val="none"/>
          <w:lang w:val="en-US" w:eastAsia="zh-CN"/>
        </w:rPr>
        <w:t>8、兴安镇绿化占地，2024年度及时做绿化占地及养护支出，保障了占地村权益，促进社会和谐稳定。</w:t>
      </w:r>
    </w:p>
    <w:p w14:paraId="15FBFB0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val="en-US" w:eastAsia="zh-CN"/>
        </w:rPr>
        <w:t>9</w:t>
      </w:r>
      <w:r>
        <w:rPr>
          <w:rFonts w:hint="eastAsia" w:ascii="方正仿宋_GB2312" w:hAnsi="方正仿宋_GB2312" w:eastAsia="方正仿宋_GB2312" w:cs="方正仿宋_GB2312"/>
          <w:sz w:val="32"/>
          <w:szCs w:val="32"/>
          <w:highlight w:val="none"/>
          <w:lang w:eastAsia="zh-CN"/>
        </w:rPr>
        <w:t>、拨付原经贸系统关闭企业下放回乡的合同工副业工涉军人员生活补贴，2024年度通过发放原经贸系统关闭企业下放回乡的合同工、副业工涉军人员生活补贴，村稳定水平提升，保障涉军人员补助发放及时到位，维护好荣军人员稳定水平。</w:t>
      </w:r>
    </w:p>
    <w:p w14:paraId="7F97FC3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highlight w:val="none"/>
          <w:lang w:eastAsia="zh-CN"/>
        </w:rPr>
      </w:pPr>
      <w:r>
        <w:rPr>
          <w:rFonts w:hint="eastAsia" w:ascii="方正仿宋_GB2312" w:hAnsi="方正仿宋_GB2312" w:eastAsia="方正仿宋_GB2312" w:cs="方正仿宋_GB2312"/>
          <w:sz w:val="32"/>
          <w:szCs w:val="32"/>
          <w:highlight w:val="none"/>
          <w:lang w:eastAsia="zh-CN"/>
        </w:rPr>
        <w:t>根据项目执行情况和项目绩效情况，兴安镇年度项目绩效评价得分为</w:t>
      </w:r>
      <w:r>
        <w:rPr>
          <w:rFonts w:hint="eastAsia" w:ascii="方正仿宋_GB2312" w:hAnsi="方正仿宋_GB2312" w:eastAsia="方正仿宋_GB2312" w:cs="方正仿宋_GB2312"/>
          <w:sz w:val="32"/>
          <w:szCs w:val="32"/>
          <w:highlight w:val="none"/>
          <w:lang w:val="en-US" w:eastAsia="zh-CN"/>
        </w:rPr>
        <w:t>89</w:t>
      </w:r>
      <w:r>
        <w:rPr>
          <w:rFonts w:hint="eastAsia" w:ascii="方正仿宋_GB2312" w:hAnsi="方正仿宋_GB2312" w:eastAsia="方正仿宋_GB2312" w:cs="方正仿宋_GB2312"/>
          <w:sz w:val="32"/>
          <w:szCs w:val="32"/>
          <w:highlight w:val="none"/>
          <w:lang w:eastAsia="zh-CN"/>
        </w:rPr>
        <w:t>分，评价等级优秀。</w:t>
      </w:r>
    </w:p>
    <w:p w14:paraId="3A85046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2F692EE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方正仿宋_GB2312" w:hAnsi="方正仿宋_GB2312" w:eastAsia="方正仿宋_GB2312" w:cs="方正仿宋_GB2312"/>
          <w:sz w:val="32"/>
          <w:szCs w:val="32"/>
          <w:highlight w:val="none"/>
          <w:lang w:eastAsia="zh-CN"/>
        </w:rPr>
        <w:t>根据部门职责定位和各项工作履职情况进行综合评价，</w:t>
      </w:r>
      <w:r>
        <w:rPr>
          <w:rFonts w:hint="eastAsia" w:ascii="方正仿宋_GB2312" w:hAnsi="方正仿宋_GB2312" w:eastAsia="方正仿宋_GB2312" w:cs="方正仿宋_GB2312"/>
          <w:sz w:val="32"/>
          <w:szCs w:val="32"/>
          <w:highlight w:val="none"/>
          <w:lang w:val="en-US" w:eastAsia="zh-CN"/>
        </w:rPr>
        <w:t>兴安镇年度项目绩效评价</w:t>
      </w:r>
      <w:r>
        <w:rPr>
          <w:rFonts w:hint="eastAsia" w:ascii="方正仿宋_GB2312" w:hAnsi="方正仿宋_GB2312" w:eastAsia="方正仿宋_GB2312" w:cs="方正仿宋_GB2312"/>
          <w:sz w:val="32"/>
          <w:szCs w:val="32"/>
          <w:highlight w:val="none"/>
          <w:lang w:eastAsia="zh-CN"/>
        </w:rPr>
        <w:t>总得分</w:t>
      </w:r>
      <w:r>
        <w:rPr>
          <w:rFonts w:hint="eastAsia" w:ascii="方正仿宋_GB2312" w:hAnsi="方正仿宋_GB2312" w:eastAsia="方正仿宋_GB2312" w:cs="方正仿宋_GB2312"/>
          <w:sz w:val="32"/>
          <w:szCs w:val="32"/>
          <w:highlight w:val="none"/>
          <w:lang w:val="en-US" w:eastAsia="zh-CN"/>
        </w:rPr>
        <w:t>89分</w:t>
      </w:r>
      <w:r>
        <w:rPr>
          <w:rFonts w:hint="eastAsia" w:ascii="方正仿宋_GB2312" w:hAnsi="方正仿宋_GB2312" w:eastAsia="方正仿宋_GB2312" w:cs="方正仿宋_GB2312"/>
          <w:sz w:val="32"/>
          <w:szCs w:val="32"/>
          <w:highlight w:val="none"/>
          <w:lang w:eastAsia="zh-CN"/>
        </w:rPr>
        <w:t>，</w:t>
      </w:r>
      <w:r>
        <w:rPr>
          <w:rFonts w:hint="eastAsia" w:ascii="方正仿宋_GB2312" w:hAnsi="方正仿宋_GB2312" w:eastAsia="方正仿宋_GB2312" w:cs="方正仿宋_GB2312"/>
          <w:sz w:val="32"/>
          <w:szCs w:val="32"/>
          <w:highlight w:val="none"/>
          <w:lang w:val="en-US" w:eastAsia="zh-CN"/>
        </w:rPr>
        <w:t>等级评价为优秀。</w:t>
      </w:r>
    </w:p>
    <w:p w14:paraId="37744A88">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36B6CAD1">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bCs/>
          <w:sz w:val="32"/>
          <w:szCs w:val="32"/>
        </w:rPr>
      </w:pPr>
      <w:r>
        <w:rPr>
          <w:rFonts w:hint="eastAsia" w:ascii="方正仿宋_GB2312" w:hAnsi="方正仿宋_GB2312" w:eastAsia="方正仿宋_GB2312" w:cs="方正仿宋_GB2312"/>
          <w:sz w:val="32"/>
          <w:szCs w:val="32"/>
          <w:lang w:val="en-US" w:eastAsia="zh-CN"/>
        </w:rPr>
        <w:t>从项目的实施情况来看，各别项目存在支出进度缓慢的问题，对项目进度把握不到位，</w:t>
      </w:r>
      <w:r>
        <w:rPr>
          <w:rFonts w:hint="eastAsia" w:ascii="方正仿宋_GB2312" w:hAnsi="方正仿宋_GB2312" w:eastAsia="方正仿宋_GB2312" w:cs="方正仿宋_GB2312"/>
          <w:sz w:val="32"/>
          <w:szCs w:val="32"/>
        </w:rPr>
        <w:t>项目</w:t>
      </w:r>
      <w:r>
        <w:rPr>
          <w:rFonts w:hint="eastAsia" w:ascii="方正仿宋_GB2312" w:hAnsi="方正仿宋_GB2312" w:eastAsia="方正仿宋_GB2312" w:cs="方正仿宋_GB2312"/>
          <w:sz w:val="32"/>
          <w:szCs w:val="32"/>
          <w:lang w:val="en-US" w:eastAsia="zh-CN"/>
        </w:rPr>
        <w:t>支出</w:t>
      </w:r>
      <w:r>
        <w:rPr>
          <w:rFonts w:hint="eastAsia" w:ascii="方正仿宋_GB2312" w:hAnsi="方正仿宋_GB2312" w:eastAsia="方正仿宋_GB2312" w:cs="方正仿宋_GB2312"/>
          <w:sz w:val="32"/>
          <w:szCs w:val="32"/>
        </w:rPr>
        <w:t>方面</w:t>
      </w:r>
      <w:r>
        <w:rPr>
          <w:rFonts w:hint="eastAsia" w:ascii="方正仿宋_GB2312" w:hAnsi="方正仿宋_GB2312" w:eastAsia="方正仿宋_GB2312" w:cs="方正仿宋_GB2312"/>
          <w:sz w:val="32"/>
          <w:szCs w:val="32"/>
          <w:lang w:val="en-US" w:eastAsia="zh-CN"/>
        </w:rPr>
        <w:t>与年初绩效要求</w:t>
      </w:r>
      <w:r>
        <w:rPr>
          <w:rFonts w:hint="eastAsia" w:ascii="方正仿宋_GB2312" w:hAnsi="方正仿宋_GB2312" w:eastAsia="方正仿宋_GB2312" w:cs="方正仿宋_GB2312"/>
          <w:sz w:val="32"/>
          <w:szCs w:val="32"/>
        </w:rPr>
        <w:t>有出</w:t>
      </w:r>
      <w:r>
        <w:rPr>
          <w:rFonts w:hint="eastAsia" w:ascii="方正仿宋_GB2312" w:hAnsi="方正仿宋_GB2312" w:eastAsia="方正仿宋_GB2312" w:cs="方正仿宋_GB2312"/>
          <w:sz w:val="32"/>
          <w:szCs w:val="32"/>
          <w:lang w:val="en-US" w:eastAsia="zh-CN"/>
        </w:rPr>
        <w:t>入。</w:t>
      </w:r>
    </w:p>
    <w:p w14:paraId="6E19DF33">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237A5B17">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针对存在的问题，及时与业务部门沟通，严格财经纪律，强化资金使用监督管理，确保资金使用安全合规，充分发挥资金效益；进一步完善资金项目管理机制。</w:t>
      </w:r>
    </w:p>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w:t>
      </w:r>
      <w:r>
        <w:rPr>
          <w:rFonts w:hint="eastAsia" w:ascii="方正仿宋_GB2312" w:hAnsi="方正仿宋_GB2312" w:eastAsia="方正仿宋_GB2312" w:cs="方正仿宋_GB2312"/>
          <w:sz w:val="32"/>
          <w:szCs w:val="32"/>
          <w:lang w:val="en-US" w:eastAsia="zh-CN"/>
        </w:rPr>
        <w:t>职称</w:t>
      </w:r>
      <w:r>
        <w:rPr>
          <w:rFonts w:hint="eastAsia" w:ascii="黑体" w:hAnsi="黑体" w:eastAsia="黑体"/>
          <w:sz w:val="32"/>
          <w:szCs w:val="32"/>
        </w:rPr>
        <w:t>）</w:t>
      </w:r>
    </w:p>
    <w:p w14:paraId="1F0E8756">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67"/>
      </w:tblGrid>
      <w:tr w14:paraId="6EB7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Pr>
          <w:p w14:paraId="633AC170">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Pr>
          <w:p w14:paraId="68A7055D">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867" w:type="dxa"/>
          </w:tcPr>
          <w:p w14:paraId="346C86F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5023C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Pr>
          <w:p w14:paraId="70F07F59">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p w14:paraId="67292E22">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藁城区兴安镇人民政府</w:t>
            </w:r>
          </w:p>
        </w:tc>
        <w:tc>
          <w:tcPr>
            <w:tcW w:w="2265" w:type="dxa"/>
            <w:tcBorders>
              <w:left w:val="single" w:color="auto" w:sz="4" w:space="0"/>
            </w:tcBorders>
          </w:tcPr>
          <w:p w14:paraId="46E1533C">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镇长</w:t>
            </w:r>
          </w:p>
        </w:tc>
        <w:tc>
          <w:tcPr>
            <w:tcW w:w="2867" w:type="dxa"/>
            <w:tcBorders>
              <w:left w:val="single" w:color="auto" w:sz="4" w:space="0"/>
            </w:tcBorders>
          </w:tcPr>
          <w:p w14:paraId="4620EE2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何世冲</w:t>
            </w:r>
          </w:p>
        </w:tc>
      </w:tr>
      <w:tr w14:paraId="7DA6B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2508684D"/>
        </w:tc>
        <w:tc>
          <w:tcPr>
            <w:tcW w:w="2265" w:type="dxa"/>
            <w:tcBorders>
              <w:left w:val="single" w:color="auto" w:sz="4" w:space="0"/>
            </w:tcBorders>
          </w:tcPr>
          <w:p w14:paraId="1329A5A1">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宣传委员</w:t>
            </w:r>
          </w:p>
        </w:tc>
        <w:tc>
          <w:tcPr>
            <w:tcW w:w="2867" w:type="dxa"/>
            <w:tcBorders>
              <w:left w:val="single" w:color="auto" w:sz="4" w:space="0"/>
            </w:tcBorders>
          </w:tcPr>
          <w:p w14:paraId="70BBC39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赵芳</w:t>
            </w:r>
          </w:p>
        </w:tc>
      </w:tr>
      <w:tr w14:paraId="4AAD4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113D24BD"/>
        </w:tc>
        <w:tc>
          <w:tcPr>
            <w:tcW w:w="2265" w:type="dxa"/>
            <w:tcBorders>
              <w:left w:val="single" w:color="auto" w:sz="4" w:space="0"/>
            </w:tcBorders>
          </w:tcPr>
          <w:p w14:paraId="72E76826">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会计</w:t>
            </w:r>
          </w:p>
        </w:tc>
        <w:tc>
          <w:tcPr>
            <w:tcW w:w="2867" w:type="dxa"/>
            <w:tcBorders>
              <w:left w:val="single" w:color="auto" w:sz="4" w:space="0"/>
            </w:tcBorders>
          </w:tcPr>
          <w:p w14:paraId="12D67A5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马紫萱</w:t>
            </w:r>
          </w:p>
        </w:tc>
      </w:tr>
    </w:tbl>
    <w:p w14:paraId="38526132">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4714876-34E5-4229-BF88-BD65131DAE5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embedRegular r:id="rId2" w:fontKey="{B7C9CF3E-C737-49B4-A56B-B703E8BADB7E}"/>
  </w:font>
  <w:font w:name="仿宋_GB2312">
    <w:panose1 w:val="02010609030101010101"/>
    <w:charset w:val="86"/>
    <w:family w:val="auto"/>
    <w:pitch w:val="default"/>
    <w:sig w:usb0="00000001" w:usb1="080E0000" w:usb2="00000000" w:usb3="00000000" w:csb0="00040000" w:csb1="00000000"/>
    <w:embedRegular r:id="rId3" w:fontKey="{8DB182AA-2CE4-4580-BACB-1E3134F214BC}"/>
  </w:font>
  <w:font w:name="方正仿宋_GB2312">
    <w:altName w:val="仿宋"/>
    <w:panose1 w:val="02000000000000000000"/>
    <w:charset w:val="86"/>
    <w:family w:val="auto"/>
    <w:pitch w:val="default"/>
    <w:sig w:usb0="00000000" w:usb1="00000000" w:usb2="00000012" w:usb3="00000000" w:csb0="00040001" w:csb1="00000000"/>
    <w:embedRegular r:id="rId4" w:fontKey="{64684D50-534B-45A7-A8E9-C66535A1ADE1}"/>
  </w:font>
  <w:font w:name="楷体_GB2312">
    <w:panose1 w:val="02010609030101010101"/>
    <w:charset w:val="86"/>
    <w:family w:val="auto"/>
    <w:pitch w:val="default"/>
    <w:sig w:usb0="00000001" w:usb1="080E0000" w:usb2="00000000" w:usb3="00000000" w:csb0="00040000" w:csb1="00000000"/>
    <w:embedRegular r:id="rId5" w:fontKey="{6B23BFB6-3DBB-471B-889F-0BA42B47CD95}"/>
  </w:font>
  <w:font w:name="楷体">
    <w:panose1 w:val="02010609060101010101"/>
    <w:charset w:val="86"/>
    <w:family w:val="modern"/>
    <w:pitch w:val="default"/>
    <w:sig w:usb0="800002BF" w:usb1="38CF7CFA" w:usb2="00000016" w:usb3="00000000" w:csb0="00040001" w:csb1="00000000"/>
    <w:embedRegular r:id="rId6" w:fontKey="{43F01743-EEE0-4BF5-93EE-90EB06517803}"/>
  </w:font>
  <w:font w:name="仿宋">
    <w:panose1 w:val="02010609060101010101"/>
    <w:charset w:val="86"/>
    <w:family w:val="auto"/>
    <w:pitch w:val="default"/>
    <w:sig w:usb0="800002BF" w:usb1="38CF7CFA" w:usb2="00000016" w:usb3="00000000" w:csb0="00040001" w:csb1="00000000"/>
    <w:embedRegular r:id="rId7" w:fontKey="{98FFF0E3-2C22-4D81-9F87-DD08B1B123E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C25F9B8D"/>
    <w:multiLevelType w:val="singleLevel"/>
    <w:tmpl w:val="C25F9B8D"/>
    <w:lvl w:ilvl="0" w:tentative="0">
      <w:start w:val="2"/>
      <w:numFmt w:val="chineseCounting"/>
      <w:suff w:val="nothing"/>
      <w:lvlText w:val="（%1）"/>
      <w:lvlJc w:val="left"/>
      <w:rPr>
        <w:rFonts w:hint="eastAsia"/>
      </w:rPr>
    </w:lvl>
  </w:abstractNum>
  <w:abstractNum w:abstractNumId="2">
    <w:nsid w:val="EF54D0ED"/>
    <w:multiLevelType w:val="singleLevel"/>
    <w:tmpl w:val="EF54D0ED"/>
    <w:lvl w:ilvl="0" w:tentative="0">
      <w:start w:val="1"/>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1543026A"/>
    <w:rsid w:val="23CB3963"/>
    <w:rsid w:val="3CAF0F7B"/>
    <w:rsid w:val="3DDE37D0"/>
    <w:rsid w:val="58B8456C"/>
    <w:rsid w:val="63AC305E"/>
    <w:rsid w:val="67F42D8F"/>
    <w:rsid w:val="685925B4"/>
    <w:rsid w:val="69206851"/>
    <w:rsid w:val="708339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8</Pages>
  <Words>3472</Words>
  <Characters>3604</Characters>
  <Lines>0</Lines>
  <Paragraphs>31</Paragraphs>
  <TotalTime>11</TotalTime>
  <ScaleCrop>false</ScaleCrop>
  <LinksUpToDate>false</LinksUpToDate>
  <CharactersWithSpaces>3605</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2025-05-07T06:16:56Z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eyJoZGlkIjoiMWNkMjJhZjg2MzEyYjE2NmU0OWE2ODk0M2JlNWY4MjkiLCJ1c2VySWQiOiIxNTUwMjQwMDk2In0=</vt:lpwstr>
  </property>
</Properties>
</file>