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退役军人</w:t>
      </w:r>
      <w:bookmarkStart w:id="4" w:name="_GoBack"/>
      <w:r>
        <w:rPr>
          <w:rFonts w:hint="eastAsia" w:ascii="仿宋" w:hAnsi="仿宋" w:eastAsia="仿宋" w:cs="仿宋"/>
          <w:kern w:val="2"/>
          <w:sz w:val="44"/>
          <w:szCs w:val="44"/>
          <w:lang w:val="en-US" w:eastAsia="zh-CN" w:bidi="ar-SA"/>
        </w:rPr>
        <w:t>事</w:t>
      </w:r>
      <w:bookmarkEnd w:id="4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部门2024年度整体支出</w:t>
      </w:r>
      <w:r>
        <w:rPr>
          <w:rFonts w:hint="eastAsia" w:ascii="仿宋" w:hAnsi="仿宋" w:eastAsia="仿宋" w:cs="仿宋"/>
          <w:kern w:val="2"/>
          <w:sz w:val="44"/>
          <w:szCs w:val="44"/>
          <w:lang w:val="en-US" w:eastAsia="zh-CN" w:bidi="ar-SA"/>
        </w:rPr>
        <w:t>绩效自评报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则，对藁城区退役军人事务局部门202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pStyle w:val="13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1、双拥优抚安置政策及管理 组指导全市拥军优属活动。组织对优抚对象的优待、抚恤的政策落实，负责全市转业士官、退役士官及军队离退休干部、退休士官和无军籍退休退职职工接收安置工作。解决优抚对象的生活、住房、医疗困难，做好义务兵家庭优待和烈士褒扬工作。推行阳光安置，保障退役士兵合法权益；加强职业教育和技能培训，提高退役士兵参与社会竞争能力；按时足额发放各类经济补助。做好军队离退休干部、退休士官和军队无军籍退休退职职工接收安置工作，全面落实军休干部政治生活待遇。</w:t>
      </w:r>
    </w:p>
    <w:p>
      <w:pPr>
        <w:pStyle w:val="13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2、优抚事业单位运行</w:t>
      </w:r>
    </w:p>
    <w:p>
      <w:pPr>
        <w:pStyle w:val="13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收养参加战争的无子女赡养的残疾军人，老复员军人，参战烈属。为革命老人服务，将光荣院建成革命教育基地和社会文明窗口，保障光荣院正常运行。</w:t>
      </w:r>
    </w:p>
    <w:p>
      <w:pPr>
        <w:pStyle w:val="13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3、优抚事业单位建设</w:t>
      </w:r>
    </w:p>
    <w:p>
      <w:pPr>
        <w:pStyle w:val="13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负责园区内烈士纪念建筑物维护、管理工作：1、烈士纪念建筑物日常及定期维修、维护；2、园区内安全保卫、保洁工作；3、临时聘用人员工资支出等。确保烈士纪念建筑物整肃穆，为社会提供良好的瞻仰和教育的常场所，充分发挥爱国主义教育基地的作用。根据中华人民共和国国务院令第601号《烈士褒扬条例》，达到烈士纪念建筑物整洁、肃穆，为社会提供良好的瞻仰和教育的常场所，充分发挥爱国主义教育基地的作用。</w:t>
      </w:r>
    </w:p>
    <w:p>
      <w:pPr>
        <w:pStyle w:val="13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4、军休干部服务管理</w:t>
      </w:r>
    </w:p>
    <w:p>
      <w:pPr>
        <w:pStyle w:val="13"/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参加政治学习、参观考察、发放补贴、重大节日走访慰问、开展文体活动，去世后丧葬事宜，落实各项政治待遇和生活待遇。</w:t>
      </w:r>
    </w:p>
    <w:p>
      <w:pPr>
        <w:pStyle w:val="13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组织机构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：</w:t>
      </w:r>
    </w:p>
    <w:tbl>
      <w:tblPr>
        <w:tblStyle w:val="7"/>
        <w:tblW w:w="9725" w:type="dxa"/>
        <w:jc w:val="center"/>
        <w:tblInd w:w="-19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53"/>
        <w:gridCol w:w="1164"/>
        <w:gridCol w:w="1439"/>
        <w:gridCol w:w="306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tblHeader/>
          <w:jc w:val="center"/>
        </w:trPr>
        <w:tc>
          <w:tcPr>
            <w:tcW w:w="4053" w:type="dxa"/>
            <w:vAlign w:val="center"/>
          </w:tcPr>
          <w:p>
            <w:pPr>
              <w:pStyle w:val="14"/>
            </w:pPr>
            <w:r>
              <w:t>单位名称</w:t>
            </w:r>
          </w:p>
        </w:tc>
        <w:tc>
          <w:tcPr>
            <w:tcW w:w="1164" w:type="dxa"/>
            <w:vAlign w:val="center"/>
          </w:tcPr>
          <w:p>
            <w:pPr>
              <w:pStyle w:val="14"/>
            </w:pPr>
            <w:r>
              <w:t>单位性质</w:t>
            </w:r>
          </w:p>
        </w:tc>
        <w:tc>
          <w:tcPr>
            <w:tcW w:w="1439" w:type="dxa"/>
            <w:vAlign w:val="center"/>
          </w:tcPr>
          <w:p>
            <w:pPr>
              <w:pStyle w:val="14"/>
            </w:pPr>
            <w:r>
              <w:t>单位规格</w:t>
            </w:r>
          </w:p>
        </w:tc>
        <w:tc>
          <w:tcPr>
            <w:tcW w:w="3069" w:type="dxa"/>
            <w:vAlign w:val="center"/>
          </w:tcPr>
          <w:p>
            <w:pPr>
              <w:pStyle w:val="14"/>
            </w:pPr>
            <w: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>
            <w:pPr>
              <w:pStyle w:val="15"/>
            </w:pPr>
            <w:r>
              <w:t>石家庄市藁城区退役军人事务局本级</w:t>
            </w:r>
          </w:p>
        </w:tc>
        <w:tc>
          <w:tcPr>
            <w:tcW w:w="1164" w:type="dxa"/>
            <w:vAlign w:val="center"/>
          </w:tcPr>
          <w:p>
            <w:pPr>
              <w:pStyle w:val="16"/>
            </w:pPr>
            <w:r>
              <w:t>行政</w:t>
            </w:r>
          </w:p>
        </w:tc>
        <w:tc>
          <w:tcPr>
            <w:tcW w:w="1439" w:type="dxa"/>
            <w:vAlign w:val="center"/>
          </w:tcPr>
          <w:p>
            <w:pPr>
              <w:pStyle w:val="16"/>
            </w:pPr>
            <w:r>
              <w:t>正科级</w:t>
            </w:r>
          </w:p>
        </w:tc>
        <w:tc>
          <w:tcPr>
            <w:tcW w:w="3069" w:type="dxa"/>
            <w:vAlign w:val="center"/>
          </w:tcPr>
          <w:p>
            <w:pPr>
              <w:pStyle w:val="16"/>
            </w:pPr>
            <w: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>
            <w:pPr>
              <w:pStyle w:val="15"/>
            </w:pPr>
            <w:r>
              <w:t>石家庄市藁城区光荣院</w:t>
            </w:r>
          </w:p>
        </w:tc>
        <w:tc>
          <w:tcPr>
            <w:tcW w:w="1164" w:type="dxa"/>
            <w:vAlign w:val="center"/>
          </w:tcPr>
          <w:p>
            <w:pPr>
              <w:pStyle w:val="16"/>
            </w:pPr>
            <w:r>
              <w:t>事业</w:t>
            </w:r>
          </w:p>
        </w:tc>
        <w:tc>
          <w:tcPr>
            <w:tcW w:w="1439" w:type="dxa"/>
            <w:vAlign w:val="center"/>
          </w:tcPr>
          <w:p>
            <w:pPr>
              <w:pStyle w:val="16"/>
            </w:pPr>
            <w:r>
              <w:t>副科级</w:t>
            </w:r>
          </w:p>
        </w:tc>
        <w:tc>
          <w:tcPr>
            <w:tcW w:w="3069" w:type="dxa"/>
            <w:vAlign w:val="center"/>
          </w:tcPr>
          <w:p>
            <w:pPr>
              <w:pStyle w:val="16"/>
            </w:pPr>
            <w:r>
              <w:t>财政性资金基本保证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>
            <w:pPr>
              <w:pStyle w:val="15"/>
            </w:pPr>
            <w:r>
              <w:t>石家庄市藁城区烈士陵园</w:t>
            </w:r>
          </w:p>
        </w:tc>
        <w:tc>
          <w:tcPr>
            <w:tcW w:w="1164" w:type="dxa"/>
            <w:vAlign w:val="center"/>
          </w:tcPr>
          <w:p>
            <w:pPr>
              <w:pStyle w:val="16"/>
            </w:pPr>
            <w:r>
              <w:t>事业</w:t>
            </w:r>
          </w:p>
        </w:tc>
        <w:tc>
          <w:tcPr>
            <w:tcW w:w="1439" w:type="dxa"/>
            <w:vAlign w:val="center"/>
          </w:tcPr>
          <w:p>
            <w:pPr>
              <w:pStyle w:val="16"/>
            </w:pPr>
            <w:r>
              <w:t>副科级</w:t>
            </w:r>
          </w:p>
        </w:tc>
        <w:tc>
          <w:tcPr>
            <w:tcW w:w="3069" w:type="dxa"/>
            <w:vAlign w:val="center"/>
          </w:tcPr>
          <w:p>
            <w:pPr>
              <w:pStyle w:val="16"/>
            </w:pPr>
            <w:r>
              <w:t>财政性资金基本保证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>
            <w:pPr>
              <w:pStyle w:val="15"/>
            </w:pPr>
            <w:r>
              <w:t>石家庄市藁城区退役军人服务中心</w:t>
            </w:r>
          </w:p>
        </w:tc>
        <w:tc>
          <w:tcPr>
            <w:tcW w:w="1164" w:type="dxa"/>
            <w:vAlign w:val="center"/>
          </w:tcPr>
          <w:p>
            <w:pPr>
              <w:pStyle w:val="16"/>
            </w:pPr>
            <w:r>
              <w:t>事业</w:t>
            </w:r>
          </w:p>
        </w:tc>
        <w:tc>
          <w:tcPr>
            <w:tcW w:w="1439" w:type="dxa"/>
            <w:vAlign w:val="center"/>
          </w:tcPr>
          <w:p>
            <w:pPr>
              <w:pStyle w:val="16"/>
            </w:pPr>
            <w:r>
              <w:t>副科级</w:t>
            </w:r>
          </w:p>
        </w:tc>
        <w:tc>
          <w:tcPr>
            <w:tcW w:w="3069" w:type="dxa"/>
            <w:vAlign w:val="center"/>
          </w:tcPr>
          <w:p>
            <w:pPr>
              <w:pStyle w:val="16"/>
            </w:pPr>
            <w:r>
              <w:t>财政性资金基本保证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4053" w:type="dxa"/>
            <w:vAlign w:val="center"/>
          </w:tcPr>
          <w:p>
            <w:pPr>
              <w:pStyle w:val="15"/>
            </w:pPr>
            <w:r>
              <w:t>石家庄市藁城区军队离休退休干部休养所</w:t>
            </w:r>
          </w:p>
        </w:tc>
        <w:tc>
          <w:tcPr>
            <w:tcW w:w="1164" w:type="dxa"/>
            <w:vAlign w:val="center"/>
          </w:tcPr>
          <w:p>
            <w:pPr>
              <w:pStyle w:val="16"/>
            </w:pPr>
            <w:r>
              <w:t>事业</w:t>
            </w:r>
          </w:p>
        </w:tc>
        <w:tc>
          <w:tcPr>
            <w:tcW w:w="1439" w:type="dxa"/>
            <w:vAlign w:val="center"/>
          </w:tcPr>
          <w:p>
            <w:pPr>
              <w:pStyle w:val="16"/>
            </w:pPr>
            <w:r>
              <w:t>股级</w:t>
            </w:r>
          </w:p>
        </w:tc>
        <w:tc>
          <w:tcPr>
            <w:tcW w:w="3069" w:type="dxa"/>
            <w:vAlign w:val="center"/>
          </w:tcPr>
          <w:p>
            <w:pPr>
              <w:pStyle w:val="16"/>
            </w:pPr>
            <w:r>
              <w:t>财政性资金基本保证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40" w:firstLineChars="200"/>
        <w:textAlignment w:val="auto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本部门2024年预算收入</w:t>
      </w:r>
      <w:bookmarkStart w:id="0" w:name="OLE_LINK1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17905.67</w:t>
      </w:r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万元，其中：一般公共预算收</w:t>
      </w:r>
      <w:r>
        <w:rPr>
          <w:rFonts w:hint="eastAsia" w:ascii="Times New Roman" w:hAnsi="Times New Roman" w:eastAsia="仿宋" w:cs="Times New Roman"/>
          <w:sz w:val="32"/>
          <w:szCs w:val="32"/>
        </w:rPr>
        <w:t>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17905.67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万元，基金预算收入0万元，财政专户核拨收入0万元，其他来源收入0万元。</w:t>
      </w:r>
    </w:p>
    <w:p>
      <w:pPr>
        <w:numPr>
          <w:ilvl w:val="0"/>
          <w:numId w:val="0"/>
        </w:numPr>
        <w:spacing w:line="46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本部门2024年决算收入支出为</w:t>
      </w:r>
      <w:bookmarkStart w:id="1" w:name="OLE_LINK2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16837.86</w:t>
      </w:r>
      <w:bookmarkEnd w:id="1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万元，</w:t>
      </w:r>
      <w:r>
        <w:rPr>
          <w:rFonts w:hint="eastAsia" w:ascii="Times New Roman" w:hAnsi="Times New Roman" w:eastAsia="仿宋" w:cs="Times New Roman"/>
          <w:sz w:val="32"/>
          <w:szCs w:val="32"/>
        </w:rPr>
        <w:t>其中：一般公共预算收入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16837.86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万元，基金预算收入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0万元，财政专户核拨收入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0万元，其他来源收入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numPr>
          <w:ilvl w:val="0"/>
          <w:numId w:val="0"/>
        </w:numPr>
        <w:spacing w:line="4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以习近平总书记关于退役军人事务工作的重要指示为依据，全面深入贯彻中央、省市区退役军人事务的决策部署，以“让退役军人和优抚对象满意”为目标，实现区镇村三级退役军人服务站全覆盖，推进“两站一中心”建设，建立健全各级退役军人就业、退役军人信息保障、党员管理台账等；突出做好来访接待，权益保障工作，退役军人信访接待稳步推进，争取达到零上访，加大政策欠账保障工作，保障退役军人合法权益；做好退役军人就业创业工作，保障不超过150人进行职业技能教育培训，培训合格率达到95%以上；开展党建工作，提升退役军人党员教育管理水平，推进思想政治教育；救助困难退役军人；推行“阳光安置”政策安置率达到95%以上。推进光荣院，烈士陵园环境提升，“两节”对各类优抚对象、驻藁部队走访慰问，解决退役军人生活困难，营造拥军优属的社会氛围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由财务室牵头，设立专门绩效工作评价小组，专人负责。</w:t>
      </w:r>
      <w:r>
        <w:rPr>
          <w:rFonts w:hint="eastAsia" w:ascii="仿宋" w:hAnsi="仿宋" w:eastAsia="仿宋" w:cs="仿宋"/>
          <w:sz w:val="32"/>
          <w:szCs w:val="32"/>
        </w:rPr>
        <w:t>通过绩效自评结果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与</w:t>
      </w:r>
      <w:r>
        <w:rPr>
          <w:rFonts w:hint="eastAsia" w:ascii="仿宋" w:hAnsi="仿宋" w:eastAsia="仿宋" w:cs="仿宋"/>
          <w:sz w:val="32"/>
          <w:szCs w:val="32"/>
        </w:rPr>
        <w:t>年初绩效目标设定质量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进行对比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我部门设置的数量指标、质量指标、成本指标、社会效益指标、可持续影响指标等绩效目标均已完成，并且</w:t>
      </w:r>
      <w:r>
        <w:rPr>
          <w:rFonts w:hint="eastAsia" w:ascii="仿宋" w:hAnsi="仿宋" w:eastAsia="仿宋" w:cs="仿宋"/>
          <w:sz w:val="32"/>
          <w:szCs w:val="32"/>
        </w:rPr>
        <w:t>绩效目标设定清晰准确，全面完整、科学合理，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涉及产出指标、效益指标、满意度指标等，</w:t>
      </w:r>
      <w:r>
        <w:rPr>
          <w:rFonts w:hint="eastAsia" w:ascii="仿宋" w:hAnsi="仿宋" w:eastAsia="仿宋" w:cs="仿宋"/>
          <w:sz w:val="32"/>
          <w:szCs w:val="32"/>
        </w:rPr>
        <w:t>绩效标准恰当适宜、易于评价。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按照财政系统中的收支记录，对资金来源去向做到了解，按照支出的实际情况对支出进度、金额进行总结评价，最终完成绩效自评。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完成优抚对象抚恤及其他补助发放工作，补助人数达到100%；做好退役军人就业创业工作，保障不超过150人进行职业技能教育培训，培训合格率达到95%以上；推行“阳光安置”政策安置率达到95%以上，及时发放待安置期间生活补助、补缴养老医疗保险等。推进光荣院，烈士陵园环境提升，“两节”对各类优抚对象、驻藁部队走访慰问，解决退役军人生活困难，营造拥军优属的社会氛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</w:t>
      </w:r>
      <w:bookmarkStart w:id="2" w:name="OLE_LINK8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深入开展政策落实“回头看”，突出矛盾化解，切实维护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安排至各单位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退役军人合法权益。</w:t>
      </w:r>
      <w:bookmarkEnd w:id="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绩效指标：统筹推进区直各单位、各部门实行“单位领导包干、区领导整体推进”的办法，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保障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率到达95％以上。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完成情况：及时解决退役士兵遗留问题，保障退役军人合法权益，预算执行率达到100%，绩效评分100分。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完善退役军人信访工作制度，按照《藁城区退役军人事务工作来访接待处置预案（试行）》及配套制度，规范来访接待和信访事项受理、交办、转办、反馈和督办工作；落实好领导接访约访制度，每周有1名县级领导到退役军人事务部门接访，区每天有1名党政领导班子成员在信访部门接访，每天有1名事务局领导在区退役服务中心接访；坚持落实领导带班接访和约访制度，各级接待退役军人要突出做好政策解释和矛盾化解工作，及时回应退役军人的诉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 绩效指标：退役军人来访接待率达到100％，信访接待、答复、满意率达到95％以上；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完成情况：每年至少接访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5次，保障我区退役军人事务上访“零登记”，群众满意度95%以上，预算执行率99.51%，绩效评分98分。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落实好中央、省、市区退役军人政策，在加持原则的基础上，充分考虑退役军人的实际困难，将政策最大化的惠及广大退役军人，在窗口单位实行退役军人和现役军人优先政策，坚持好为退役军人送喜报和悬挂光荣牌工作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慰问不少于5个驻藁部队，每年两次走访慰问各类优抚对象，使其感受党和国家的关怀。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 绩效指标：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慰问不少于5个驻藁部队，每年两次走访慰问各类优抚对象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、悬挂光荣牌、送喜报覆盖率达到100％；保障入住光荣院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5位老人基本生活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；烈士陵园每年开展少于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1次烈士公祭活动，营造红色基地教育氛围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；落实保障军休干部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26人，遗属14人、无军籍职工3人、</w:t>
      </w:r>
      <w:bookmarkStart w:id="3" w:name="OLE_LINK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逐月领取退役金军人</w:t>
      </w:r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政治生活待遇。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完成情况：慰问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5个部队，走访慰问优抚对象，举办3次烈士公祭活动，营造双拥氛围，保障军休干部遗属无军籍职工及逐月领取退役金军人44人，预算执行率达到95%以上，服务对象满意度95%以上，绩效评分100分。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绩效目标：大力推行符合政策退役军人“阳光安置”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对安置方法、安置程序、岗位设置、福利待遇等问题进行系统研究，针对档案评分、考试得分、次序排列、岗位公示、选岗过程、移交落岗等6个安置环节，全程实行“四个透明”，暨：成绩透明、排名透明、公示透明、选岗透明。为了把安置政策落到实处，不晃虚枪，按照退役军人移交安置“三明确、两落实、一公示”的思路，即任务明确、对象明确、岗位明确，做到“人员编制落实、工资待遇落实”，“社会公示及时”的办法，提前做好各种准备工作，真正做到“公开、公平、公正”。及时拨付待安置期间生活补助及医疗保险补助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绩效指标：符合条件退役军人安置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人数不超过50人，安置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率达到95％，及时拨付生活补助及保险补助；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完成情况：安置退役军人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42人，逐月发放待安置期间生活费及缴纳医疗保险，安置率达到100%，预算执行率为100%，退役士兵满意度95%以上，绩效评分98分。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我部门全年项目包括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75项，其总体绩效目标为</w:t>
      </w:r>
      <w:r>
        <w:rPr>
          <w:rFonts w:hint="eastAsia" w:ascii="Times New Roman" w:hAnsi="Times New Roman" w:eastAsia="仿宋" w:cs="Times New Roman"/>
          <w:sz w:val="32"/>
          <w:szCs w:val="32"/>
        </w:rPr>
        <w:t>建立健全各级退役军人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就业、退役军人信息保障、党员管理</w:t>
      </w:r>
      <w:r>
        <w:rPr>
          <w:rFonts w:hint="eastAsia" w:ascii="Times New Roman" w:hAnsi="Times New Roman" w:eastAsia="仿宋" w:cs="Times New Roman"/>
          <w:sz w:val="32"/>
          <w:szCs w:val="32"/>
        </w:rPr>
        <w:t>台账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等</w:t>
      </w:r>
      <w:r>
        <w:rPr>
          <w:rFonts w:hint="eastAsia" w:ascii="Times New Roman" w:hAnsi="Times New Roman" w:eastAsia="仿宋" w:cs="Times New Roman"/>
          <w:sz w:val="32"/>
          <w:szCs w:val="32"/>
        </w:rPr>
        <w:t>；突出做好来访接待，权益保障工作，退役军人信访接待稳步推进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，争取达到零上访</w:t>
      </w:r>
      <w:r>
        <w:rPr>
          <w:rFonts w:hint="eastAsia" w:ascii="Times New Roman" w:hAnsi="Times New Roman" w:eastAsia="仿宋" w:cs="Times New Roman"/>
          <w:sz w:val="32"/>
          <w:szCs w:val="32"/>
        </w:rPr>
        <w:t>，加大政策欠账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</w:t>
      </w:r>
      <w:r>
        <w:rPr>
          <w:rFonts w:hint="eastAsia" w:ascii="Times New Roman" w:hAnsi="Times New Roman" w:eastAsia="仿宋" w:cs="Times New Roman"/>
          <w:sz w:val="32"/>
          <w:szCs w:val="32"/>
        </w:rPr>
        <w:t>工作，保障退役军人合法权益；做好退役军人就业创业工作，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保障不超过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150人进行职业技能教育培训，培训合格率达到95%以上；</w:t>
      </w:r>
      <w:r>
        <w:rPr>
          <w:rFonts w:hint="eastAsia" w:ascii="Times New Roman" w:hAnsi="Times New Roman" w:eastAsia="仿宋" w:cs="Times New Roman"/>
          <w:sz w:val="32"/>
          <w:szCs w:val="32"/>
        </w:rPr>
        <w:t>救助困难退役军人；推行“阳光安置”政策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安置率达到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95%以上</w:t>
      </w:r>
      <w:r>
        <w:rPr>
          <w:rFonts w:hint="eastAsia" w:ascii="Times New Roman" w:hAnsi="Times New Roman" w:eastAsia="仿宋" w:cs="Times New Roman"/>
          <w:sz w:val="32"/>
          <w:szCs w:val="32"/>
        </w:rPr>
        <w:t>。推进光荣院，烈士陵园环境提升，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“两节”对各类优抚对象、驻藁部队走访慰问，解决退役军人生活困难，</w:t>
      </w:r>
      <w:r>
        <w:rPr>
          <w:rFonts w:hint="eastAsia" w:ascii="Times New Roman" w:hAnsi="Times New Roman" w:eastAsia="仿宋" w:cs="Times New Roman"/>
          <w:sz w:val="32"/>
          <w:szCs w:val="32"/>
        </w:rPr>
        <w:t>营造拥军优属的社会氛围。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数量指标为全区优抚对象人数及符合相关政策退役军人人数，已全部保障，质量指标为资金应发放额占总金额比例，此项目标已达成，资金全额发放，所占比例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100%，时效指标为资金发放时间，已全在时间节点内全部发放，成本指标为预算金额数，小于等于全年预算数，严格控制成本，社会效益指标为保障退役军人合法权益，营造爱国拥军社会氛围，此项目标完成率100%，服务对象满意度达到90%以上。部门综合得分9</w:t>
      </w:r>
      <w:r>
        <w:rPr>
          <w:rFonts w:hint="eastAsia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分，评价等级优秀。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目前，我部门无存在问题。下一步工作将继续健全绩效自评制度，落实相关政策，与各科室及时沟通，掌握绩效自评最新工作进程，严格按照时间节点上报。并根据相关业务要求，及时调整项目设立，优化资金用途，提高资金利用率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200" w:firstLine="320" w:firstLineChars="1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8"/>
        <w:tblpPr w:leftFromText="180" w:rightFromText="180" w:vertAnchor="text" w:horzAnchor="page" w:tblpX="1994" w:tblpY="372"/>
        <w:tblOverlap w:val="never"/>
        <w:tblW w:w="87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6"/>
        <w:gridCol w:w="1550"/>
        <w:gridCol w:w="2867"/>
        <w:gridCol w:w="1820"/>
        <w:gridCol w:w="13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1136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ind w:leftChars="0"/>
              <w:jc w:val="center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1550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ind w:leftChars="0"/>
              <w:jc w:val="center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姓名</w:t>
            </w:r>
          </w:p>
        </w:tc>
        <w:tc>
          <w:tcPr>
            <w:tcW w:w="2867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ind w:leftChars="0"/>
              <w:jc w:val="center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工作单位</w:t>
            </w:r>
          </w:p>
        </w:tc>
        <w:tc>
          <w:tcPr>
            <w:tcW w:w="1820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ind w:lef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职务</w:t>
            </w:r>
          </w:p>
        </w:tc>
        <w:tc>
          <w:tcPr>
            <w:tcW w:w="1396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ind w:lef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55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张英强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退役军人事务局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局长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</w:trPr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55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苏灿辉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退役军人事务局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办公室主任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6" w:type="dxa"/>
            <w:vAlign w:val="top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55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李静</w:t>
            </w:r>
          </w:p>
        </w:tc>
        <w:tc>
          <w:tcPr>
            <w:tcW w:w="2867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退役军人事务局</w:t>
            </w:r>
          </w:p>
        </w:tc>
        <w:tc>
          <w:tcPr>
            <w:tcW w:w="182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股长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55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徐文静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退役军人服务中心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职员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155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李静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藁城区烈士陵园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职员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石家庄市藁城区退役军人事务局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jc w:val="center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2025年4月28日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61560CD1-A40E-4CA3-9EFD-0FB90DC5263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D29C4C5-F112-4B91-82AB-5C4E6BFF715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DA6C4D44-899F-48F5-AA7E-EAFE9122E787}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4" w:fontKey="{B59BF4B3-D681-4086-90E6-5B43CBFE2C63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5" w:fontKey="{1D1FF29D-F45D-4876-9FE7-A292CB284CDF}"/>
  </w:font>
  <w:font w:name="楷体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6" w:fontKey="{D1DE26FB-A558-4A98-BF7F-8FB7699B5C6E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D78706FC-093C-46FD-B0F5-9E3753DB2D3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2F62z0QAAAAMBAAAPAAAAAAAAAAEAIAAAACIA&#10;AABkcnMvZG93bnJldi54bWxQSwECFAAUAAAACACHTuJAGpfWrdcBAAChAwAADgAAAAAAAAABACAA&#10;AAAgAQAAZHJzL2Uyb0RvYy54bWxQSwUGAAAAAAYABgBZAQAAaQUAAAAA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5AFE774"/>
    <w:multiLevelType w:val="singleLevel"/>
    <w:tmpl w:val="95AFE77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9FB94FA3"/>
    <w:multiLevelType w:val="singleLevel"/>
    <w:tmpl w:val="9FB94FA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E81CB2B3"/>
    <w:multiLevelType w:val="singleLevel"/>
    <w:tmpl w:val="E81CB2B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E5D3006"/>
    <w:rsid w:val="134F6B82"/>
    <w:rsid w:val="13955CCA"/>
    <w:rsid w:val="1777041A"/>
    <w:rsid w:val="1D595D23"/>
    <w:rsid w:val="21753553"/>
    <w:rsid w:val="3CAB2BEF"/>
    <w:rsid w:val="3DDE37D0"/>
    <w:rsid w:val="409D7342"/>
    <w:rsid w:val="4D614B2C"/>
    <w:rsid w:val="51AF4C1C"/>
    <w:rsid w:val="58B8456C"/>
    <w:rsid w:val="65721F52"/>
    <w:rsid w:val="69206851"/>
    <w:rsid w:val="6B247369"/>
    <w:rsid w:val="6C285B15"/>
    <w:rsid w:val="700F139B"/>
    <w:rsid w:val="78680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0">
    <w:name w:val="heading 1 Char"/>
    <w:basedOn w:val="9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heading 2 Char"/>
    <w:basedOn w:val="9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heading 3 Char"/>
    <w:basedOn w:val="9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3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4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6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1</TotalTime>
  <ScaleCrop>false</ScaleCrop>
  <LinksUpToDate>false</LinksUpToDate>
  <CharactersWithSpaces>633</CharactersWithSpaces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2025-04-29T06:43:00Z</cp:lastPrinted>
  <dcterms:modified xsi:type="dcterms:W3CDTF">2025-04-30T07:09:02Z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