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5F694F">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3A736146">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20860DFB">
      <w:pPr>
        <w:keepNext w:val="0"/>
        <w:keepLines w:val="0"/>
        <w:pageBreakBefore w:val="0"/>
        <w:widowControl w:val="0"/>
        <w:kinsoku/>
        <w:wordWrap/>
        <w:overflowPunct/>
        <w:topLinePunct w:val="0"/>
        <w:autoSpaceDE/>
        <w:autoSpaceDN/>
        <w:bidi w:val="0"/>
        <w:adjustRightInd/>
        <w:snapToGrid w:val="0"/>
        <w:spacing w:line="560" w:lineRule="exact"/>
        <w:ind w:right="0"/>
        <w:jc w:val="center"/>
        <w:textAlignment w:val="auto"/>
        <w:outlineLvl w:val="9"/>
        <w:rPr>
          <w:rFonts w:hint="eastAsia" w:ascii="宋体" w:hAnsi="宋体" w:eastAsia="宋体" w:cs="宋体"/>
          <w:b/>
          <w:bCs/>
          <w:sz w:val="44"/>
          <w:szCs w:val="44"/>
          <w:lang w:val="en-US"/>
        </w:rPr>
      </w:pPr>
      <w:r>
        <w:rPr>
          <w:rFonts w:hint="eastAsia" w:ascii="宋体" w:hAnsi="宋体" w:eastAsia="宋体" w:cs="宋体"/>
          <w:b/>
          <w:bCs/>
          <w:sz w:val="44"/>
          <w:szCs w:val="44"/>
          <w:lang w:val="en-US" w:eastAsia="zh-CN"/>
        </w:rPr>
        <w:t>藁城区委政法委部门</w:t>
      </w:r>
    </w:p>
    <w:p w14:paraId="41D5C79C">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宋体" w:hAnsi="宋体" w:eastAsia="宋体" w:cs="宋体"/>
          <w:b/>
          <w:bCs/>
          <w:sz w:val="44"/>
          <w:szCs w:val="44"/>
        </w:rPr>
      </w:pPr>
      <w:r>
        <w:rPr>
          <w:rFonts w:hint="eastAsia" w:ascii="宋体" w:hAnsi="宋体" w:eastAsia="宋体" w:cs="宋体"/>
          <w:b/>
          <w:bCs/>
          <w:sz w:val="44"/>
          <w:szCs w:val="44"/>
        </w:rPr>
        <w:t>2024年度整体支出绩效自评报告</w:t>
      </w:r>
    </w:p>
    <w:p w14:paraId="5DBEE324">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5B69A4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 w:hAnsi="仿宋" w:eastAsia="仿宋" w:cs="宋体"/>
          <w:sz w:val="32"/>
          <w:szCs w:val="32"/>
          <w:lang w:val="en-US" w:eastAsia="zh-CN"/>
        </w:rPr>
        <w:t>贯彻落实区委区政府《关于全面落实预算绩效管理的实施意见》（藁发〔2019〕9号）文件精神，遵循“科学性、规范性、客观性和公正性”的原则，对区委政法委部门2024年度整体支出情况实施了财政支出绩效自评价，形成本评价报告。</w:t>
      </w:r>
    </w:p>
    <w:p w14:paraId="0A8B40A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0BF24C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5A3DBCC1">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3"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b/>
          <w:bCs/>
          <w:sz w:val="32"/>
          <w:szCs w:val="32"/>
          <w:lang w:val="en-US" w:eastAsia="zh-CN"/>
        </w:rPr>
        <w:t>1、藁城区委政法委的主要职责是</w:t>
      </w:r>
      <w:r>
        <w:rPr>
          <w:rFonts w:hint="eastAsia" w:ascii="仿宋" w:hAnsi="仿宋" w:eastAsia="仿宋" w:cs="宋体"/>
          <w:sz w:val="32"/>
          <w:szCs w:val="32"/>
          <w:lang w:val="en-US" w:eastAsia="zh-CN"/>
        </w:rPr>
        <w:t>：</w:t>
      </w:r>
    </w:p>
    <w:p w14:paraId="7F9A6BFA">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default" w:ascii="仿宋" w:hAnsi="仿宋" w:eastAsia="仿宋" w:cs="宋体"/>
          <w:sz w:val="32"/>
          <w:szCs w:val="32"/>
          <w:lang w:val="en-US" w:eastAsia="zh-CN"/>
        </w:rPr>
      </w:pPr>
      <w:r>
        <w:rPr>
          <w:rFonts w:hint="eastAsia" w:ascii="仿宋" w:hAnsi="仿宋" w:eastAsia="仿宋" w:cs="宋体"/>
          <w:sz w:val="32"/>
          <w:szCs w:val="32"/>
          <w:lang w:val="en-US" w:eastAsia="zh-CN"/>
        </w:rPr>
        <w:t>一是深入贯彻习近平新时代中国特色社会主义思想，坚持党对政法工作的绝对领导，坚决维护习近平总书记党中央的核心、全党的核心地位，坚决维护党中央权威和集中统一领导，深入贯彻党的路线方针政策和中央和省委、市委及区委的决策部署，统一全区政法单位思想和行动，确保政法单位坚定正确的政治方向。</w:t>
      </w:r>
    </w:p>
    <w:p w14:paraId="334F8F31">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二是对全区政法工作研究提出全局性部署，推进平安藁城和法治藁城建设，加强过硬队伍建设，深化智能化建设，坚决维护国家政治安全、确保社会大局稳定、促进社会公平正义、保障人民安居乐业。</w:t>
      </w:r>
    </w:p>
    <w:p w14:paraId="20073C03">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三是了解掌握和分析研判政法工作情况动态，分析社会稳定形势，创新完善多部门参与的综治维稳工作机制，协调推动预防、化解影响稳定的社会矛盾和风险，协调应对和处置重大突发事件。</w:t>
      </w:r>
    </w:p>
    <w:p w14:paraId="2BC13F1C">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四是加强对政法工作的督查，统筹协调社会治安综合治理、维护社会稳定、反邪教有关法律法规政策实施工作。</w:t>
      </w:r>
    </w:p>
    <w:p w14:paraId="612D710C">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五是组织开展政法领域的调查研究，研究拟订政法工作的重大措施，及时向区委提出建议。</w:t>
      </w:r>
    </w:p>
    <w:p w14:paraId="74EA0DCA">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六是掌握分析政法舆情动态，指导协调政法单位媒体网络宣传工作，指导政法单位做好涉及政法工作的重大宣传工作。</w:t>
      </w:r>
    </w:p>
    <w:p w14:paraId="6393AC4E">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七是监督和支持政法单位依法行使职权，指导和协调政法单位密切配合，研究和协调重大、疑难案件，指导政法单位涉法涉诉信访工作，推进严格执法、公正司法。</w:t>
      </w:r>
    </w:p>
    <w:p w14:paraId="3A313D6E">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八是组织研究政法改革中带有方向性、倾向性和普遍性的重大问题，深化政法改革，联系区委全面依法治区委员会办公室。</w:t>
      </w:r>
    </w:p>
    <w:p w14:paraId="45B149EA">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九是指导推动政法系统党的建设和政法队伍建设，协调和指导全区见义勇为工作。</w:t>
      </w:r>
    </w:p>
    <w:p w14:paraId="20ECA7BE">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十是统筹推动金区政法系统信息化工作，指导政法智能化建设。</w:t>
      </w:r>
    </w:p>
    <w:p w14:paraId="2E7A403D">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十一是完成市委政法委员会、区委交办的其他任务。</w:t>
      </w:r>
    </w:p>
    <w:p w14:paraId="7B154826">
      <w:pPr>
        <w:pStyle w:val="8"/>
        <w:keepNext w:val="0"/>
        <w:keepLines w:val="0"/>
        <w:pageBreakBefore w:val="0"/>
        <w:kinsoku/>
        <w:wordWrap/>
        <w:overflowPunct/>
        <w:topLinePunct w:val="0"/>
        <w:autoSpaceDE/>
        <w:autoSpaceDN/>
        <w:bidi w:val="0"/>
        <w:spacing w:before="0" w:beforeAutospacing="0" w:after="0" w:afterAutospacing="0" w:line="560" w:lineRule="exact"/>
        <w:ind w:leftChars="100" w:firstLine="643" w:firstLineChars="200"/>
        <w:textAlignment w:val="auto"/>
        <w:rPr>
          <w:rFonts w:hint="eastAsia" w:ascii="仿宋" w:hAnsi="仿宋" w:eastAsia="仿宋" w:cs="Times New Roman"/>
          <w:b/>
          <w:bCs/>
          <w:kern w:val="2"/>
          <w:sz w:val="32"/>
          <w:szCs w:val="32"/>
          <w:lang w:val="en-US" w:eastAsia="zh-CN" w:bidi="ar-SA"/>
        </w:rPr>
      </w:pPr>
      <w:r>
        <w:rPr>
          <w:rFonts w:hint="eastAsia" w:ascii="仿宋" w:hAnsi="仿宋" w:eastAsia="仿宋" w:cs="Times New Roman"/>
          <w:b/>
          <w:bCs/>
          <w:kern w:val="2"/>
          <w:sz w:val="32"/>
          <w:szCs w:val="32"/>
          <w:lang w:val="en-US" w:eastAsia="zh-CN" w:bidi="ar-SA"/>
        </w:rPr>
        <w:t>2、机构设置</w:t>
      </w:r>
    </w:p>
    <w:p w14:paraId="3D0C9FAE">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default" w:ascii="仿宋" w:hAnsi="仿宋" w:eastAsia="仿宋" w:cs="宋体"/>
          <w:sz w:val="32"/>
          <w:szCs w:val="32"/>
          <w:lang w:val="en-US" w:eastAsia="zh-CN"/>
        </w:rPr>
      </w:pPr>
      <w:r>
        <w:rPr>
          <w:rFonts w:hint="eastAsia" w:ascii="仿宋" w:hAnsi="仿宋" w:eastAsia="仿宋" w:cs="宋体"/>
          <w:sz w:val="32"/>
          <w:szCs w:val="32"/>
          <w:lang w:val="en-US" w:eastAsia="zh-CN"/>
        </w:rPr>
        <w:t>藁城区委政法委为区委领导政法工作的职能部门，机构规格正科级，单位性质为行政，资金保障形式为财政拨款。行政编制21人，事业编制18人。领导职数4个，常务副书记一名，副书记两名，政治处主任一名，内设行政股室7个，分别是执法监督股、信访股、综治督导股、基层社会治理股、维稳指导科、办公室、组织宣传和队伍建设股，8个行政股级（包括政治处副主任），事业股室一个--石家庄市藁城区政法网络中心。设事业股级一个，副股一个，区扫黑办设在本委机关，经费由区委政法委代管。2024年年底实有在职人员29人。</w:t>
      </w:r>
    </w:p>
    <w:p w14:paraId="7EE05842">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620" w:leftChars="0" w:firstLine="640" w:firstLineChars="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14:paraId="5C378CF8">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2024年部门决算收支完成情况如下：</w:t>
      </w:r>
    </w:p>
    <w:p w14:paraId="3E040932">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bookmarkStart w:id="0" w:name="_Hlk133158199"/>
      <w:r>
        <w:rPr>
          <w:rFonts w:hint="eastAsia" w:ascii="仿宋" w:hAnsi="仿宋" w:eastAsia="仿宋" w:cs="宋体"/>
          <w:sz w:val="32"/>
          <w:szCs w:val="32"/>
          <w:lang w:val="en-US" w:eastAsia="zh-CN"/>
        </w:rPr>
        <w:t>（1）预算情况</w:t>
      </w:r>
      <w:bookmarkEnd w:id="0"/>
    </w:p>
    <w:p w14:paraId="7E4C3E9B">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2024年预算收入939.24万元，其中：一般公共预算收入939.24万元，基金预算收入0万元，财政专户核拨收入0万元，其他来源收入0万元。2024年部门支出预算为939.24万元，其中基本支出649.39万元，包括人员经费608.88万元和日常公用经费40.51万元；项目支出289.85万元，其中打击处置“全能神”邪教组织专项经费1.5万元、调解服务经费31万元、精神障碍患者监护人责任保险38万元、扫黑除恶工作经费5.1万元、涉法涉诉专项资金6万元、网格员手机APP服务费37.39万元、维稳工作经费3万元、严重精神障碍患者监护人以奖代补21.12万元、政法网运行维护经费16.8万元、专职铁路护路队员工资3.98万元、综治工作经费12万元、综治中心运行费7万元、铁路护路服务工作经费39.44万元。</w:t>
      </w:r>
    </w:p>
    <w:p w14:paraId="7C7B50B4">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（2）决算情况</w:t>
      </w:r>
    </w:p>
    <w:p w14:paraId="64C141BD">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2024年预算收入1052.68万元，其中：一般公共预算收入1052.68万元，基金预算收入0万元，财政专户核拨收入0万元，其他来源收入0万元。2024年部门支出预算为1052.68万元，其中基本支出538.92万元，包括人员经费500.13万元和日常公用经费38.79万元；项目支出513.76万元，其中打击处置“全能神”邪教组织专项经费0.5248万元、调解服务经费24.3022万元、精神障碍患者监护人责任保险37.015万元、扫黑除恶工作经费0.5058万元、涉法涉诉专项资金6万元、网格员手机APP服务费42.1072万元、维稳工作经费24.8631万元、严重精神障碍患者监护人以奖代补17.04万元、政法四级网维保费307.8万元、政法网运行维护经费16.8万元、专职铁路护路队员工资3.609601万元、综治工作经费7.1081万元、综治中心运行费2.24万元、铁路护路服务工作经费23.841168万元。</w:t>
      </w:r>
    </w:p>
    <w:p w14:paraId="3FF6F55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7EABD238">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 w:hAnsi="仿宋" w:eastAsia="仿宋" w:cs="宋体"/>
          <w:sz w:val="32"/>
          <w:szCs w:val="32"/>
          <w:lang w:val="en-US" w:eastAsia="zh-CN"/>
        </w:rPr>
        <w:t>以习近平新时代中国特色社会主义思想和党的二十大精神为指导，持续把防范化解重大风险贯穿2024年工作始终，围绕服务和保障省会高质量发展，着力抓好司法改革、维护稳定、扫黑除恶、司法公正、社会治安综合治理、政法党建等重点工作，不断深化平安藁城建设、法治藁城建设、过硬队伍建设和政法智能化建设，不断提高人民群众的获得感、幸福感、安全感。</w:t>
      </w:r>
    </w:p>
    <w:p w14:paraId="6428DC04">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424941AB">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57FED337">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为深入贯彻落实中共中央、国务院《关于全面实施预算绩效管理的意见》文件精神,根据石家庄市财政局《石家庄市市级部门预算绩效管理工作考核办法（试行）》的通知精神，强化预算支出责任，提高财政资金支出绩效，我部门严格对照预算文本中制定的部门整体绩效目标，提早部署、分解任务、压实责任、严肃考评。</w:t>
      </w:r>
      <w:r>
        <w:rPr>
          <w:rFonts w:hint="eastAsia" w:ascii="仿宋" w:hAnsi="仿宋" w:eastAsia="仿宋" w:cs="仿宋"/>
          <w:sz w:val="32"/>
          <w:szCs w:val="32"/>
          <w:lang w:val="en-US" w:eastAsia="zh-CN"/>
        </w:rPr>
        <w:t>按照《藁城区财政局关于开展2025年专项项目绩效自评工作的通知》要求，我部门高度重视绩效自评工作，成立了绩</w:t>
      </w:r>
      <w:r>
        <w:rPr>
          <w:rFonts w:hint="eastAsia" w:ascii="仿宋" w:hAnsi="仿宋" w:eastAsia="仿宋" w:cs="仿宋"/>
          <w:sz w:val="32"/>
          <w:szCs w:val="32"/>
          <w:highlight w:val="none"/>
          <w:lang w:val="en-US" w:eastAsia="zh-CN"/>
        </w:rPr>
        <w:t>效评估工作小组，</w:t>
      </w:r>
      <w:r>
        <w:rPr>
          <w:rFonts w:hint="eastAsia" w:ascii="仿宋" w:hAnsi="仿宋" w:eastAsia="仿宋" w:cs="仿宋"/>
          <w:sz w:val="32"/>
          <w:szCs w:val="32"/>
          <w:highlight w:val="red"/>
          <w:lang w:val="en-US" w:eastAsia="zh-CN"/>
        </w:rPr>
        <w:t>由区委政法委常务副书记王利国同志任组长，分管具体业务负责人张立红副书记担任副组长，相关股室的股长及财务人员为小组成员，</w:t>
      </w:r>
      <w:r>
        <w:rPr>
          <w:rFonts w:hint="eastAsia" w:ascii="仿宋" w:hAnsi="仿宋" w:eastAsia="仿宋" w:cs="仿宋"/>
          <w:sz w:val="32"/>
          <w:szCs w:val="32"/>
          <w:highlight w:val="none"/>
          <w:lang w:val="en-US" w:eastAsia="zh-CN"/>
        </w:rPr>
        <w:t>对我部门的综治工作经费、维稳工作经费等16个项目进行了绩效自评，并对2024年度政法四级网设备维保费项目财政支出的经济性、效率性及效益性进行重点评价，并针对评价内容做出分析及合理化建议。</w:t>
      </w:r>
    </w:p>
    <w:p w14:paraId="416C2E9C">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w:t>
      </w: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14:paraId="4C875852">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我部门自评小组在自评工作开展过程中多次召开专题会议，认真学习，掌握评价内容及方法，对照各实施项目的内容逐条逐项自评，将年度绩效指标分解到具体完成的工作中进行评价。通过对收集、整理项目实施材料，财务提交的真实、准确的各种报表，由项目负责人介绍项目预期绩效目标及具体实施取得的实际效果，评价小组成员集中实地检查、核实佐证材料进行评价，绩效自评覆盖率达到了100% 。在评价过程中科学制定指标体系，绩效指标权重按照各个评价对象的实际情况确定，总分设定为100分。原则上一级指标权重统一设置为:产出指标40分（包含数量、质量、时效、成本)、预算执行率指标10分、效益指标40分（包含经济效益、社会效益、生态效益、可持续影响)、满意度指标10 分，若被评价项目不涉及服务对象满意度内容或因服务对象满意度获取难度较大、成本较高而未能获取，则服务对象满意度的10分调入绩效考核事项。二、三级指标所占权重应当根据指标重要程度、项目实施阶段等因素综合确定，准确反映预算项目的产出和效果。同类评价对象的指标权重设置应当基本一致，便于评价结果相互比较。根据绩效评价的要求，项目各主管领导签批明确意见推动工作落实，各股室对分管项目资金结合自身工作将产出指标、效果指标、满意度指标等分解到具体完成的工作中进行客观、公正评价，真实反映资金使用效益，绩效自评覆盖率达到了100% 。我委共有项目16个，涉及资金513.76万元为一般公共预算项目，通过部门项目绩效自评小组集中评审，我部门开展的项目评价等级均达到优。</w:t>
      </w:r>
    </w:p>
    <w:p w14:paraId="0280E88D">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30911F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6630E6AE">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以习近平新时代中国特色社会主义思想和党的二十大精神为指导，持续把防范化解重大风险贯穿2024年工作始终，围绕服务和保障省会高质量发展，着力抓好司法改革、维护稳定、扫黑除恶、司法公正、社会治安综合治理、政法党建等重点工作，不断深化平安藁城建设、法治藁城建设、过硬队伍建设和政法智能化建设，不断提高人民群众的获得感、幸福感、安全感。一年来，我委围绕中心，服务大局，以一往无前的奋斗姿态和风雨无阻的精神状态，始终担责在肩、冲锋在前、上下一心，为藁城经济社会发展做出了政法贡献。2024年度每个项目目标完成情况的总体完成率均为100%；根据项目产出指标、效益指标、满意度指标的平分结果，评价等级均为优。</w:t>
      </w:r>
    </w:p>
    <w:p w14:paraId="2F66632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2A39E389">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政治引领，构建党管政法总揽协调体系，严格落实党内各项制度。严抓《关于新形势下党内政治生活的若干准则》的执行力度，抓“关键少数”，以上率下，增强党内政治生活的政治性、时代性、原则性、战斗性。全面加强党风廉政建设。严肃党内作风，在全区政法系统开展了“紧绷纪律之弦 筑牢自律之堤”为主题的纪律作风监督检查工作，推动全面从严管党治警向纵深发展。2024年以来，共政法干警工作作风得到明显改变，纪律意识进一步增强。</w:t>
      </w:r>
    </w:p>
    <w:p w14:paraId="7554C298">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sz w:val="32"/>
          <w:szCs w:val="32"/>
          <w:u w:val="none"/>
          <w:lang w:val="en-US" w:eastAsia="zh-CN"/>
        </w:rPr>
      </w:pPr>
      <w:r>
        <w:rPr>
          <w:rFonts w:hint="eastAsia" w:ascii="仿宋" w:hAnsi="仿宋" w:eastAsia="仿宋" w:cs="仿宋"/>
          <w:sz w:val="32"/>
          <w:szCs w:val="32"/>
          <w:highlight w:val="none"/>
          <w:lang w:val="en-US" w:eastAsia="zh-CN"/>
        </w:rPr>
        <w:t>稳定为要，有效防范化解各类风险挑战，防范化解政治安全风险。每月组织各乡镇开展政治安全风险隐患排查处置工作，推动维护国家政治安全工作向基层延伸。强化涉稳风险稳控化解。组织开展社会稳定风险评估，密切关注金融、房地产、医疗卫生、交通运输等领域的重点群体、重点人员动向。预防和处置群体性事件，全力遏制跨行业跨地区跨群体重大风险，确保不发生大规模聚集维权事件。</w:t>
      </w:r>
      <w:bookmarkStart w:id="1" w:name="_GoBack"/>
      <w:bookmarkEnd w:id="1"/>
      <w:r>
        <w:rPr>
          <w:rFonts w:hint="eastAsia" w:ascii="仿宋" w:hAnsi="仿宋" w:eastAsia="仿宋" w:cs="仿宋"/>
          <w:sz w:val="32"/>
          <w:szCs w:val="32"/>
          <w:highlight w:val="none"/>
          <w:lang w:val="en-US" w:eastAsia="zh-CN"/>
        </w:rPr>
        <w:t>打好线上阵地主动仗。强化宣传树形象，累计在各级媒体发表文章，积极传递藁城政法声音。落实重大涉稳舆情联动快速处置机制，与公安、网信等部门协调配合，妥善处置影响较大的涉稳舆情，最大限度防范和减少负面影响。强化涉法涉诉信访处置。开展涉法涉诉信访案件积案清仓行动，截至目前已全部化解，全力办理省市交办我区问题线索，截至目前已全部办结；建立涉法涉诉信访疑难案件工作专班，及时了解和掌握疑难案件化解工作开展情况，帮助基层工作人员理清工作思路、提升工作质量。常态化开展扫黑除恶斗争。开展教育、金融放贷、市场流通三大行业领域专项整治；开展“打击村霸、打击盗采砂双打击”活动，联合区组织部，组织公、检、法共对村（社区）“两委”干部审查，进一步净化基层政治生态，筑牢基层战斗堡垒</w:t>
      </w:r>
      <w:r>
        <w:rPr>
          <w:rFonts w:hint="eastAsia" w:ascii="仿宋_GB2312" w:hAnsi="仿宋_GB2312" w:eastAsia="仿宋_GB2312" w:cs="仿宋_GB2312"/>
          <w:color w:val="000000"/>
          <w:sz w:val="32"/>
          <w:szCs w:val="32"/>
          <w:u w:val="none"/>
          <w:lang w:val="en-US" w:eastAsia="zh-CN"/>
        </w:rPr>
        <w:t>。</w:t>
      </w:r>
    </w:p>
    <w:p w14:paraId="40C8681E">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突出重点，夯实基层平安建设基础，提高矛盾纠纷排查化解质效。一方面重排查，发挥矛盾纠纷排查化解机制，将邻里纠纷、婚姻家庭纠纷、房屋宅基地纠纷、合同纠纷、损害赔偿纠纷等11类传统民事纠纷全部纳入视野；另一方面强化解，依托区、乡综治中心建立矛盾纠纷多元化解和“三调联动”指挥中心，充分发挥司法调解、行政调解、人民调解合力，广泛动员各类调解组织和调解员力量。</w:t>
      </w:r>
    </w:p>
    <w:p w14:paraId="28FCF320">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开展星级平安村（社区）创建活动。按“七无”标准内容评定、申请和推荐，确保评定质量和创建水平。其中廉州镇系井社区、南营镇南营村工作实效突出，具有一定的示范作用，被省平安办命名为“2023年度三星级平安示范村（社区）”。提升网格化服务管理质效。网格化工作阵地建设稳步推进。加强网格工作考核，针对网格平台运行情况，表扬先进、督促后进，提升了网格工作实效。对考核合格及完成任务优秀的网格专干、网格员发放了网格奖补资金，提升了网格化工作质效。</w:t>
      </w:r>
    </w:p>
    <w:p w14:paraId="0D99D18B">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提升社会治理创新能力。通过优化村级智慧视频监控系统，完善矛盾调解室建设，建强心理咨询室、法律服务室等手段，完善村一级治安防控体系、矛盾风险防控体系，打造基层社会治理示范村。增设专业性行业调解室，发挥行业专业性组织自治和服务功能，化解涉及行业领域的纠纷。</w:t>
      </w:r>
    </w:p>
    <w:p w14:paraId="78118AD8">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持续开展平安建设专项考核。按照《平安建设专项考核办法》，每月组织考评任务部门对各乡镇区平安建设工作情况开展专项考核测评，调度平安建设考核指标情况，研究部署工作任务，推动全区平安建设各项工作不断深入。</w:t>
      </w:r>
    </w:p>
    <w:p w14:paraId="57F1958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7、抓常抓长，大力锻造新时代政法铁军，开展政法干警能力提升培训。坚决贯彻落实《中国共产党政法工作条例》，分两期</w:t>
      </w:r>
      <w:r>
        <w:rPr>
          <w:rFonts w:hint="default" w:ascii="仿宋" w:hAnsi="仿宋" w:eastAsia="仿宋" w:cs="仿宋"/>
          <w:sz w:val="32"/>
          <w:szCs w:val="32"/>
          <w:highlight w:val="none"/>
          <w:lang w:val="en-US" w:eastAsia="zh-CN"/>
        </w:rPr>
        <w:t>举办</w:t>
      </w:r>
      <w:r>
        <w:rPr>
          <w:rFonts w:hint="eastAsia" w:ascii="仿宋" w:hAnsi="仿宋" w:eastAsia="仿宋" w:cs="仿宋"/>
          <w:sz w:val="32"/>
          <w:szCs w:val="32"/>
          <w:highlight w:val="none"/>
          <w:lang w:val="en-US" w:eastAsia="zh-CN"/>
        </w:rPr>
        <w:t>全区</w:t>
      </w:r>
      <w:r>
        <w:rPr>
          <w:rFonts w:hint="default" w:ascii="仿宋" w:hAnsi="仿宋" w:eastAsia="仿宋" w:cs="仿宋"/>
          <w:sz w:val="32"/>
          <w:szCs w:val="32"/>
          <w:highlight w:val="none"/>
          <w:lang w:val="en-US" w:eastAsia="zh-CN"/>
        </w:rPr>
        <w:t>政法队伍</w:t>
      </w:r>
      <w:r>
        <w:rPr>
          <w:rFonts w:hint="eastAsia" w:ascii="仿宋" w:hAnsi="仿宋" w:eastAsia="仿宋" w:cs="仿宋"/>
          <w:sz w:val="32"/>
          <w:szCs w:val="32"/>
          <w:highlight w:val="none"/>
          <w:lang w:val="en-US" w:eastAsia="zh-CN"/>
        </w:rPr>
        <w:t>素能</w:t>
      </w:r>
      <w:r>
        <w:rPr>
          <w:rFonts w:hint="default" w:ascii="仿宋" w:hAnsi="仿宋" w:eastAsia="仿宋" w:cs="仿宋"/>
          <w:sz w:val="32"/>
          <w:szCs w:val="32"/>
          <w:highlight w:val="none"/>
          <w:lang w:val="en-US" w:eastAsia="zh-CN"/>
        </w:rPr>
        <w:t>提升培训班</w:t>
      </w:r>
      <w:r>
        <w:rPr>
          <w:rFonts w:hint="eastAsia" w:ascii="仿宋" w:hAnsi="仿宋" w:eastAsia="仿宋" w:cs="仿宋"/>
          <w:sz w:val="32"/>
          <w:szCs w:val="32"/>
          <w:highlight w:val="none"/>
          <w:lang w:val="en-US" w:eastAsia="zh-CN"/>
        </w:rPr>
        <w:t>，培训</w:t>
      </w:r>
      <w:r>
        <w:rPr>
          <w:rFonts w:hint="default" w:ascii="仿宋" w:hAnsi="仿宋" w:eastAsia="仿宋" w:cs="仿宋"/>
          <w:sz w:val="32"/>
          <w:szCs w:val="32"/>
          <w:highlight w:val="none"/>
          <w:lang w:val="en-US" w:eastAsia="zh-CN"/>
        </w:rPr>
        <w:t>政法委及政法各单位中层及以上领导干部、乡镇政法委员</w:t>
      </w:r>
      <w:r>
        <w:rPr>
          <w:rFonts w:hint="eastAsia" w:ascii="仿宋" w:hAnsi="仿宋" w:eastAsia="仿宋" w:cs="仿宋"/>
          <w:sz w:val="32"/>
          <w:szCs w:val="32"/>
          <w:highlight w:val="none"/>
          <w:lang w:val="en-US" w:eastAsia="zh-CN"/>
        </w:rPr>
        <w:t>，理论层面与实践层面提升政法队伍整体水平，增强党管政法体系的制度性、规范性，确保将党对政法工作的领导贯穿到政法工作的全方面、各领域。</w:t>
      </w:r>
    </w:p>
    <w:p w14:paraId="3A850462">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tbl>
      <w:tblPr>
        <w:tblStyle w:val="9"/>
        <w:tblW w:w="9022"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60"/>
        <w:gridCol w:w="2434"/>
        <w:gridCol w:w="1296"/>
        <w:gridCol w:w="1116"/>
        <w:gridCol w:w="1044"/>
        <w:gridCol w:w="936"/>
        <w:gridCol w:w="936"/>
      </w:tblGrid>
      <w:tr w14:paraId="3E3611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2" w:hRule="atLeast"/>
        </w:trPr>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0FDF0">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序号</w:t>
            </w:r>
          </w:p>
        </w:tc>
        <w:tc>
          <w:tcPr>
            <w:tcW w:w="24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E554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仿宋" w:hAnsi="仿宋" w:eastAsia="仿宋" w:cs="仿宋"/>
                <w:i w:val="0"/>
                <w:color w:val="000000"/>
                <w:kern w:val="0"/>
                <w:sz w:val="24"/>
                <w:szCs w:val="24"/>
                <w:u w:val="none"/>
                <w:lang w:val="en-US" w:eastAsia="zh-CN" w:bidi="ar"/>
              </w:rPr>
              <w:t>项目名称</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CDB3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仿宋" w:hAnsi="仿宋" w:eastAsia="仿宋" w:cs="仿宋"/>
                <w:i w:val="0"/>
                <w:color w:val="000000"/>
                <w:kern w:val="0"/>
                <w:sz w:val="24"/>
                <w:szCs w:val="24"/>
                <w:u w:val="none"/>
                <w:lang w:val="en-US" w:eastAsia="zh-CN" w:bidi="ar"/>
              </w:rPr>
              <w:t>产出指标完成得分情况</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495A5">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仿宋" w:hAnsi="仿宋" w:eastAsia="仿宋" w:cs="仿宋"/>
                <w:i w:val="0"/>
                <w:color w:val="000000"/>
                <w:kern w:val="0"/>
                <w:sz w:val="24"/>
                <w:szCs w:val="24"/>
                <w:u w:val="none"/>
                <w:lang w:val="en-US" w:eastAsia="zh-CN" w:bidi="ar"/>
              </w:rPr>
              <w:t>预算执行率指标完成得分情况</w:t>
            </w: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4159F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仿宋" w:hAnsi="仿宋" w:eastAsia="仿宋" w:cs="仿宋"/>
                <w:i w:val="0"/>
                <w:color w:val="000000"/>
                <w:kern w:val="0"/>
                <w:sz w:val="24"/>
                <w:szCs w:val="24"/>
                <w:u w:val="none"/>
                <w:lang w:val="en-US" w:eastAsia="zh-CN" w:bidi="ar"/>
              </w:rPr>
              <w:t>效益指标完成得分情况</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1420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仿宋" w:hAnsi="仿宋" w:eastAsia="仿宋" w:cs="仿宋"/>
                <w:i w:val="0"/>
                <w:color w:val="000000"/>
                <w:kern w:val="0"/>
                <w:sz w:val="24"/>
                <w:szCs w:val="24"/>
                <w:u w:val="none"/>
                <w:lang w:val="en-US" w:eastAsia="zh-CN" w:bidi="ar"/>
              </w:rPr>
              <w:t>满意度指标完成得分情况</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CD34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仿宋" w:hAnsi="仿宋" w:eastAsia="仿宋" w:cs="仿宋"/>
                <w:i w:val="0"/>
                <w:color w:val="000000"/>
                <w:kern w:val="0"/>
                <w:sz w:val="24"/>
                <w:szCs w:val="24"/>
                <w:u w:val="none"/>
                <w:lang w:val="en-US" w:eastAsia="zh-CN" w:bidi="ar"/>
              </w:rPr>
              <w:t>自评得分</w:t>
            </w:r>
          </w:p>
        </w:tc>
      </w:tr>
      <w:tr w14:paraId="16C5C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577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136</w:t>
            </w:r>
          </w:p>
        </w:tc>
        <w:tc>
          <w:tcPr>
            <w:tcW w:w="24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9F29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打击处置“全能神”邪教组织专项经费</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1E64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37</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995D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CA39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C15C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1F44730">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97</w:t>
            </w:r>
          </w:p>
        </w:tc>
      </w:tr>
      <w:tr w14:paraId="068B00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AF6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137</w:t>
            </w:r>
          </w:p>
        </w:tc>
        <w:tc>
          <w:tcPr>
            <w:tcW w:w="24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D5D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精神障碍患者监护人责任保险</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4EE2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39</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2785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EBB7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88E9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CBFD15C">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99</w:t>
            </w:r>
          </w:p>
        </w:tc>
      </w:tr>
      <w:tr w14:paraId="77394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6BC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138</w:t>
            </w:r>
          </w:p>
        </w:tc>
        <w:tc>
          <w:tcPr>
            <w:tcW w:w="24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D25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扫黑除恶工作经费</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1EC0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37</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AC8F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76C6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D56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6D3E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97</w:t>
            </w:r>
          </w:p>
        </w:tc>
      </w:tr>
      <w:tr w14:paraId="7D25D6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73FA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139</w:t>
            </w:r>
          </w:p>
        </w:tc>
        <w:tc>
          <w:tcPr>
            <w:tcW w:w="24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97C5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涉法涉诉专项资金</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C04E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38</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19A3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1BFE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39</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92AB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0264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97</w:t>
            </w:r>
          </w:p>
        </w:tc>
      </w:tr>
      <w:tr w14:paraId="0B47CD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A5B7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w:t>
            </w:r>
          </w:p>
        </w:tc>
        <w:tc>
          <w:tcPr>
            <w:tcW w:w="24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F73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石财行【2024】13号 石家庄市财政局关于下达基层平安建设专项经费</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3D94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34</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71C9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7</w:t>
            </w: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07B2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4B67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FBA5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91</w:t>
            </w:r>
          </w:p>
        </w:tc>
      </w:tr>
      <w:tr w14:paraId="44ABC3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DFC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141</w:t>
            </w:r>
          </w:p>
        </w:tc>
        <w:tc>
          <w:tcPr>
            <w:tcW w:w="24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CBA8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调解服务经费</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07EB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39</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2635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C099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8E99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CCC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98</w:t>
            </w:r>
          </w:p>
        </w:tc>
      </w:tr>
      <w:tr w14:paraId="41FA9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5D2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142</w:t>
            </w:r>
          </w:p>
        </w:tc>
        <w:tc>
          <w:tcPr>
            <w:tcW w:w="24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9C9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铁路护路服务人员经费</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772A793">
            <w:pPr>
              <w:keepNext w:val="0"/>
              <w:keepLines w:val="0"/>
              <w:widowControl/>
              <w:suppressLineNumbers w:val="0"/>
              <w:jc w:val="center"/>
              <w:textAlignment w:val="bottom"/>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38</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F516378">
            <w:pPr>
              <w:keepNext w:val="0"/>
              <w:keepLines w:val="0"/>
              <w:widowControl/>
              <w:suppressLineNumbers w:val="0"/>
              <w:jc w:val="center"/>
              <w:textAlignment w:val="bottom"/>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C0F4A53">
            <w:pPr>
              <w:keepNext w:val="0"/>
              <w:keepLines w:val="0"/>
              <w:widowControl/>
              <w:suppressLineNumbers w:val="0"/>
              <w:jc w:val="center"/>
              <w:textAlignment w:val="bottom"/>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39</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36AC22F">
            <w:pPr>
              <w:keepNext w:val="0"/>
              <w:keepLines w:val="0"/>
              <w:widowControl/>
              <w:suppressLineNumbers w:val="0"/>
              <w:jc w:val="center"/>
              <w:textAlignment w:val="bottom"/>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1DFEF8C">
            <w:pPr>
              <w:keepNext w:val="0"/>
              <w:keepLines w:val="0"/>
              <w:widowControl/>
              <w:suppressLineNumbers w:val="0"/>
              <w:jc w:val="center"/>
              <w:textAlignment w:val="bottom"/>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97</w:t>
            </w:r>
          </w:p>
        </w:tc>
      </w:tr>
      <w:tr w14:paraId="616E5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830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143</w:t>
            </w:r>
          </w:p>
        </w:tc>
        <w:tc>
          <w:tcPr>
            <w:tcW w:w="24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42C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网格员手机APP服务费</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339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40</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BB18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FF93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39</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1ABF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CF5A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99</w:t>
            </w:r>
          </w:p>
        </w:tc>
      </w:tr>
      <w:tr w14:paraId="032156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203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144</w:t>
            </w:r>
          </w:p>
        </w:tc>
        <w:tc>
          <w:tcPr>
            <w:tcW w:w="24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A3E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维稳工作经费</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10AE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38</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3CAB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1051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F54F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3E61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98</w:t>
            </w:r>
          </w:p>
        </w:tc>
      </w:tr>
      <w:tr w14:paraId="4A1B30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9DF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145</w:t>
            </w:r>
          </w:p>
        </w:tc>
        <w:tc>
          <w:tcPr>
            <w:tcW w:w="24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EC9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维稳工作经费</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33BED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38</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E649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6C39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1F9F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DA89C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98</w:t>
            </w:r>
          </w:p>
        </w:tc>
      </w:tr>
      <w:tr w14:paraId="0A9B92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258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w:t>
            </w:r>
          </w:p>
        </w:tc>
        <w:tc>
          <w:tcPr>
            <w:tcW w:w="24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6FD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严重精神障碍患者监护人以奖代补</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593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40</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883B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5426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38</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C6E3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2810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98</w:t>
            </w:r>
          </w:p>
        </w:tc>
      </w:tr>
      <w:tr w14:paraId="3E65FA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850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147</w:t>
            </w:r>
          </w:p>
        </w:tc>
        <w:tc>
          <w:tcPr>
            <w:tcW w:w="24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13E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政法四级网设备维保费</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B834A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38</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3735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92DE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1CF4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9CAE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98</w:t>
            </w:r>
          </w:p>
        </w:tc>
      </w:tr>
      <w:tr w14:paraId="274DCC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F35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148</w:t>
            </w:r>
          </w:p>
        </w:tc>
        <w:tc>
          <w:tcPr>
            <w:tcW w:w="24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87F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政法网运行维护经费</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1D7A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38</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DA35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9F605">
            <w:pPr>
              <w:keepNext w:val="0"/>
              <w:keepLines w:val="0"/>
              <w:widowControl/>
              <w:suppressLineNumbers w:val="0"/>
              <w:jc w:val="center"/>
              <w:textAlignment w:val="center"/>
              <w:rPr>
                <w:rFonts w:hint="default"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39</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64CE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EE9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97</w:t>
            </w:r>
          </w:p>
        </w:tc>
      </w:tr>
      <w:tr w14:paraId="4310C9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846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149</w:t>
            </w:r>
          </w:p>
        </w:tc>
        <w:tc>
          <w:tcPr>
            <w:tcW w:w="24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205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专职铁路护路队员工资</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CEA6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36</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03ED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48EB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7C52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C705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96</w:t>
            </w:r>
          </w:p>
        </w:tc>
      </w:tr>
      <w:tr w14:paraId="4CB2F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796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w:t>
            </w:r>
          </w:p>
        </w:tc>
        <w:tc>
          <w:tcPr>
            <w:tcW w:w="24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804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综治工作经费</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FBCF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40</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E2B2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8183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39</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05A8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600C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99</w:t>
            </w:r>
          </w:p>
        </w:tc>
      </w:tr>
      <w:tr w14:paraId="4C71BA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6B4A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151</w:t>
            </w:r>
          </w:p>
        </w:tc>
        <w:tc>
          <w:tcPr>
            <w:tcW w:w="24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BF5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综治中心运行费</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E16B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38</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9067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10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DF4B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38</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684D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4D29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96</w:t>
            </w:r>
          </w:p>
        </w:tc>
      </w:tr>
    </w:tbl>
    <w:p w14:paraId="259B85E8">
      <w:pPr>
        <w:pStyle w:val="2"/>
        <w:rPr>
          <w:rFonts w:hint="eastAsia"/>
          <w:lang w:eastAsia="zh-CN"/>
        </w:rPr>
      </w:pPr>
    </w:p>
    <w:p w14:paraId="627D792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14:paraId="37744A88">
      <w:pPr>
        <w:keepNext w:val="0"/>
        <w:keepLines w:val="0"/>
        <w:pageBreakBefore w:val="0"/>
        <w:widowControl w:val="0"/>
        <w:numPr>
          <w:ilvl w:val="0"/>
          <w:numId w:val="4"/>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4CE669E1">
      <w:pPr>
        <w:keepNext w:val="0"/>
        <w:keepLines w:val="0"/>
        <w:pageBreakBefore w:val="0"/>
        <w:widowControl w:val="0"/>
        <w:numPr>
          <w:ilvl w:val="0"/>
          <w:numId w:val="5"/>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14:paraId="17CCE5C9">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1.绩效目标设定工作有待提升。因事前绩效评估不足，项目数据库数据不够全面，完整，导致部分项目绩效目标设置不够简明 扼要，清晰直观，不便于理解和衡量。部分项目预算数量关键点不突出，数量不够精准。</w:t>
      </w:r>
    </w:p>
    <w:p w14:paraId="5F422397">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 xml:space="preserve"> 2.绩效工作管理有待加强。绩效工作管理还存在一定的薄弱环节，绩效管理相关制度不健全，个别科室绩效理念尚未全面树立、绩效管理职责不明确，绩效指标激励约束作用不强，存在重投入轻管理、重支出轻绩效的问题，绩效工作管理的广度和深度不足。 </w:t>
      </w:r>
    </w:p>
    <w:p w14:paraId="2FAEA12B">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ascii="仿宋" w:hAnsi="仿宋" w:eastAsia="仿宋"/>
          <w:sz w:val="32"/>
          <w:szCs w:val="32"/>
        </w:rPr>
        <w:t>3.部分科室未能有效协同推进实施绩效管理，未做好预算项目 的梳理和总结工作，不能全面掌握绩效目标、指标的实际完成情况以及预算资金执行情况。部分较复杂的综合性预算项目，所设 指标涉及多个科室，部分科室之间未能协同推进实施绩效管理， 不能综合地反映预算项目的产出和效果。</w:t>
      </w:r>
    </w:p>
    <w:p w14:paraId="0F0B9CEC">
      <w:pPr>
        <w:pStyle w:val="2"/>
        <w:ind w:firstLine="960" w:firstLineChars="300"/>
        <w:rPr>
          <w:rFonts w:hint="eastAsia"/>
          <w:lang w:val="en-US" w:eastAsia="zh-CN"/>
        </w:rPr>
      </w:pPr>
      <w:r>
        <w:rPr>
          <w:rFonts w:hint="eastAsia" w:ascii="楷体_GB2312" w:hAnsi="楷体_GB2312" w:eastAsia="楷体_GB2312" w:cs="楷体_GB2312"/>
          <w:bCs/>
          <w:sz w:val="32"/>
          <w:szCs w:val="32"/>
        </w:rPr>
        <w:t>（二）针对问题提出具体的改进措施或建议</w:t>
      </w:r>
    </w:p>
    <w:p w14:paraId="454A43FD">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 xml:space="preserve">1.科学规范的设定绩效目标，提升绩效目标的质量。使绩效目 标清晰的反映预算资金的预期产出和效果，并以精准的指向性绩效指标予以细化。能量化的绩效指标尽可能的量化，既要符合统计工作的特点和实际情况，又要实事求是，客观公正。 </w:t>
      </w:r>
    </w:p>
    <w:p w14:paraId="326C6652">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2.建立健全相关绩效管理制度，强化预算绩效约束。 坚持权责对等、约束有力，明确各责任科室的预算绩效申报 和管理责任，建立健全激励约束机制，实现绩效评价结果与预算安排相 挂钩。增强预算统筹能力，优化预算管理流程，调动各科室的积极性、主动性。</w:t>
      </w:r>
    </w:p>
    <w:p w14:paraId="52E01942">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 xml:space="preserve"> 3.及时梳理和总结，协同推进实施绩效管理。 各科室要做好项目的梳理和总结工作，掌握项目预算资金的 执行情况以及绩效目标、指标的完成情况。针对多部门共同实施 的较复杂的综合性项目，由项目责任科室牵头，各部门积极参与 配合，完成预算项目的综合评价工作，保证准确地、全面地反映 和评价预算项目的产出和效果，实现预算项目的价值与意义。</w:t>
      </w:r>
    </w:p>
    <w:p w14:paraId="64490E68">
      <w:pPr>
        <w:adjustRightInd w:val="0"/>
        <w:snapToGrid w:val="0"/>
        <w:spacing w:line="560" w:lineRule="exact"/>
        <w:ind w:firstLine="640" w:firstLineChars="200"/>
        <w:rPr>
          <w:rFonts w:hint="eastAsia"/>
        </w:rPr>
      </w:pPr>
      <w:r>
        <w:rPr>
          <w:rFonts w:ascii="仿宋" w:hAnsi="仿宋" w:eastAsia="仿宋"/>
          <w:sz w:val="32"/>
          <w:szCs w:val="32"/>
        </w:rPr>
        <w:t xml:space="preserve"> 4.建立健全业务制度。 结合此次总结出来的问题，对相关制度进行进一步修订和完善，在实际工作中严格依规办事、照章办事，强化制度的刚性执行。</w:t>
      </w:r>
    </w:p>
    <w:p w14:paraId="296844FD">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p>
    <w:p w14:paraId="3DB287FA">
      <w:pPr>
        <w:pStyle w:val="2"/>
        <w:rPr>
          <w:rFonts w:hint="eastAsia"/>
        </w:rPr>
      </w:pPr>
    </w:p>
    <w:p w14:paraId="410D3AC0">
      <w:pPr>
        <w:pStyle w:val="2"/>
        <w:rPr>
          <w:rFonts w:hint="eastAsia"/>
        </w:rPr>
      </w:pPr>
    </w:p>
    <w:p w14:paraId="4BFC7C0E">
      <w:pPr>
        <w:pStyle w:val="2"/>
        <w:rPr>
          <w:rFonts w:hint="eastAsia"/>
        </w:rPr>
      </w:pPr>
    </w:p>
    <w:p w14:paraId="13D89496">
      <w:pPr>
        <w:pStyle w:val="2"/>
        <w:rPr>
          <w:rFonts w:hint="eastAsia"/>
        </w:rPr>
      </w:pPr>
    </w:p>
    <w:p w14:paraId="60D862A7">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10"/>
        <w:tblpPr w:leftFromText="180" w:rightFromText="180" w:vertAnchor="text" w:horzAnchor="page" w:tblpX="1992" w:tblpY="559"/>
        <w:tblOverlap w:val="never"/>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1370"/>
        <w:gridCol w:w="1667"/>
        <w:gridCol w:w="2516"/>
        <w:gridCol w:w="2144"/>
      </w:tblGrid>
      <w:tr w14:paraId="2F05F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0" w:hRule="atLeast"/>
        </w:trPr>
        <w:tc>
          <w:tcPr>
            <w:tcW w:w="825" w:type="dxa"/>
            <w:vAlign w:val="center"/>
          </w:tcPr>
          <w:p w14:paraId="363980D6">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序号</w:t>
            </w:r>
          </w:p>
        </w:tc>
        <w:tc>
          <w:tcPr>
            <w:tcW w:w="1370" w:type="dxa"/>
            <w:vAlign w:val="center"/>
          </w:tcPr>
          <w:p w14:paraId="59A12121">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姓名</w:t>
            </w:r>
          </w:p>
        </w:tc>
        <w:tc>
          <w:tcPr>
            <w:tcW w:w="1667" w:type="dxa"/>
            <w:vAlign w:val="center"/>
          </w:tcPr>
          <w:p w14:paraId="6A7FFD58">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工作单位</w:t>
            </w:r>
          </w:p>
        </w:tc>
        <w:tc>
          <w:tcPr>
            <w:tcW w:w="2516" w:type="dxa"/>
            <w:vAlign w:val="center"/>
          </w:tcPr>
          <w:p w14:paraId="44C3E75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职务</w:t>
            </w:r>
          </w:p>
        </w:tc>
        <w:tc>
          <w:tcPr>
            <w:tcW w:w="2144" w:type="dxa"/>
            <w:vAlign w:val="center"/>
          </w:tcPr>
          <w:p w14:paraId="59C9856A">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签字</w:t>
            </w:r>
          </w:p>
        </w:tc>
      </w:tr>
      <w:tr w14:paraId="59002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0FF5C8A8">
            <w:pPr>
              <w:keepNext w:val="0"/>
              <w:keepLines w:val="0"/>
              <w:widowControl/>
              <w:suppressLineNumbers w:val="0"/>
              <w:jc w:val="center"/>
              <w:textAlignment w:val="center"/>
              <w:rPr>
                <w:rFonts w:hint="eastAsia" w:ascii="仿宋_GB2312" w:hAnsi="仿宋_GB2312" w:eastAsia="仿宋_GB2312" w:cs="仿宋_GB2312"/>
                <w:sz w:val="32"/>
                <w:szCs w:val="32"/>
                <w:lang w:val="en-US" w:eastAsia="zh-CN"/>
              </w:rPr>
            </w:pPr>
            <w:r>
              <w:rPr>
                <w:rFonts w:hint="eastAsia" w:ascii="宋体" w:hAnsi="宋体" w:eastAsia="宋体" w:cs="宋体"/>
                <w:i w:val="0"/>
                <w:iCs w:val="0"/>
                <w:color w:val="000000"/>
                <w:kern w:val="0"/>
                <w:sz w:val="22"/>
                <w:szCs w:val="22"/>
                <w:u w:val="none"/>
                <w:lang w:val="en-US" w:eastAsia="zh-CN" w:bidi="ar"/>
              </w:rPr>
              <w:t>1</w:t>
            </w:r>
          </w:p>
        </w:tc>
        <w:tc>
          <w:tcPr>
            <w:tcW w:w="1370" w:type="dxa"/>
            <w:vAlign w:val="center"/>
          </w:tcPr>
          <w:p w14:paraId="6FECD818">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王利国</w:t>
            </w:r>
          </w:p>
        </w:tc>
        <w:tc>
          <w:tcPr>
            <w:tcW w:w="1667" w:type="dxa"/>
            <w:vAlign w:val="center"/>
          </w:tcPr>
          <w:p w14:paraId="74C025E7">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14:paraId="57B7A116">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常务副书记</w:t>
            </w:r>
          </w:p>
        </w:tc>
        <w:tc>
          <w:tcPr>
            <w:tcW w:w="2144" w:type="dxa"/>
            <w:vAlign w:val="center"/>
          </w:tcPr>
          <w:p w14:paraId="6E103F7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0DD55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00811D59">
            <w:pPr>
              <w:keepNext w:val="0"/>
              <w:keepLines w:val="0"/>
              <w:widowControl/>
              <w:suppressLineNumbers w:val="0"/>
              <w:jc w:val="center"/>
              <w:textAlignment w:val="center"/>
              <w:rPr>
                <w:rFonts w:hint="eastAsia" w:ascii="仿宋_GB2312" w:hAnsi="仿宋_GB2312" w:eastAsia="仿宋_GB2312" w:cs="仿宋_GB2312"/>
                <w:sz w:val="32"/>
                <w:szCs w:val="32"/>
                <w:lang w:val="en-US" w:eastAsia="zh-CN"/>
              </w:rPr>
            </w:pPr>
            <w:r>
              <w:rPr>
                <w:rFonts w:hint="eastAsia" w:ascii="宋体" w:hAnsi="宋体" w:eastAsia="宋体" w:cs="宋体"/>
                <w:i w:val="0"/>
                <w:iCs w:val="0"/>
                <w:color w:val="000000"/>
                <w:kern w:val="0"/>
                <w:sz w:val="22"/>
                <w:szCs w:val="22"/>
                <w:u w:val="none"/>
                <w:lang w:val="en-US" w:eastAsia="zh-CN" w:bidi="ar"/>
              </w:rPr>
              <w:t>2</w:t>
            </w:r>
          </w:p>
        </w:tc>
        <w:tc>
          <w:tcPr>
            <w:tcW w:w="1370" w:type="dxa"/>
            <w:vAlign w:val="center"/>
          </w:tcPr>
          <w:p w14:paraId="1214D2F6">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张立红</w:t>
            </w:r>
          </w:p>
        </w:tc>
        <w:tc>
          <w:tcPr>
            <w:tcW w:w="1667" w:type="dxa"/>
            <w:vAlign w:val="center"/>
          </w:tcPr>
          <w:p w14:paraId="6B5093A8">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14:paraId="5F894F0A">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副书记</w:t>
            </w:r>
          </w:p>
        </w:tc>
        <w:tc>
          <w:tcPr>
            <w:tcW w:w="2144" w:type="dxa"/>
            <w:vAlign w:val="center"/>
          </w:tcPr>
          <w:p w14:paraId="1740D5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1D501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1EEBD22D">
            <w:pPr>
              <w:keepNext w:val="0"/>
              <w:keepLines w:val="0"/>
              <w:widowControl/>
              <w:suppressLineNumbers w:val="0"/>
              <w:jc w:val="center"/>
              <w:textAlignment w:val="center"/>
              <w:rPr>
                <w:rFonts w:hint="default" w:ascii="仿宋_GB2312" w:hAnsi="仿宋_GB2312" w:eastAsia="仿宋_GB2312" w:cs="仿宋_GB2312"/>
                <w:sz w:val="32"/>
                <w:szCs w:val="32"/>
                <w:lang w:val="en-US" w:eastAsia="zh-CN"/>
              </w:rPr>
            </w:pPr>
            <w:r>
              <w:rPr>
                <w:rFonts w:hint="eastAsia" w:ascii="宋体" w:hAnsi="宋体" w:eastAsia="宋体" w:cs="宋体"/>
                <w:i w:val="0"/>
                <w:iCs w:val="0"/>
                <w:color w:val="000000"/>
                <w:kern w:val="0"/>
                <w:sz w:val="22"/>
                <w:szCs w:val="22"/>
                <w:u w:val="none"/>
                <w:lang w:val="en-US" w:eastAsia="zh-CN" w:bidi="ar"/>
              </w:rPr>
              <w:t>3</w:t>
            </w:r>
          </w:p>
        </w:tc>
        <w:tc>
          <w:tcPr>
            <w:tcW w:w="1370" w:type="dxa"/>
            <w:vAlign w:val="center"/>
          </w:tcPr>
          <w:p w14:paraId="1252FF1F">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成建辉</w:t>
            </w:r>
          </w:p>
        </w:tc>
        <w:tc>
          <w:tcPr>
            <w:tcW w:w="1667" w:type="dxa"/>
            <w:shd w:val="clear" w:color="auto" w:fill="auto"/>
            <w:vAlign w:val="center"/>
          </w:tcPr>
          <w:p w14:paraId="3464FEC4">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lang w:eastAsia="zh-CN"/>
              </w:rPr>
              <w:t>政法委</w:t>
            </w:r>
          </w:p>
        </w:tc>
        <w:tc>
          <w:tcPr>
            <w:tcW w:w="2516" w:type="dxa"/>
            <w:shd w:val="clear" w:color="auto" w:fill="auto"/>
            <w:vAlign w:val="center"/>
          </w:tcPr>
          <w:p w14:paraId="5E4CDB58">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lang w:val="en-US" w:eastAsia="zh-CN"/>
              </w:rPr>
              <w:t>副书记</w:t>
            </w:r>
          </w:p>
        </w:tc>
        <w:tc>
          <w:tcPr>
            <w:tcW w:w="2144" w:type="dxa"/>
            <w:vAlign w:val="center"/>
          </w:tcPr>
          <w:p w14:paraId="18BEF96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6485A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17296D33">
            <w:pPr>
              <w:keepNext w:val="0"/>
              <w:keepLines w:val="0"/>
              <w:widowControl/>
              <w:suppressLineNumbers w:val="0"/>
              <w:jc w:val="center"/>
              <w:textAlignment w:val="center"/>
              <w:rPr>
                <w:rFonts w:hint="eastAsia" w:ascii="仿宋_GB2312" w:hAnsi="仿宋_GB2312" w:eastAsia="仿宋_GB2312" w:cs="仿宋_GB2312"/>
                <w:sz w:val="32"/>
                <w:szCs w:val="32"/>
                <w:lang w:val="en-US" w:eastAsia="zh-CN"/>
              </w:rPr>
            </w:pPr>
            <w:r>
              <w:rPr>
                <w:rFonts w:hint="eastAsia" w:ascii="宋体" w:hAnsi="宋体" w:eastAsia="宋体" w:cs="宋体"/>
                <w:i w:val="0"/>
                <w:iCs w:val="0"/>
                <w:color w:val="000000"/>
                <w:kern w:val="0"/>
                <w:sz w:val="22"/>
                <w:szCs w:val="22"/>
                <w:u w:val="none"/>
                <w:lang w:val="en-US" w:eastAsia="zh-CN" w:bidi="ar"/>
              </w:rPr>
              <w:t>4</w:t>
            </w:r>
          </w:p>
        </w:tc>
        <w:tc>
          <w:tcPr>
            <w:tcW w:w="1370" w:type="dxa"/>
            <w:vAlign w:val="center"/>
          </w:tcPr>
          <w:p w14:paraId="57AD47D9">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董光辉</w:t>
            </w:r>
          </w:p>
        </w:tc>
        <w:tc>
          <w:tcPr>
            <w:tcW w:w="1667" w:type="dxa"/>
            <w:vAlign w:val="center"/>
          </w:tcPr>
          <w:p w14:paraId="11406DD8">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政法委</w:t>
            </w:r>
          </w:p>
        </w:tc>
        <w:tc>
          <w:tcPr>
            <w:tcW w:w="2516" w:type="dxa"/>
            <w:vAlign w:val="center"/>
          </w:tcPr>
          <w:p w14:paraId="0D840C05">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一级主任科员</w:t>
            </w:r>
          </w:p>
        </w:tc>
        <w:tc>
          <w:tcPr>
            <w:tcW w:w="2144" w:type="dxa"/>
            <w:vAlign w:val="center"/>
          </w:tcPr>
          <w:p w14:paraId="3610BF9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76BC9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3B4F333D">
            <w:pPr>
              <w:keepNext w:val="0"/>
              <w:keepLines w:val="0"/>
              <w:widowControl/>
              <w:suppressLineNumbers w:val="0"/>
              <w:jc w:val="center"/>
              <w:textAlignment w:val="center"/>
              <w:rPr>
                <w:rFonts w:hint="default" w:ascii="仿宋_GB2312" w:hAnsi="仿宋_GB2312" w:eastAsia="仿宋_GB2312" w:cs="仿宋_GB2312"/>
                <w:sz w:val="32"/>
                <w:szCs w:val="32"/>
                <w:lang w:val="en-US" w:eastAsia="zh-CN"/>
              </w:rPr>
            </w:pPr>
            <w:r>
              <w:rPr>
                <w:rFonts w:hint="eastAsia" w:ascii="宋体" w:hAnsi="宋体" w:eastAsia="宋体" w:cs="宋体"/>
                <w:i w:val="0"/>
                <w:iCs w:val="0"/>
                <w:color w:val="000000"/>
                <w:kern w:val="0"/>
                <w:sz w:val="22"/>
                <w:szCs w:val="22"/>
                <w:u w:val="none"/>
                <w:lang w:val="en-US" w:eastAsia="zh-CN" w:bidi="ar"/>
              </w:rPr>
              <w:t>5</w:t>
            </w:r>
          </w:p>
        </w:tc>
        <w:tc>
          <w:tcPr>
            <w:tcW w:w="1370" w:type="dxa"/>
            <w:vAlign w:val="center"/>
          </w:tcPr>
          <w:p w14:paraId="70AAF97F">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张友波</w:t>
            </w:r>
          </w:p>
        </w:tc>
        <w:tc>
          <w:tcPr>
            <w:tcW w:w="1667" w:type="dxa"/>
            <w:vAlign w:val="center"/>
          </w:tcPr>
          <w:p w14:paraId="45854949">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14:paraId="5EFD0904">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专职委员</w:t>
            </w:r>
          </w:p>
        </w:tc>
        <w:tc>
          <w:tcPr>
            <w:tcW w:w="2144" w:type="dxa"/>
            <w:vAlign w:val="center"/>
          </w:tcPr>
          <w:p w14:paraId="2E003A1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77112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413CD565">
            <w:pPr>
              <w:keepNext w:val="0"/>
              <w:keepLines w:val="0"/>
              <w:widowControl/>
              <w:suppressLineNumbers w:val="0"/>
              <w:jc w:val="center"/>
              <w:textAlignment w:val="center"/>
              <w:rPr>
                <w:rFonts w:hint="default" w:ascii="仿宋_GB2312" w:hAnsi="仿宋_GB2312" w:eastAsia="仿宋_GB2312" w:cs="仿宋_GB2312"/>
                <w:sz w:val="32"/>
                <w:szCs w:val="32"/>
                <w:lang w:val="en-US" w:eastAsia="zh-CN"/>
              </w:rPr>
            </w:pPr>
            <w:r>
              <w:rPr>
                <w:rFonts w:hint="eastAsia" w:ascii="宋体" w:hAnsi="宋体" w:eastAsia="宋体" w:cs="宋体"/>
                <w:i w:val="0"/>
                <w:iCs w:val="0"/>
                <w:color w:val="000000"/>
                <w:kern w:val="0"/>
                <w:sz w:val="22"/>
                <w:szCs w:val="22"/>
                <w:u w:val="none"/>
                <w:lang w:val="en-US" w:eastAsia="zh-CN" w:bidi="ar"/>
              </w:rPr>
              <w:t>6</w:t>
            </w:r>
          </w:p>
        </w:tc>
        <w:tc>
          <w:tcPr>
            <w:tcW w:w="1370" w:type="dxa"/>
            <w:vAlign w:val="center"/>
          </w:tcPr>
          <w:p w14:paraId="6F716B6E">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冯玉琢</w:t>
            </w:r>
          </w:p>
        </w:tc>
        <w:tc>
          <w:tcPr>
            <w:tcW w:w="1667" w:type="dxa"/>
            <w:vAlign w:val="center"/>
          </w:tcPr>
          <w:p w14:paraId="23017AAE">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14:paraId="09AD2F03">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组织宣传股股长</w:t>
            </w:r>
          </w:p>
        </w:tc>
        <w:tc>
          <w:tcPr>
            <w:tcW w:w="2144" w:type="dxa"/>
            <w:vAlign w:val="center"/>
          </w:tcPr>
          <w:p w14:paraId="24ADBE8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1CEE1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2F42FA6B">
            <w:pPr>
              <w:keepNext w:val="0"/>
              <w:keepLines w:val="0"/>
              <w:widowControl/>
              <w:suppressLineNumbers w:val="0"/>
              <w:jc w:val="center"/>
              <w:textAlignment w:val="center"/>
              <w:rPr>
                <w:rFonts w:hint="default" w:ascii="仿宋_GB2312" w:hAnsi="仿宋_GB2312" w:eastAsia="仿宋_GB2312" w:cs="仿宋_GB2312"/>
                <w:kern w:val="2"/>
                <w:sz w:val="32"/>
                <w:szCs w:val="32"/>
                <w:lang w:val="en-US" w:eastAsia="zh-CN" w:bidi="ar-SA"/>
              </w:rPr>
            </w:pPr>
            <w:r>
              <w:rPr>
                <w:rFonts w:hint="eastAsia" w:ascii="宋体" w:hAnsi="宋体" w:eastAsia="宋体" w:cs="宋体"/>
                <w:i w:val="0"/>
                <w:iCs w:val="0"/>
                <w:color w:val="000000"/>
                <w:kern w:val="0"/>
                <w:sz w:val="22"/>
                <w:szCs w:val="22"/>
                <w:u w:val="none"/>
                <w:lang w:val="en-US" w:eastAsia="zh-CN" w:bidi="ar"/>
              </w:rPr>
              <w:t>7</w:t>
            </w:r>
          </w:p>
        </w:tc>
        <w:tc>
          <w:tcPr>
            <w:tcW w:w="1370" w:type="dxa"/>
            <w:vAlign w:val="center"/>
          </w:tcPr>
          <w:p w14:paraId="437E42A7">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聂</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栋</w:t>
            </w:r>
          </w:p>
        </w:tc>
        <w:tc>
          <w:tcPr>
            <w:tcW w:w="1667" w:type="dxa"/>
            <w:vAlign w:val="center"/>
          </w:tcPr>
          <w:p w14:paraId="377BE88C">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14:paraId="5462D4CA">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综治督</w:t>
            </w:r>
            <w:r>
              <w:rPr>
                <w:rFonts w:hint="eastAsia" w:ascii="仿宋_GB2312" w:hAnsi="仿宋_GB2312" w:eastAsia="仿宋_GB2312" w:cs="仿宋_GB2312"/>
                <w:sz w:val="32"/>
                <w:szCs w:val="32"/>
                <w:lang w:val="en-US" w:eastAsia="zh-CN"/>
              </w:rPr>
              <w:t>导股股长</w:t>
            </w:r>
          </w:p>
        </w:tc>
        <w:tc>
          <w:tcPr>
            <w:tcW w:w="2144" w:type="dxa"/>
            <w:vAlign w:val="center"/>
          </w:tcPr>
          <w:p w14:paraId="227735F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78874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52BE0E81">
            <w:pPr>
              <w:keepNext w:val="0"/>
              <w:keepLines w:val="0"/>
              <w:widowControl/>
              <w:suppressLineNumbers w:val="0"/>
              <w:jc w:val="center"/>
              <w:textAlignment w:val="center"/>
              <w:rPr>
                <w:rFonts w:hint="default" w:ascii="仿宋_GB2312" w:hAnsi="仿宋_GB2312" w:eastAsia="仿宋_GB2312" w:cs="仿宋_GB2312"/>
                <w:kern w:val="2"/>
                <w:sz w:val="32"/>
                <w:szCs w:val="32"/>
                <w:lang w:val="en-US" w:eastAsia="zh-CN" w:bidi="ar-SA"/>
              </w:rPr>
            </w:pPr>
            <w:r>
              <w:rPr>
                <w:rFonts w:hint="eastAsia" w:ascii="宋体" w:hAnsi="宋体" w:eastAsia="宋体" w:cs="宋体"/>
                <w:i w:val="0"/>
                <w:iCs w:val="0"/>
                <w:color w:val="000000"/>
                <w:kern w:val="0"/>
                <w:sz w:val="22"/>
                <w:szCs w:val="22"/>
                <w:u w:val="none"/>
                <w:lang w:val="en-US" w:eastAsia="zh-CN" w:bidi="ar"/>
              </w:rPr>
              <w:t>8</w:t>
            </w:r>
          </w:p>
        </w:tc>
        <w:tc>
          <w:tcPr>
            <w:tcW w:w="1370" w:type="dxa"/>
            <w:vAlign w:val="center"/>
          </w:tcPr>
          <w:p w14:paraId="513D32E9">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牛彦会</w:t>
            </w:r>
          </w:p>
        </w:tc>
        <w:tc>
          <w:tcPr>
            <w:tcW w:w="1667" w:type="dxa"/>
            <w:vAlign w:val="center"/>
          </w:tcPr>
          <w:p w14:paraId="2635168C">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14:paraId="2E990B2E">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基层治理股股长</w:t>
            </w:r>
          </w:p>
        </w:tc>
        <w:tc>
          <w:tcPr>
            <w:tcW w:w="2144" w:type="dxa"/>
            <w:vAlign w:val="center"/>
          </w:tcPr>
          <w:p w14:paraId="4F97EEA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30278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0A92182C">
            <w:pPr>
              <w:keepNext w:val="0"/>
              <w:keepLines w:val="0"/>
              <w:widowControl/>
              <w:suppressLineNumbers w:val="0"/>
              <w:jc w:val="center"/>
              <w:textAlignment w:val="center"/>
              <w:rPr>
                <w:rFonts w:hint="default" w:ascii="仿宋_GB2312" w:hAnsi="仿宋_GB2312" w:eastAsia="仿宋_GB2312" w:cs="仿宋_GB2312"/>
                <w:kern w:val="2"/>
                <w:sz w:val="32"/>
                <w:szCs w:val="32"/>
                <w:lang w:val="en-US" w:eastAsia="zh-CN" w:bidi="ar-SA"/>
              </w:rPr>
            </w:pPr>
            <w:r>
              <w:rPr>
                <w:rFonts w:hint="eastAsia" w:ascii="宋体" w:hAnsi="宋体" w:eastAsia="宋体" w:cs="宋体"/>
                <w:i w:val="0"/>
                <w:iCs w:val="0"/>
                <w:color w:val="000000"/>
                <w:kern w:val="0"/>
                <w:sz w:val="22"/>
                <w:szCs w:val="22"/>
                <w:u w:val="none"/>
                <w:lang w:val="en-US" w:eastAsia="zh-CN" w:bidi="ar"/>
              </w:rPr>
              <w:t>9</w:t>
            </w:r>
          </w:p>
        </w:tc>
        <w:tc>
          <w:tcPr>
            <w:tcW w:w="1370" w:type="dxa"/>
            <w:vAlign w:val="center"/>
          </w:tcPr>
          <w:p w14:paraId="45887658">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崔亚林</w:t>
            </w:r>
          </w:p>
        </w:tc>
        <w:tc>
          <w:tcPr>
            <w:tcW w:w="1667" w:type="dxa"/>
            <w:vAlign w:val="center"/>
          </w:tcPr>
          <w:p w14:paraId="224F7D57">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14:paraId="50EBA44D">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信访股股长</w:t>
            </w:r>
          </w:p>
        </w:tc>
        <w:tc>
          <w:tcPr>
            <w:tcW w:w="2144" w:type="dxa"/>
            <w:vAlign w:val="center"/>
          </w:tcPr>
          <w:p w14:paraId="7D421AD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4DD3A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471AD212">
            <w:pPr>
              <w:keepNext w:val="0"/>
              <w:keepLines w:val="0"/>
              <w:widowControl/>
              <w:suppressLineNumbers w:val="0"/>
              <w:jc w:val="center"/>
              <w:textAlignment w:val="center"/>
              <w:rPr>
                <w:rFonts w:hint="default" w:ascii="仿宋_GB2312" w:hAnsi="仿宋_GB2312" w:eastAsia="仿宋_GB2312" w:cs="仿宋_GB2312"/>
                <w:kern w:val="2"/>
                <w:sz w:val="32"/>
                <w:szCs w:val="32"/>
                <w:lang w:val="en-US" w:eastAsia="zh-CN" w:bidi="ar-SA"/>
              </w:rPr>
            </w:pPr>
            <w:r>
              <w:rPr>
                <w:rFonts w:hint="eastAsia" w:ascii="宋体" w:hAnsi="宋体" w:eastAsia="宋体" w:cs="宋体"/>
                <w:i w:val="0"/>
                <w:iCs w:val="0"/>
                <w:color w:val="000000"/>
                <w:kern w:val="0"/>
                <w:sz w:val="22"/>
                <w:szCs w:val="22"/>
                <w:u w:val="none"/>
                <w:lang w:val="en-US" w:eastAsia="zh-CN" w:bidi="ar"/>
              </w:rPr>
              <w:t>10</w:t>
            </w:r>
          </w:p>
        </w:tc>
        <w:tc>
          <w:tcPr>
            <w:tcW w:w="1370" w:type="dxa"/>
            <w:vAlign w:val="center"/>
          </w:tcPr>
          <w:p w14:paraId="0D198C4F">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代兴伟</w:t>
            </w:r>
          </w:p>
        </w:tc>
        <w:tc>
          <w:tcPr>
            <w:tcW w:w="1667" w:type="dxa"/>
            <w:vAlign w:val="center"/>
          </w:tcPr>
          <w:p w14:paraId="3E6C9144">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14:paraId="0C483F4E">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扫黑办</w:t>
            </w:r>
          </w:p>
        </w:tc>
        <w:tc>
          <w:tcPr>
            <w:tcW w:w="2144" w:type="dxa"/>
            <w:vAlign w:val="center"/>
          </w:tcPr>
          <w:p w14:paraId="5279E9C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40229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6426A804">
            <w:pPr>
              <w:keepNext w:val="0"/>
              <w:keepLines w:val="0"/>
              <w:widowControl/>
              <w:suppressLineNumbers w:val="0"/>
              <w:jc w:val="center"/>
              <w:textAlignment w:val="center"/>
              <w:rPr>
                <w:rFonts w:hint="default" w:ascii="仿宋_GB2312" w:hAnsi="仿宋_GB2312" w:eastAsia="仿宋_GB2312" w:cs="仿宋_GB2312"/>
                <w:kern w:val="2"/>
                <w:sz w:val="32"/>
                <w:szCs w:val="32"/>
                <w:lang w:val="en-US" w:eastAsia="zh-CN" w:bidi="ar-SA"/>
              </w:rPr>
            </w:pPr>
            <w:r>
              <w:rPr>
                <w:rFonts w:hint="eastAsia" w:ascii="宋体" w:hAnsi="宋体" w:eastAsia="宋体" w:cs="宋体"/>
                <w:i w:val="0"/>
                <w:iCs w:val="0"/>
                <w:color w:val="000000"/>
                <w:kern w:val="0"/>
                <w:sz w:val="22"/>
                <w:szCs w:val="22"/>
                <w:u w:val="none"/>
                <w:lang w:val="en-US" w:eastAsia="zh-CN" w:bidi="ar"/>
              </w:rPr>
              <w:t>11</w:t>
            </w:r>
          </w:p>
        </w:tc>
        <w:tc>
          <w:tcPr>
            <w:tcW w:w="1370" w:type="dxa"/>
            <w:vAlign w:val="center"/>
          </w:tcPr>
          <w:p w14:paraId="67709B45">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张力杰</w:t>
            </w:r>
          </w:p>
        </w:tc>
        <w:tc>
          <w:tcPr>
            <w:tcW w:w="1667" w:type="dxa"/>
            <w:vAlign w:val="center"/>
          </w:tcPr>
          <w:p w14:paraId="35994358">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14:paraId="7A55E062">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网络中心股长</w:t>
            </w:r>
          </w:p>
        </w:tc>
        <w:tc>
          <w:tcPr>
            <w:tcW w:w="2144" w:type="dxa"/>
            <w:vAlign w:val="center"/>
          </w:tcPr>
          <w:p w14:paraId="225880F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5AB22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026D094F">
            <w:pPr>
              <w:keepNext w:val="0"/>
              <w:keepLines w:val="0"/>
              <w:widowControl/>
              <w:suppressLineNumbers w:val="0"/>
              <w:jc w:val="center"/>
              <w:textAlignment w:val="center"/>
              <w:rPr>
                <w:rFonts w:hint="default" w:ascii="仿宋_GB2312" w:hAnsi="仿宋_GB2312" w:eastAsia="仿宋_GB2312" w:cs="仿宋_GB2312"/>
                <w:kern w:val="2"/>
                <w:sz w:val="32"/>
                <w:szCs w:val="32"/>
                <w:lang w:val="en-US" w:eastAsia="zh-CN" w:bidi="ar-SA"/>
              </w:rPr>
            </w:pPr>
            <w:r>
              <w:rPr>
                <w:rFonts w:hint="eastAsia" w:ascii="宋体" w:hAnsi="宋体" w:eastAsia="宋体" w:cs="宋体"/>
                <w:i w:val="0"/>
                <w:iCs w:val="0"/>
                <w:color w:val="000000"/>
                <w:kern w:val="0"/>
                <w:sz w:val="22"/>
                <w:szCs w:val="22"/>
                <w:u w:val="none"/>
                <w:lang w:val="en-US" w:eastAsia="zh-CN" w:bidi="ar"/>
              </w:rPr>
              <w:t>12</w:t>
            </w:r>
          </w:p>
        </w:tc>
        <w:tc>
          <w:tcPr>
            <w:tcW w:w="1370" w:type="dxa"/>
            <w:vAlign w:val="center"/>
          </w:tcPr>
          <w:p w14:paraId="064BA2B1">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杨成</w:t>
            </w:r>
          </w:p>
        </w:tc>
        <w:tc>
          <w:tcPr>
            <w:tcW w:w="1667" w:type="dxa"/>
            <w:vAlign w:val="center"/>
          </w:tcPr>
          <w:p w14:paraId="230200F7">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政法委</w:t>
            </w:r>
          </w:p>
        </w:tc>
        <w:tc>
          <w:tcPr>
            <w:tcW w:w="2516" w:type="dxa"/>
            <w:vAlign w:val="center"/>
          </w:tcPr>
          <w:p w14:paraId="51A80321">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维稳指导股股长</w:t>
            </w:r>
          </w:p>
        </w:tc>
        <w:tc>
          <w:tcPr>
            <w:tcW w:w="2144" w:type="dxa"/>
            <w:vAlign w:val="center"/>
          </w:tcPr>
          <w:p w14:paraId="2CC5EF8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7F219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6EB15FCE">
            <w:pPr>
              <w:keepNext w:val="0"/>
              <w:keepLines w:val="0"/>
              <w:widowControl/>
              <w:suppressLineNumbers w:val="0"/>
              <w:jc w:val="center"/>
              <w:textAlignment w:val="center"/>
              <w:rPr>
                <w:rFonts w:hint="default" w:ascii="仿宋_GB2312" w:hAnsi="仿宋_GB2312" w:eastAsia="仿宋_GB2312" w:cs="仿宋_GB2312"/>
                <w:kern w:val="2"/>
                <w:sz w:val="32"/>
                <w:szCs w:val="32"/>
                <w:lang w:val="en-US" w:eastAsia="zh-CN" w:bidi="ar-SA"/>
              </w:rPr>
            </w:pPr>
            <w:r>
              <w:rPr>
                <w:rFonts w:hint="eastAsia" w:ascii="宋体" w:hAnsi="宋体" w:eastAsia="宋体" w:cs="宋体"/>
                <w:i w:val="0"/>
                <w:iCs w:val="0"/>
                <w:color w:val="000000"/>
                <w:kern w:val="0"/>
                <w:sz w:val="22"/>
                <w:szCs w:val="22"/>
                <w:u w:val="none"/>
                <w:lang w:val="en-US" w:eastAsia="zh-CN" w:bidi="ar"/>
              </w:rPr>
              <w:t>13</w:t>
            </w:r>
          </w:p>
        </w:tc>
        <w:tc>
          <w:tcPr>
            <w:tcW w:w="1370" w:type="dxa"/>
            <w:vAlign w:val="center"/>
          </w:tcPr>
          <w:p w14:paraId="4BF975D2">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张建鹏</w:t>
            </w:r>
          </w:p>
        </w:tc>
        <w:tc>
          <w:tcPr>
            <w:tcW w:w="1667" w:type="dxa"/>
            <w:vAlign w:val="center"/>
          </w:tcPr>
          <w:p w14:paraId="53A77EC0">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14:paraId="4FB5B3EE">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办公室主任</w:t>
            </w:r>
          </w:p>
        </w:tc>
        <w:tc>
          <w:tcPr>
            <w:tcW w:w="2144" w:type="dxa"/>
            <w:vAlign w:val="center"/>
          </w:tcPr>
          <w:p w14:paraId="3F48A36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0D62F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6D4C72F3">
            <w:pPr>
              <w:keepNext w:val="0"/>
              <w:keepLines w:val="0"/>
              <w:widowControl/>
              <w:suppressLineNumbers w:val="0"/>
              <w:jc w:val="center"/>
              <w:textAlignment w:val="center"/>
              <w:rPr>
                <w:rFonts w:hint="default" w:ascii="仿宋_GB2312" w:hAnsi="仿宋_GB2312" w:eastAsia="仿宋_GB2312" w:cs="仿宋_GB2312"/>
                <w:kern w:val="2"/>
                <w:sz w:val="32"/>
                <w:szCs w:val="32"/>
                <w:lang w:val="en-US" w:eastAsia="zh-CN" w:bidi="ar-SA"/>
              </w:rPr>
            </w:pPr>
            <w:r>
              <w:rPr>
                <w:rFonts w:hint="eastAsia" w:ascii="宋体" w:hAnsi="宋体" w:eastAsia="宋体" w:cs="宋体"/>
                <w:i w:val="0"/>
                <w:iCs w:val="0"/>
                <w:color w:val="000000"/>
                <w:kern w:val="0"/>
                <w:sz w:val="22"/>
                <w:szCs w:val="22"/>
                <w:u w:val="none"/>
                <w:lang w:val="en-US" w:eastAsia="zh-CN" w:bidi="ar"/>
              </w:rPr>
              <w:t>14</w:t>
            </w:r>
          </w:p>
        </w:tc>
        <w:tc>
          <w:tcPr>
            <w:tcW w:w="1370" w:type="dxa"/>
            <w:vAlign w:val="center"/>
          </w:tcPr>
          <w:p w14:paraId="7D26D0F5">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梁丽艳</w:t>
            </w:r>
          </w:p>
        </w:tc>
        <w:tc>
          <w:tcPr>
            <w:tcW w:w="1667" w:type="dxa"/>
            <w:vAlign w:val="center"/>
          </w:tcPr>
          <w:p w14:paraId="61173DE1">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政法委</w:t>
            </w:r>
          </w:p>
        </w:tc>
        <w:tc>
          <w:tcPr>
            <w:tcW w:w="2516" w:type="dxa"/>
            <w:vAlign w:val="center"/>
          </w:tcPr>
          <w:p w14:paraId="7B3A3E0D">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财务</w:t>
            </w:r>
          </w:p>
        </w:tc>
        <w:tc>
          <w:tcPr>
            <w:tcW w:w="2144" w:type="dxa"/>
            <w:vAlign w:val="center"/>
          </w:tcPr>
          <w:p w14:paraId="7CF2626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bl>
    <w:p w14:paraId="20F04A6D">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58BB7BD-7076-42BC-B3B4-5D1FCEDD41A4}"/>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embedRegular r:id="rId2" w:fontKey="{B42AE7CF-80C0-47AB-94D7-49D582ED5BC4}"/>
  </w:font>
  <w:font w:name="仿宋_GB2312">
    <w:panose1 w:val="02010609030101010101"/>
    <w:charset w:val="86"/>
    <w:family w:val="auto"/>
    <w:pitch w:val="default"/>
    <w:sig w:usb0="00000001" w:usb1="080E0000" w:usb2="00000000" w:usb3="00000000" w:csb0="00040000" w:csb1="00000000"/>
    <w:embedRegular r:id="rId3" w:fontKey="{3BBA898F-CDB4-4248-97F8-4199FAD116C9}"/>
  </w:font>
  <w:font w:name="楷体_GB2312">
    <w:panose1 w:val="02010609030101010101"/>
    <w:charset w:val="86"/>
    <w:family w:val="auto"/>
    <w:pitch w:val="default"/>
    <w:sig w:usb0="00000001" w:usb1="080E0000" w:usb2="00000000" w:usb3="00000000" w:csb0="00040000" w:csb1="00000000"/>
    <w:embedRegular r:id="rId4" w:fontKey="{69367FF3-6A9C-4A58-BB5A-4966B91D6C0A}"/>
  </w:font>
  <w:font w:name="楷体">
    <w:panose1 w:val="02010609060101010101"/>
    <w:charset w:val="86"/>
    <w:family w:val="modern"/>
    <w:pitch w:val="default"/>
    <w:sig w:usb0="800002BF" w:usb1="38CF7CFA" w:usb2="00000016" w:usb3="00000000" w:csb0="00040001" w:csb1="00000000"/>
    <w:embedRegular r:id="rId5" w:fontKey="{641A995D-8D6E-476B-A843-0AC0462F467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40F4C">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22250" cy="153035"/>
              <wp:effectExtent l="0" t="0" r="0" b="0"/>
              <wp:wrapNone/>
              <wp:docPr id="1" name="Quad Arrow 3073"/>
              <wp:cNvGraphicFramePr/>
              <a:graphic xmlns:a="http://schemas.openxmlformats.org/drawingml/2006/main">
                <a:graphicData uri="http://schemas.microsoft.com/office/word/2010/wordprocessingShape">
                  <wps:wsp>
                    <wps:cNvSpPr/>
                    <wps:spPr>
                      <a:xfrm>
                        <a:off x="0" y="0"/>
                        <a:ext cx="222163" cy="153339"/>
                      </a:xfrm>
                      <a:prstGeom prst="rect">
                        <a:avLst/>
                      </a:prstGeom>
                      <a:noFill/>
                      <a:ln cap="flat" cmpd="sng">
                        <a:noFill/>
                        <a:prstDash val="solid"/>
                        <a:round/>
                      </a:ln>
                    </wps:spPr>
                    <wps:txbx>
                      <w:txbxContent>
                        <w:p w14:paraId="538B406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05pt;width:17.5pt;mso-position-horizontal:center;mso-position-horizontal-relative:margin;mso-wrap-style:none;z-index:251659264;mso-width-relative:page;mso-height-relative:page;" filled="f" stroked="f" coordsize="21600,21600" o:gfxdata="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9hets9EAAAADAQAADwAAAAAAAAABACAAAAAiAAAAZHJzL2Rvd25yZXYueG1sUEsBAhQAFAAAAAgA&#10;h07iQCh/6hzzAQAA7wMAAA4AAAAAAAAAAQAgAAAAIAEAAGRycy9lMm9Eb2MueG1sUEsFBgAAAAAG&#10;AAYAWQEAAIUFAAAAAA==&#10;">
              <v:fill on="f" focussize="0,0"/>
              <v:stroke on="f" joinstyle="round"/>
              <v:imagedata o:title=""/>
              <o:lock v:ext="edit" aspectratio="f"/>
              <v:textbox inset="0mm,0mm,0mm,0mm" style="mso-fit-shape-to-text:t;">
                <w:txbxContent>
                  <w:p w14:paraId="538B406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97871">
    <w:pPr>
      <w:pStyle w:val="7"/>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B3DFEF2A"/>
    <w:multiLevelType w:val="singleLevel"/>
    <w:tmpl w:val="B3DFEF2A"/>
    <w:lvl w:ilvl="0" w:tentative="0">
      <w:start w:val="1"/>
      <w:numFmt w:val="decimal"/>
      <w:suff w:val="nothing"/>
      <w:lvlText w:val="%1、"/>
      <w:lvlJc w:val="left"/>
      <w:rPr>
        <w:rFonts w:hint="default" w:ascii="宋体" w:hAnsi="宋体" w:eastAsia="宋体" w:cs="宋体"/>
      </w:rPr>
    </w:lvl>
  </w:abstractNum>
  <w:abstractNum w:abstractNumId="2">
    <w:nsid w:val="330718AF"/>
    <w:multiLevelType w:val="singleLevel"/>
    <w:tmpl w:val="330718AF"/>
    <w:lvl w:ilvl="0" w:tentative="0">
      <w:start w:val="5"/>
      <w:numFmt w:val="chineseCounting"/>
      <w:suff w:val="nothing"/>
      <w:lvlText w:val="%1、"/>
      <w:lvlJc w:val="left"/>
      <w:rPr>
        <w:rFonts w:hint="eastAsia"/>
      </w:rPr>
    </w:lvl>
  </w:abstractNum>
  <w:abstractNum w:abstractNumId="3">
    <w:nsid w:val="5C377662"/>
    <w:multiLevelType w:val="singleLevel"/>
    <w:tmpl w:val="5C377662"/>
    <w:lvl w:ilvl="0" w:tentative="0">
      <w:start w:val="1"/>
      <w:numFmt w:val="chineseCounting"/>
      <w:suff w:val="nothing"/>
      <w:lvlText w:val="（%1）"/>
      <w:lvlJc w:val="left"/>
      <w:rPr>
        <w:rFonts w:hint="eastAsia"/>
      </w:rPr>
    </w:lvl>
  </w:abstractNum>
  <w:abstractNum w:abstractNumId="4">
    <w:nsid w:val="7FC29928"/>
    <w:multiLevelType w:val="singleLevel"/>
    <w:tmpl w:val="7FC29928"/>
    <w:lvl w:ilvl="0" w:tentative="0">
      <w:start w:val="2"/>
      <w:numFmt w:val="chineseCounting"/>
      <w:suff w:val="nothing"/>
      <w:lvlText w:val="（%1）"/>
      <w:lvlJc w:val="left"/>
      <w:pPr>
        <w:ind w:left="620"/>
      </w:pPr>
      <w:rPr>
        <w:rFonts w:hint="eastAsia"/>
      </w:rPr>
    </w:lvl>
  </w:abstractNum>
  <w:num w:numId="1">
    <w:abstractNumId w:val="4"/>
  </w:num>
  <w:num w:numId="2">
    <w:abstractNumId w:val="0"/>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doNotWrapTextWithPunct/>
    <w:doNotUseEastAsianBreakRules/>
    <w:useFELayout/>
    <w:compatSetting w:name="compatibilityMode" w:uri="http://schemas.microsoft.com/office/word" w:val="14"/>
  </w:compat>
  <w:docVars>
    <w:docVar w:name="commondata" w:val="eyJoZGlkIjoiNGE2ZDVhYjFkNzNmZjA0ZTExM2M2ODcxZGVjNWRjNGEifQ=="/>
  </w:docVars>
  <w:rsids>
    <w:rsidRoot w:val="00000000"/>
    <w:rsid w:val="01F40F97"/>
    <w:rsid w:val="02A824AD"/>
    <w:rsid w:val="02B1196D"/>
    <w:rsid w:val="0BD04822"/>
    <w:rsid w:val="134F6B82"/>
    <w:rsid w:val="13955CCA"/>
    <w:rsid w:val="16315EBE"/>
    <w:rsid w:val="220F2D55"/>
    <w:rsid w:val="2F0E4B96"/>
    <w:rsid w:val="3DDE37D0"/>
    <w:rsid w:val="462A6302"/>
    <w:rsid w:val="4E0D453F"/>
    <w:rsid w:val="57541431"/>
    <w:rsid w:val="58B8456C"/>
    <w:rsid w:val="5C45759A"/>
    <w:rsid w:val="620167A1"/>
    <w:rsid w:val="69206851"/>
    <w:rsid w:val="6D7C6B93"/>
    <w:rsid w:val="76A571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12"/>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13"/>
    <w:qFormat/>
    <w:uiPriority w:val="0"/>
    <w:pPr>
      <w:keepNext/>
      <w:keepLines/>
      <w:spacing w:before="260" w:after="260" w:line="415" w:lineRule="auto"/>
      <w:outlineLvl w:val="1"/>
    </w:pPr>
    <w:rPr>
      <w:rFonts w:ascii="Times New Roman" w:hAnsi="Times New Roman" w:eastAsia="黑体"/>
      <w:b/>
      <w:bCs/>
      <w:sz w:val="32"/>
      <w:szCs w:val="32"/>
    </w:rPr>
  </w:style>
  <w:style w:type="paragraph" w:styleId="5">
    <w:name w:val="heading 3"/>
    <w:basedOn w:val="1"/>
    <w:next w:val="1"/>
    <w:link w:val="14"/>
    <w:qFormat/>
    <w:uiPriority w:val="0"/>
    <w:pPr>
      <w:keepNext/>
      <w:keepLines/>
      <w:spacing w:before="260" w:after="260" w:line="415" w:lineRule="auto"/>
      <w:outlineLvl w:val="2"/>
    </w:pPr>
    <w:rPr>
      <w:b/>
      <w:bCs/>
      <w:sz w:val="32"/>
      <w:szCs w:val="32"/>
    </w:rPr>
  </w:style>
  <w:style w:type="character" w:default="1" w:styleId="11">
    <w:name w:val="Default Paragraph Font"/>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1"/>
    <w:rPr>
      <w:rFonts w:ascii="仿宋" w:hAnsi="仿宋" w:eastAsia="仿宋" w:cs="仿宋"/>
      <w:sz w:val="32"/>
      <w:szCs w:val="32"/>
      <w:lang w:val="zh-CN" w:eastAsia="zh-CN" w:bidi="zh-CN"/>
    </w:r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widowControl/>
      <w:spacing w:before="100" w:beforeAutospacing="1" w:after="100" w:afterAutospacing="1"/>
      <w:jc w:val="left"/>
    </w:pPr>
    <w:rPr>
      <w:rFonts w:ascii="宋体" w:hAnsi="宋体" w:cs="宋体"/>
      <w:kern w:val="0"/>
      <w:sz w:val="24"/>
    </w:rPr>
  </w:style>
  <w:style w:type="table" w:styleId="10">
    <w:name w:val="Table Grid"/>
    <w:basedOn w:val="9"/>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2">
    <w:name w:val="heading 1 Char"/>
    <w:basedOn w:val="11"/>
    <w:link w:val="3"/>
    <w:uiPriority w:val="0"/>
    <w:rPr>
      <w:rFonts w:ascii="Times New Roman" w:hAnsi="Times New Roman" w:eastAsia="宋体" w:cs="Times New Roman"/>
      <w:b/>
      <w:bCs/>
      <w:kern w:val="44"/>
      <w:sz w:val="44"/>
      <w:szCs w:val="44"/>
      <w:lang w:val="en-US" w:eastAsia="zh-CN" w:bidi="ar-SA"/>
    </w:rPr>
  </w:style>
  <w:style w:type="character" w:customStyle="1" w:styleId="13">
    <w:name w:val="heading 2 Char"/>
    <w:basedOn w:val="11"/>
    <w:link w:val="4"/>
    <w:qFormat/>
    <w:uiPriority w:val="0"/>
    <w:rPr>
      <w:rFonts w:ascii="Times New Roman" w:hAnsi="Times New Roman" w:eastAsia="黑体" w:cs="Times New Roman"/>
      <w:b/>
      <w:bCs/>
      <w:kern w:val="2"/>
      <w:sz w:val="32"/>
      <w:szCs w:val="32"/>
      <w:lang w:val="en-US" w:eastAsia="zh-CN" w:bidi="ar-SA"/>
    </w:rPr>
  </w:style>
  <w:style w:type="character" w:customStyle="1" w:styleId="14">
    <w:name w:val="heading 3 Char"/>
    <w:basedOn w:val="11"/>
    <w:link w:val="5"/>
    <w:qFormat/>
    <w:uiPriority w:val="0"/>
    <w:rPr>
      <w:rFonts w:ascii="Times New Roman" w:hAnsi="Times New Roman" w:eastAsia="宋体" w:cs="Times New Roman"/>
      <w:b/>
      <w:bCs/>
      <w:kern w:val="2"/>
      <w:sz w:val="32"/>
      <w:szCs w:val="32"/>
      <w:lang w:val="en-US" w:eastAsia="zh-CN" w:bidi="ar-SA"/>
    </w:rPr>
  </w:style>
  <w:style w:type="paragraph" w:customStyle="1" w:styleId="15">
    <w:name w:val="Normal Indent1"/>
    <w:basedOn w:val="1"/>
    <w:qFormat/>
    <w:uiPriority w:val="0"/>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13</Pages>
  <Words>6174</Words>
  <Characters>6553</Characters>
  <Lines>0</Lines>
  <Paragraphs>31</Paragraphs>
  <TotalTime>1</TotalTime>
  <ScaleCrop>false</ScaleCrop>
  <LinksUpToDate>false</LinksUpToDate>
  <CharactersWithSpaces>6578</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汤之锦水</cp:lastModifiedBy>
  <cp:lastPrinted>2021-02-24T05:43:00Z</cp:lastPrinted>
  <dcterms:modified xsi:type="dcterms:W3CDTF">2025-04-29T02:19:06Z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28C64EFCB758481798A31117B3E7B5E3</vt:lpwstr>
  </property>
  <property fmtid="{D5CDD505-2E9C-101B-9397-08002B2CF9AE}" pid="4" name="KSOTemplateDocerSaveRecord">
    <vt:lpwstr>eyJoZGlkIjoiMTJmZTNkZjM0ZmIzNDI2OWQwMmEwZGMzMTA5Yjc2ZGEiLCJ1c2VySWQiOiIyNDE3NjcyOTUifQ==</vt:lpwstr>
  </property>
</Properties>
</file>