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5F694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0D02FD5">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val="0"/>
          <w:bCs w:val="0"/>
          <w:sz w:val="44"/>
          <w:szCs w:val="44"/>
          <w:lang w:val="en-US" w:eastAsia="zh-CN"/>
        </w:rPr>
      </w:pPr>
      <w:r>
        <w:rPr>
          <w:rFonts w:hint="eastAsia" w:ascii="方正小标宋_GBK" w:hAnsi="方正小标宋_GBK" w:eastAsia="方正小标宋_GBK" w:cs="方正小标宋_GBK"/>
          <w:b w:val="0"/>
          <w:bCs w:val="0"/>
          <w:sz w:val="44"/>
          <w:szCs w:val="44"/>
          <w:lang w:val="en-US" w:eastAsia="zh-CN"/>
        </w:rPr>
        <w:t>藁城区委网信办</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val="0"/>
          <w:bCs w:val="0"/>
          <w:sz w:val="44"/>
          <w:szCs w:val="44"/>
          <w:lang w:val="en-US" w:eastAsia="zh-CN"/>
        </w:rPr>
      </w:pPr>
      <w:r>
        <w:rPr>
          <w:rFonts w:hint="eastAsia" w:ascii="方正小标宋_GBK" w:hAnsi="方正小标宋_GBK" w:eastAsia="方正小标宋_GBK" w:cs="方正小标宋_GBK"/>
          <w:b w:val="0"/>
          <w:bCs w:val="0"/>
          <w:sz w:val="44"/>
          <w:szCs w:val="44"/>
          <w:lang w:val="en-US" w:eastAsia="zh-CN"/>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藁城区委网信办</w:t>
      </w:r>
      <w:r>
        <w:rPr>
          <w:rFonts w:hint="eastAsia" w:ascii="仿宋_GB2312" w:hAnsi="仿宋_GB2312" w:eastAsia="仿宋_GB2312" w:cs="仿宋_GB2312"/>
          <w:sz w:val="32"/>
          <w:szCs w:val="32"/>
          <w:highlight w:val="none"/>
          <w:lang w:eastAsia="zh-CN"/>
        </w:rPr>
        <w:t>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8579D8D">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藁城区</w:t>
      </w:r>
      <w:r>
        <w:rPr>
          <w:rFonts w:hint="eastAsia" w:ascii="仿宋_GB2312" w:hAnsi="仿宋_GB2312" w:eastAsia="仿宋_GB2312" w:cs="仿宋_GB2312"/>
          <w:sz w:val="32"/>
          <w:szCs w:val="32"/>
          <w:lang w:val="en-US" w:eastAsia="zh-CN"/>
        </w:rPr>
        <w:t>委网信办</w:t>
      </w:r>
      <w:r>
        <w:rPr>
          <w:rFonts w:hint="eastAsia" w:ascii="仿宋_GB2312" w:hAnsi="仿宋_GB2312" w:eastAsia="仿宋_GB2312" w:cs="仿宋_GB2312"/>
          <w:sz w:val="32"/>
          <w:szCs w:val="32"/>
          <w:lang w:eastAsia="zh-CN"/>
        </w:rPr>
        <w:t>为区委正科级</w:t>
      </w:r>
      <w:r>
        <w:rPr>
          <w:rFonts w:hint="eastAsia" w:ascii="仿宋_GB2312" w:hAnsi="仿宋_GB2312" w:eastAsia="仿宋_GB2312" w:cs="仿宋_GB2312"/>
          <w:sz w:val="32"/>
          <w:szCs w:val="32"/>
          <w:lang w:val="en-US" w:eastAsia="zh-CN"/>
        </w:rPr>
        <w:t>行政机关</w:t>
      </w:r>
      <w:r>
        <w:rPr>
          <w:rFonts w:hint="eastAsia" w:ascii="仿宋_GB2312" w:hAnsi="仿宋_GB2312" w:eastAsia="仿宋_GB2312" w:cs="仿宋_GB2312"/>
          <w:sz w:val="32"/>
          <w:szCs w:val="32"/>
          <w:lang w:eastAsia="zh-CN"/>
        </w:rPr>
        <w:t>，编制</w:t>
      </w:r>
      <w:r>
        <w:rPr>
          <w:rFonts w:hint="eastAsia" w:ascii="仿宋_GB2312" w:hAnsi="仿宋_GB2312" w:eastAsia="仿宋_GB2312" w:cs="仿宋_GB2312"/>
          <w:sz w:val="32"/>
          <w:szCs w:val="32"/>
          <w:lang w:val="en-US" w:eastAsia="zh-CN"/>
        </w:rPr>
        <w:t>13人，实有人数11人。内设综合股、网络宣传管理股、网络安全和信息化协调股。所属股级事业单位1个：石家庄市藁城区网络舆情中心。</w:t>
      </w:r>
    </w:p>
    <w:tbl>
      <w:tblPr>
        <w:tblStyle w:val="9"/>
        <w:tblpPr w:leftFromText="180" w:rightFromText="180" w:vertAnchor="text" w:horzAnchor="page" w:tblpX="1959" w:tblpY="109"/>
        <w:tblOverlap w:val="never"/>
        <w:tblW w:w="89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5"/>
        <w:gridCol w:w="2225"/>
        <w:gridCol w:w="2225"/>
        <w:gridCol w:w="2225"/>
      </w:tblGrid>
      <w:tr w14:paraId="2242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tblHeader/>
        </w:trPr>
        <w:tc>
          <w:tcPr>
            <w:tcW w:w="2225" w:type="dxa"/>
            <w:vAlign w:val="center"/>
          </w:tcPr>
          <w:p w14:paraId="76C2D91A">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单位名称</w:t>
            </w:r>
          </w:p>
        </w:tc>
        <w:tc>
          <w:tcPr>
            <w:tcW w:w="2225" w:type="dxa"/>
            <w:vAlign w:val="center"/>
          </w:tcPr>
          <w:p w14:paraId="52E983F8">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单位性质</w:t>
            </w:r>
          </w:p>
        </w:tc>
        <w:tc>
          <w:tcPr>
            <w:tcW w:w="2225" w:type="dxa"/>
            <w:vAlign w:val="center"/>
          </w:tcPr>
          <w:p w14:paraId="57412329">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单位规格</w:t>
            </w:r>
          </w:p>
        </w:tc>
        <w:tc>
          <w:tcPr>
            <w:tcW w:w="2225" w:type="dxa"/>
            <w:vAlign w:val="center"/>
          </w:tcPr>
          <w:p w14:paraId="320CA6AA">
            <w:pPr>
              <w:pStyle w:val="14"/>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经费保障形式</w:t>
            </w:r>
          </w:p>
        </w:tc>
      </w:tr>
      <w:tr w14:paraId="7F36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8" w:hRule="atLeast"/>
        </w:trPr>
        <w:tc>
          <w:tcPr>
            <w:tcW w:w="2225" w:type="dxa"/>
            <w:vAlign w:val="center"/>
          </w:tcPr>
          <w:p w14:paraId="5CE7D0F3">
            <w:pPr>
              <w:pStyle w:val="1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中共石家庄市藁城区委网络安全和信息化委员会办公室本级</w:t>
            </w:r>
          </w:p>
        </w:tc>
        <w:tc>
          <w:tcPr>
            <w:tcW w:w="2225" w:type="dxa"/>
            <w:vAlign w:val="center"/>
          </w:tcPr>
          <w:p w14:paraId="5E0442AD">
            <w:pPr>
              <w:pStyle w:val="1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w:t>
            </w:r>
          </w:p>
        </w:tc>
        <w:tc>
          <w:tcPr>
            <w:tcW w:w="2225" w:type="dxa"/>
            <w:vAlign w:val="center"/>
          </w:tcPr>
          <w:p w14:paraId="06620015">
            <w:pPr>
              <w:pStyle w:val="1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2225" w:type="dxa"/>
            <w:vAlign w:val="center"/>
          </w:tcPr>
          <w:p w14:paraId="666716A5">
            <w:pPr>
              <w:pStyle w:val="16"/>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财政拨款</w:t>
            </w:r>
          </w:p>
        </w:tc>
      </w:tr>
    </w:tbl>
    <w:p w14:paraId="508E2C5E">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楷体_GB2312" w:hAnsi="楷体_GB2312" w:eastAsia="楷体_GB2312" w:cs="楷体_GB2312"/>
          <w:bCs/>
          <w:sz w:val="32"/>
          <w:szCs w:val="32"/>
        </w:rPr>
      </w:pPr>
    </w:p>
    <w:p w14:paraId="7EE05842">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07F8357F">
      <w:pPr>
        <w:pStyle w:val="2"/>
        <w:numPr>
          <w:ilvl w:val="0"/>
          <w:numId w:val="0"/>
        </w:numPr>
        <w:rPr>
          <w:rFonts w:hint="eastAsia" w:ascii="仿宋_GB2312" w:hAnsi="仿宋_GB2312" w:eastAsia="仿宋_GB2312" w:cs="仿宋_GB2312"/>
          <w:sz w:val="32"/>
          <w:szCs w:val="32"/>
          <w:lang w:val="en-US" w:eastAsia="zh-CN"/>
        </w:rPr>
      </w:pPr>
      <w:r>
        <w:rPr>
          <w:rFonts w:hint="eastAsia"/>
          <w:lang w:val="en-US" w:eastAsia="zh-CN"/>
        </w:rPr>
        <w:t xml:space="preserve">       </w:t>
      </w:r>
      <w:r>
        <w:rPr>
          <w:rFonts w:hint="eastAsia" w:ascii="仿宋_GB2312" w:hAnsi="仿宋_GB2312" w:eastAsia="仿宋_GB2312" w:cs="仿宋_GB2312"/>
          <w:sz w:val="32"/>
          <w:szCs w:val="32"/>
          <w:lang w:val="en-US" w:eastAsia="zh-CN"/>
        </w:rPr>
        <w:t>2024年部门年初预算收支安排均为237.66万元，其中项目收支预算均为项目支出43.88万元；2024年部门收支决算均为</w:t>
      </w:r>
      <w:r>
        <w:rPr>
          <w:rFonts w:hint="eastAsia" w:ascii="仿宋_GB2312" w:hAnsi="仿宋_GB2312" w:eastAsia="仿宋_GB2312" w:cs="仿宋_GB2312"/>
          <w:sz w:val="32"/>
          <w:szCs w:val="32"/>
          <w:lang w:val="en-US" w:eastAsia="zh-CN" w:bidi="ar-SA"/>
        </w:rPr>
        <w:t>226.94</w:t>
      </w:r>
      <w:r>
        <w:rPr>
          <w:rFonts w:hint="eastAsia" w:ascii="仿宋_GB2312" w:hAnsi="仿宋_GB2312" w:eastAsia="仿宋_GB2312" w:cs="仿宋_GB2312"/>
          <w:sz w:val="32"/>
          <w:szCs w:val="32"/>
          <w:lang w:val="en-US" w:eastAsia="zh-CN"/>
        </w:rPr>
        <w:t>万元，其中项目收支决算均为</w:t>
      </w:r>
      <w:r>
        <w:rPr>
          <w:rFonts w:hint="eastAsia" w:ascii="仿宋_GB2312" w:eastAsia="仿宋_GB2312"/>
          <w:sz w:val="32"/>
          <w:szCs w:val="32"/>
          <w:lang w:val="en-US" w:eastAsia="zh-CN"/>
        </w:rPr>
        <w:t>39.22</w:t>
      </w:r>
      <w:r>
        <w:rPr>
          <w:rFonts w:hint="eastAsia" w:ascii="仿宋_GB2312" w:hAnsi="仿宋_GB2312" w:eastAsia="仿宋_GB2312" w:cs="仿宋_GB2312"/>
          <w:sz w:val="32"/>
          <w:szCs w:val="32"/>
          <w:lang w:val="en-US" w:eastAsia="zh-CN"/>
        </w:rPr>
        <w:t>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5418DF0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2024年，区委网信办负责互联网信息内容、网络舆情信息管理工作，组织协调互联网宣传和舆论引导工作，</w:t>
      </w:r>
      <w:r>
        <w:rPr>
          <w:rFonts w:hint="eastAsia" w:ascii="仿宋_GB2312" w:hAnsi="仿宋_GB2312" w:eastAsia="仿宋_GB2312" w:cs="仿宋_GB2312"/>
          <w:sz w:val="32"/>
          <w:szCs w:val="32"/>
        </w:rPr>
        <w:t>统筹协调全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网络安全保障体系和</w:t>
      </w:r>
      <w:r>
        <w:rPr>
          <w:rFonts w:hint="eastAsia" w:ascii="仿宋_GB2312" w:hAnsi="仿宋_GB2312" w:eastAsia="仿宋_GB2312" w:cs="仿宋_GB2312"/>
          <w:sz w:val="32"/>
          <w:szCs w:val="32"/>
          <w:lang w:val="en-US" w:eastAsia="zh-CN"/>
        </w:rPr>
        <w:t>网络综合治理</w:t>
      </w:r>
      <w:r>
        <w:rPr>
          <w:rFonts w:hint="eastAsia" w:ascii="仿宋_GB2312" w:hAnsi="仿宋_GB2312" w:eastAsia="仿宋_GB2312" w:cs="仿宋_GB2312"/>
          <w:sz w:val="32"/>
          <w:szCs w:val="32"/>
        </w:rPr>
        <w:t>体系建设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完成省</w:t>
      </w:r>
      <w:bookmarkStart w:id="0" w:name="_GoBack"/>
      <w:bookmarkEnd w:id="0"/>
      <w:r>
        <w:rPr>
          <w:rFonts w:hint="eastAsia" w:ascii="仿宋_GB2312" w:hAnsi="仿宋_GB2312" w:eastAsia="仿宋_GB2312" w:cs="仿宋_GB2312"/>
          <w:sz w:val="32"/>
          <w:szCs w:val="32"/>
          <w:lang w:val="en-US" w:eastAsia="zh-CN"/>
        </w:rPr>
        <w:t>市委网信办交办的各项工任务，我办申请的7个项目财政预算资金到位率均达到100%，支出率均达到100%，所有</w:t>
      </w:r>
      <w:r>
        <w:rPr>
          <w:rFonts w:hint="eastAsia" w:ascii="仿宋_GB2312" w:hAnsi="仿宋_GB2312" w:eastAsia="仿宋_GB2312" w:cs="仿宋_GB2312"/>
          <w:sz w:val="32"/>
          <w:szCs w:val="32"/>
        </w:rPr>
        <w:t>项目的预期绩效目标完成</w:t>
      </w:r>
      <w:r>
        <w:rPr>
          <w:rFonts w:hint="eastAsia" w:ascii="仿宋_GB2312" w:hAnsi="仿宋_GB2312" w:eastAsia="仿宋_GB2312" w:cs="仿宋_GB2312"/>
          <w:sz w:val="32"/>
          <w:szCs w:val="32"/>
          <w:lang w:val="en-US" w:eastAsia="zh-CN"/>
        </w:rPr>
        <w:t>率均达到100%。</w:t>
      </w:r>
    </w:p>
    <w:p w14:paraId="6428DC0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189A7B78">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藁城区委网信办高度重视绩效自评工作，成立了由主任为组长、副主任为副组长，相关业务股室股长为成员的绩效自评工作小组，对2024年度项目进行全面系统的评价。</w:t>
      </w:r>
    </w:p>
    <w:p w14:paraId="57384603">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rPr>
        <w:t>自评的方法和过程</w:t>
      </w:r>
    </w:p>
    <w:p w14:paraId="69521598">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通过实地查看、核对账务，对2024年项目资金的收入、支出、日常财务管理等项目绩效实施情况作了系统、全面的评价。</w:t>
      </w:r>
    </w:p>
    <w:p w14:paraId="0049ED86">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rPr>
      </w:pPr>
      <w:r>
        <w:rPr>
          <w:rFonts w:hint="eastAsia" w:ascii="仿宋_GB2312" w:hAnsi="仿宋_GB2312" w:eastAsia="仿宋_GB2312" w:cs="仿宋_GB2312"/>
          <w:sz w:val="32"/>
          <w:szCs w:val="32"/>
          <w:lang w:val="en-US" w:eastAsia="zh-CN"/>
        </w:rPr>
        <w:t>为更好地发挥网信办的职能作用，区委网信办2024年申请了7个项目资金共39.22万元，实际执行金额为39.22万元，各项目按照财政收支管理规定支出所有专项资金。</w:t>
      </w:r>
    </w:p>
    <w:p w14:paraId="4597DBB6">
      <w:pPr>
        <w:pStyle w:val="2"/>
        <w:numPr>
          <w:ilvl w:val="0"/>
          <w:numId w:val="0"/>
        </w:numPr>
        <w:rPr>
          <w:rFonts w:hint="eastAsia"/>
        </w:rPr>
      </w:pP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1E1DC42A">
      <w:pPr>
        <w:pStyle w:val="17"/>
        <w:ind w:firstLine="640" w:firstLineChars="200"/>
        <w:rPr>
          <w:rFonts w:hint="eastAsia" w:ascii="仿宋_GB2312" w:hAnsi="仿宋_GB2312" w:eastAsia="仿宋_GB2312" w:cs="仿宋_GB2312"/>
          <w:sz w:val="32"/>
          <w:szCs w:val="32"/>
          <w:highlight w:val="none"/>
          <w:lang w:eastAsia="zh-CN"/>
        </w:rPr>
      </w:pPr>
      <w:r>
        <w:rPr>
          <w:rFonts w:hint="eastAsia" w:ascii="仿宋_GB2312" w:hAnsi="Calibri" w:eastAsia="仿宋_GB2312" w:cs="Times New Roman"/>
          <w:kern w:val="2"/>
          <w:sz w:val="32"/>
          <w:szCs w:val="32"/>
          <w:lang w:val="en-US" w:eastAsia="zh-CN" w:bidi="ar-SA"/>
        </w:rPr>
        <w:t>2024年，区委网信办始终坚持以习近平新时代中国特色社会主义思想特别是习近平总书记关于网络强国的重要思想为指导，深入贯彻中央和省市区委重要决策部署，着力推动网信工作高质量发展。一是</w:t>
      </w:r>
      <w:r>
        <w:rPr>
          <w:rFonts w:hint="eastAsia" w:ascii="仿宋_GB2312" w:hAnsi="Calibri" w:eastAsia="仿宋_GB2312"/>
          <w:sz w:val="32"/>
          <w:szCs w:val="32"/>
          <w:lang w:bidi="ar-SA"/>
        </w:rPr>
        <w:t>坚持政治引领，壮大网络空间主流思想舆论。二是</w:t>
      </w:r>
      <w:r>
        <w:rPr>
          <w:rFonts w:hint="eastAsia" w:ascii="仿宋_GB2312" w:hAnsi="Calibri" w:eastAsia="仿宋_GB2312"/>
          <w:sz w:val="32"/>
          <w:szCs w:val="32"/>
          <w:lang w:val="en-US" w:eastAsia="zh-CN" w:bidi="ar-SA"/>
        </w:rPr>
        <w:t>坚持闭环处置，提升网络舆情监测处置效能。三是坚持固本强基，建强网络意识形态工作阵地。四是坚持靶向施策，筑牢网络安全坚实防线。</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5933623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（一）网络宣传管理效果进一步提升</w:t>
      </w:r>
    </w:p>
    <w:p w14:paraId="214D98E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绩效目标：</w:t>
      </w:r>
      <w:r>
        <w:rPr>
          <w:rFonts w:hint="eastAsia" w:ascii="仿宋_GB2312" w:hAnsi="仿宋_GB2312" w:eastAsia="仿宋_GB2312" w:cs="仿宋_GB2312"/>
          <w:sz w:val="32"/>
          <w:szCs w:val="32"/>
          <w:lang w:val="en-US" w:eastAsia="zh-CN"/>
        </w:rPr>
        <w:t>进一步提升互联网宣传教育活动效果和网络综合治理效果，进一步加强网络文化建设能力，全面展示我区网上新形象。</w:t>
      </w:r>
    </w:p>
    <w:p w14:paraId="67DC6B6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eastAsia="仿宋_GB2312"/>
          <w:b w:val="0"/>
          <w:bCs w:val="0"/>
          <w:color w:val="000000"/>
          <w:sz w:val="32"/>
          <w:szCs w:val="32"/>
          <w:lang w:val="en-US" w:eastAsia="zh-CN"/>
        </w:rPr>
      </w:pPr>
      <w:r>
        <w:rPr>
          <w:rFonts w:hint="eastAsia" w:ascii="仿宋_GB2312" w:hAnsi="仿宋_GB2312" w:eastAsia="仿宋_GB2312" w:cs="仿宋_GB2312"/>
          <w:b/>
          <w:bCs/>
          <w:sz w:val="32"/>
          <w:szCs w:val="32"/>
          <w:lang w:val="en-US" w:eastAsia="zh-CN"/>
        </w:rPr>
        <w:t>绩效指标:</w:t>
      </w:r>
      <w:r>
        <w:rPr>
          <w:rFonts w:hint="eastAsia" w:ascii="仿宋_GB2312" w:eastAsia="仿宋_GB2312"/>
          <w:b w:val="0"/>
          <w:bCs w:val="0"/>
          <w:color w:val="000000"/>
          <w:sz w:val="32"/>
          <w:szCs w:val="32"/>
          <w:lang w:val="en-US" w:eastAsia="zh-CN"/>
        </w:rPr>
        <w:t>互联网宣传教育活动有效开展，大力开展网络文明志愿服务活动，做好网评及舆论引导工作。</w:t>
      </w:r>
    </w:p>
    <w:p w14:paraId="62C8EFD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（二）网络综合治理体系建设持续推进。</w:t>
      </w:r>
    </w:p>
    <w:p w14:paraId="68F050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绩效目标：</w:t>
      </w:r>
      <w:r>
        <w:rPr>
          <w:rFonts w:hint="eastAsia" w:ascii="仿宋_GB2312" w:hAnsi="仿宋_GB2312" w:eastAsia="仿宋_GB2312" w:cs="仿宋_GB2312"/>
          <w:b w:val="0"/>
          <w:bCs w:val="0"/>
          <w:color w:val="000000"/>
          <w:sz w:val="32"/>
          <w:szCs w:val="32"/>
          <w:lang w:val="en-US" w:eastAsia="zh-CN"/>
        </w:rPr>
        <w:t>持续提升网络安全意识，强化</w:t>
      </w:r>
      <w:r>
        <w:rPr>
          <w:rFonts w:hint="eastAsia" w:ascii="仿宋_GB2312" w:hAnsi="仿宋_GB2312" w:eastAsia="仿宋_GB2312" w:cs="仿宋_GB2312"/>
          <w:b w:val="0"/>
          <w:bCs w:val="0"/>
          <w:color w:val="000000"/>
          <w:kern w:val="2"/>
          <w:sz w:val="32"/>
          <w:szCs w:val="32"/>
          <w:lang w:val="en-US" w:eastAsia="zh-CN" w:bidi="ar-SA"/>
        </w:rPr>
        <w:t>舆情监测能力。</w:t>
      </w:r>
    </w:p>
    <w:p w14:paraId="4EB9B23F">
      <w:pPr>
        <w:pStyle w:val="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绩效指标：</w:t>
      </w:r>
      <w:r>
        <w:rPr>
          <w:rFonts w:hint="eastAsia" w:ascii="仿宋_GB2312" w:hAnsi="仿宋_GB2312" w:eastAsia="仿宋_GB2312" w:cs="仿宋_GB2312"/>
          <w:b w:val="0"/>
          <w:bCs w:val="0"/>
          <w:color w:val="000000"/>
          <w:sz w:val="32"/>
          <w:szCs w:val="32"/>
          <w:lang w:val="en-US" w:eastAsia="zh-CN"/>
        </w:rPr>
        <w:t>网络安全检查常态化，</w:t>
      </w:r>
      <w:r>
        <w:rPr>
          <w:rFonts w:hint="eastAsia" w:ascii="仿宋_GB2312" w:hAnsi="仿宋_GB2312" w:eastAsia="仿宋_GB2312" w:cs="仿宋_GB2312"/>
          <w:sz w:val="32"/>
          <w:szCs w:val="32"/>
          <w:lang w:val="en-US" w:eastAsia="zh-CN"/>
        </w:rPr>
        <w:t>专业化业务培训</w:t>
      </w:r>
      <w:r>
        <w:rPr>
          <w:rFonts w:hint="eastAsia" w:ascii="仿宋_GB2312" w:hAnsi="仿宋_GB2312" w:eastAsia="仿宋_GB2312" w:cs="仿宋_GB2312"/>
          <w:b w:val="0"/>
          <w:bCs w:val="0"/>
          <w:color w:val="000000"/>
          <w:sz w:val="32"/>
          <w:szCs w:val="32"/>
          <w:lang w:val="en-US" w:eastAsia="zh-CN"/>
        </w:rPr>
        <w:t>长效化。</w:t>
      </w:r>
    </w:p>
    <w:p w14:paraId="570E08C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(三)网络安全防护能力有效提升</w:t>
      </w:r>
    </w:p>
    <w:p w14:paraId="025567A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绩效目标:</w:t>
      </w:r>
      <w:r>
        <w:rPr>
          <w:rFonts w:hint="eastAsia" w:ascii="仿宋_GB2312" w:hAnsi="仿宋_GB2312" w:eastAsia="仿宋_GB2312" w:cs="仿宋_GB2312"/>
          <w:sz w:val="32"/>
          <w:szCs w:val="32"/>
          <w:lang w:val="en-US" w:eastAsia="zh-CN"/>
        </w:rPr>
        <w:t>网络安全工作体制机制逐步完善，网络安全工作责任制进一步落实，网络安全支撑力量不断拓展，网络安全基础工作更加扎实，网络安全防护能力有效提升。</w:t>
      </w:r>
    </w:p>
    <w:p w14:paraId="4193DE58">
      <w:pPr>
        <w:keepNext w:val="0"/>
        <w:keepLines w:val="0"/>
        <w:pageBreakBefore w:val="0"/>
        <w:widowControl w:val="0"/>
        <w:kinsoku/>
        <w:wordWrap/>
        <w:overflowPunct/>
        <w:topLinePunct w:val="0"/>
        <w:autoSpaceDE/>
        <w:autoSpaceDN/>
        <w:bidi w:val="0"/>
        <w:adjustRightInd/>
        <w:snapToGrid w:val="0"/>
        <w:spacing w:line="560" w:lineRule="exact"/>
        <w:ind w:left="0" w:right="0"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绩效指标:</w:t>
      </w:r>
      <w:r>
        <w:rPr>
          <w:rFonts w:hint="eastAsia" w:ascii="仿宋_GB2312" w:hAnsi="仿宋_GB2312" w:eastAsia="仿宋_GB2312" w:cs="仿宋_GB2312"/>
          <w:sz w:val="32"/>
          <w:szCs w:val="32"/>
          <w:lang w:val="en-US" w:eastAsia="zh-CN"/>
        </w:rPr>
        <w:t>组织开展网络安全检查，进一步提升我区网络安全管理水平，增强网络安全防护能力。</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044498FC">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通过2024年绩效自评，2024年年初绩效目标设定质量较高，</w:t>
      </w:r>
      <w:r>
        <w:rPr>
          <w:rFonts w:hint="eastAsia" w:ascii="仿宋_GB2312" w:hAnsi="仿宋_GB2312" w:eastAsia="仿宋_GB2312" w:cs="仿宋_GB2312"/>
          <w:sz w:val="32"/>
          <w:szCs w:val="32"/>
        </w:rPr>
        <w:t>绩效目标设定</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清晰准确，绩效指标</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全面完整、科学合理，绩效标准</w:t>
      </w:r>
      <w:r>
        <w:rPr>
          <w:rFonts w:hint="eastAsia" w:ascii="仿宋_GB2312" w:hAnsi="仿宋_GB2312" w:eastAsia="仿宋_GB2312" w:cs="仿宋_GB2312"/>
          <w:sz w:val="32"/>
          <w:szCs w:val="32"/>
          <w:lang w:val="en-US" w:eastAsia="zh-CN"/>
        </w:rPr>
        <w:t>比较</w:t>
      </w:r>
      <w:r>
        <w:rPr>
          <w:rFonts w:hint="eastAsia" w:ascii="仿宋_GB2312" w:hAnsi="仿宋_GB2312" w:eastAsia="仿宋_GB2312" w:cs="仿宋_GB2312"/>
          <w:sz w:val="32"/>
          <w:szCs w:val="32"/>
        </w:rPr>
        <w:t>恰当适宜、易于评价</w:t>
      </w:r>
      <w:r>
        <w:rPr>
          <w:rFonts w:hint="eastAsia" w:ascii="仿宋" w:hAnsi="仿宋" w:eastAsia="仿宋"/>
          <w:sz w:val="32"/>
          <w:szCs w:val="32"/>
        </w:rPr>
        <w:t>，</w:t>
      </w:r>
      <w:r>
        <w:rPr>
          <w:rFonts w:hint="eastAsia" w:ascii="仿宋" w:hAnsi="仿宋" w:eastAsia="仿宋"/>
          <w:sz w:val="32"/>
          <w:szCs w:val="32"/>
          <w:lang w:val="en-US" w:eastAsia="zh-CN"/>
        </w:rPr>
        <w:t>项目</w:t>
      </w:r>
      <w:r>
        <w:rPr>
          <w:rFonts w:hint="eastAsia" w:ascii="仿宋_GB2312" w:hAnsi="仿宋_GB2312" w:eastAsia="仿宋_GB2312" w:cs="仿宋_GB2312"/>
          <w:sz w:val="32"/>
          <w:szCs w:val="32"/>
        </w:rPr>
        <w:t>总</w:t>
      </w:r>
      <w:r>
        <w:rPr>
          <w:rFonts w:hint="eastAsia" w:ascii="仿宋_GB2312" w:hAnsi="仿宋_GB2312" w:eastAsia="仿宋_GB2312" w:cs="仿宋_GB2312"/>
          <w:sz w:val="32"/>
          <w:szCs w:val="32"/>
          <w:lang w:val="en-US" w:eastAsia="zh-CN"/>
        </w:rPr>
        <w:t>体</w:t>
      </w:r>
      <w:r>
        <w:rPr>
          <w:rFonts w:hint="eastAsia" w:ascii="仿宋_GB2312" w:hAnsi="仿宋_GB2312" w:eastAsia="仿宋_GB2312" w:cs="仿宋_GB2312"/>
          <w:sz w:val="32"/>
          <w:szCs w:val="32"/>
        </w:rPr>
        <w:t>得分</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分，综合评价结论和项目综合绩效评价等级</w:t>
      </w:r>
      <w:r>
        <w:rPr>
          <w:rFonts w:hint="eastAsia" w:ascii="仿宋_GB2312" w:hAnsi="仿宋_GB2312" w:eastAsia="仿宋_GB2312" w:cs="仿宋_GB2312"/>
          <w:sz w:val="32"/>
          <w:szCs w:val="32"/>
          <w:lang w:val="en-US" w:eastAsia="zh-CN"/>
        </w:rPr>
        <w:t>为优秀</w:t>
      </w:r>
      <w:r>
        <w:rPr>
          <w:rFonts w:hint="eastAsia" w:ascii="仿宋_GB2312" w:hAnsi="仿宋_GB2312" w:eastAsia="仿宋_GB2312" w:cs="仿宋_GB2312"/>
          <w:sz w:val="32"/>
          <w:szCs w:val="32"/>
        </w:rPr>
        <w:t>。</w:t>
      </w:r>
    </w:p>
    <w:p w14:paraId="37744A88">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bCs/>
          <w:sz w:val="32"/>
          <w:szCs w:val="32"/>
        </w:rPr>
        <w:t>（一）存在的主要问题</w:t>
      </w:r>
      <w:r>
        <w:rPr>
          <w:rFonts w:hint="eastAsia" w:ascii="楷体_GB2312" w:hAnsi="楷体_GB2312" w:eastAsia="楷体_GB2312" w:cs="楷体_GB2312"/>
          <w:bCs/>
          <w:sz w:val="32"/>
          <w:szCs w:val="32"/>
          <w:lang w:eastAsia="zh-CN"/>
        </w:rPr>
        <w:t>：</w:t>
      </w:r>
      <w:r>
        <w:rPr>
          <w:rFonts w:hint="eastAsia" w:ascii="仿宋_GB2312" w:hAnsi="仿宋_GB2312" w:eastAsia="仿宋_GB2312" w:cs="仿宋_GB2312"/>
          <w:sz w:val="32"/>
          <w:szCs w:val="32"/>
          <w:lang w:val="en-US" w:eastAsia="zh-CN"/>
        </w:rPr>
        <w:t>无</w:t>
      </w:r>
    </w:p>
    <w:p w14:paraId="6E19DF3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bCs/>
          <w:sz w:val="32"/>
          <w:szCs w:val="32"/>
        </w:rPr>
        <w:t>（二）针对问题提出具体的改进措施或建议</w:t>
      </w:r>
      <w:r>
        <w:rPr>
          <w:rFonts w:hint="eastAsia" w:ascii="楷体_GB2312" w:hAnsi="楷体_GB2312" w:eastAsia="楷体_GB2312" w:cs="楷体_GB2312"/>
          <w:bCs/>
          <w:sz w:val="32"/>
          <w:szCs w:val="32"/>
          <w:lang w:eastAsia="zh-CN"/>
        </w:rPr>
        <w:t>：</w:t>
      </w:r>
      <w:r>
        <w:rPr>
          <w:rFonts w:hint="eastAsia" w:ascii="仿宋_GB2312" w:hAnsi="仿宋_GB2312" w:eastAsia="仿宋_GB2312" w:cs="仿宋_GB2312"/>
          <w:sz w:val="32"/>
          <w:szCs w:val="32"/>
          <w:lang w:val="en-US" w:eastAsia="zh-CN"/>
        </w:rPr>
        <w:t>无</w:t>
      </w:r>
    </w:p>
    <w:p w14:paraId="60D862A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9"/>
        <w:tblpPr w:leftFromText="180" w:rightFromText="180" w:vertAnchor="text" w:horzAnchor="page" w:tblpX="1747" w:tblpY="30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44"/>
        <w:gridCol w:w="2730"/>
        <w:gridCol w:w="2647"/>
      </w:tblGrid>
      <w:tr w14:paraId="001E6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4" w:type="dxa"/>
          </w:tcPr>
          <w:p w14:paraId="7C4D3439">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730" w:type="dxa"/>
          </w:tcPr>
          <w:p w14:paraId="4883CA75">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2647" w:type="dxa"/>
          </w:tcPr>
          <w:p w14:paraId="25B75EE8">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781D7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4" w:type="dxa"/>
            <w:vMerge w:val="restart"/>
          </w:tcPr>
          <w:p w14:paraId="345609B8">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p w14:paraId="4581B34E">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区委网信办</w:t>
            </w:r>
          </w:p>
        </w:tc>
        <w:tc>
          <w:tcPr>
            <w:tcW w:w="2730" w:type="dxa"/>
            <w:tcBorders>
              <w:left w:val="single" w:color="auto" w:sz="4" w:space="0"/>
            </w:tcBorders>
          </w:tcPr>
          <w:p w14:paraId="0CCF88B4">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主任</w:t>
            </w:r>
          </w:p>
        </w:tc>
        <w:tc>
          <w:tcPr>
            <w:tcW w:w="2647" w:type="dxa"/>
            <w:tcBorders>
              <w:left w:val="single" w:color="auto" w:sz="4" w:space="0"/>
            </w:tcBorders>
          </w:tcPr>
          <w:p w14:paraId="50678E08">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付子帅</w:t>
            </w:r>
          </w:p>
        </w:tc>
      </w:tr>
      <w:tr w14:paraId="161C2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4" w:type="dxa"/>
            <w:vMerge w:val="continue"/>
          </w:tcPr>
          <w:p w14:paraId="65167EE6">
            <w:pPr>
              <w:jc w:val="center"/>
            </w:pPr>
          </w:p>
        </w:tc>
        <w:tc>
          <w:tcPr>
            <w:tcW w:w="2730" w:type="dxa"/>
            <w:tcBorders>
              <w:left w:val="single" w:color="auto" w:sz="4" w:space="0"/>
            </w:tcBorders>
          </w:tcPr>
          <w:p w14:paraId="0BA6B254">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副主任</w:t>
            </w:r>
          </w:p>
        </w:tc>
        <w:tc>
          <w:tcPr>
            <w:tcW w:w="2647" w:type="dxa"/>
            <w:tcBorders>
              <w:left w:val="single" w:color="auto" w:sz="4" w:space="0"/>
            </w:tcBorders>
          </w:tcPr>
          <w:p w14:paraId="57238139">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张倩</w:t>
            </w:r>
          </w:p>
        </w:tc>
      </w:tr>
      <w:tr w14:paraId="156E1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trPr>
        <w:tc>
          <w:tcPr>
            <w:tcW w:w="3344" w:type="dxa"/>
            <w:vMerge w:val="continue"/>
          </w:tcPr>
          <w:p w14:paraId="6D299E65">
            <w:pPr>
              <w:jc w:val="center"/>
            </w:pPr>
          </w:p>
        </w:tc>
        <w:tc>
          <w:tcPr>
            <w:tcW w:w="2730" w:type="dxa"/>
            <w:tcBorders>
              <w:left w:val="single" w:color="auto" w:sz="4" w:space="0"/>
            </w:tcBorders>
          </w:tcPr>
          <w:p w14:paraId="0BD47437">
            <w:pPr>
              <w:pBdr>
                <w:top w:val="none" w:color="auto" w:sz="0" w:space="0"/>
                <w:left w:val="none" w:color="auto" w:sz="0" w:space="0"/>
                <w:bottom w:val="none" w:color="auto" w:sz="0" w:space="0"/>
                <w:right w:val="none" w:color="auto" w:sz="0" w:space="0"/>
              </w:pBdr>
              <w:wordWrap/>
              <w:spacing w:line="560" w:lineRule="exact"/>
              <w:ind w:left="0"/>
              <w:jc w:val="center"/>
              <w:rPr>
                <w:rFonts w:hint="default"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网络安全和信息化协调股股长</w:t>
            </w:r>
          </w:p>
        </w:tc>
        <w:tc>
          <w:tcPr>
            <w:tcW w:w="2647" w:type="dxa"/>
            <w:tcBorders>
              <w:left w:val="single" w:color="auto" w:sz="4" w:space="0"/>
            </w:tcBorders>
          </w:tcPr>
          <w:p w14:paraId="01EC90E5">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蔡宏苗</w:t>
            </w:r>
          </w:p>
        </w:tc>
      </w:tr>
      <w:tr w14:paraId="63EF2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44" w:type="dxa"/>
          </w:tcPr>
          <w:p w14:paraId="624A9DB8">
            <w:pPr>
              <w:jc w:val="center"/>
            </w:pPr>
          </w:p>
        </w:tc>
        <w:tc>
          <w:tcPr>
            <w:tcW w:w="2730" w:type="dxa"/>
            <w:tcBorders>
              <w:left w:val="single" w:color="auto" w:sz="4" w:space="0"/>
            </w:tcBorders>
          </w:tcPr>
          <w:p w14:paraId="6FD209F7">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舆情中心主任</w:t>
            </w:r>
          </w:p>
        </w:tc>
        <w:tc>
          <w:tcPr>
            <w:tcW w:w="2647" w:type="dxa"/>
            <w:tcBorders>
              <w:left w:val="single" w:color="auto" w:sz="4" w:space="0"/>
            </w:tcBorders>
          </w:tcPr>
          <w:p w14:paraId="7C3AF25C">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lang w:val="en-US" w:eastAsia="zh-CN"/>
              </w:rPr>
              <w:t>李攀</w:t>
            </w:r>
          </w:p>
        </w:tc>
      </w:tr>
    </w:tbl>
    <w:p w14:paraId="168AD65E">
      <w:pPr>
        <w:keepNext w:val="0"/>
        <w:keepLines w:val="0"/>
        <w:pageBreakBefore w:val="0"/>
        <w:widowControl w:val="0"/>
        <w:kinsoku/>
        <w:wordWrap/>
        <w:overflowPunct/>
        <w:topLinePunct w:val="0"/>
        <w:autoSpaceDE/>
        <w:autoSpaceDN/>
        <w:adjustRightInd w:val="0"/>
        <w:snapToGrid w:val="0"/>
        <w:spacing w:line="560" w:lineRule="exact"/>
        <w:rPr>
          <w:rFonts w:hint="eastAsia" w:ascii="黑体" w:hAnsi="黑体" w:eastAsia="黑体" w:cs="黑体"/>
          <w:sz w:val="32"/>
          <w:szCs w:val="32"/>
        </w:rPr>
      </w:pPr>
    </w:p>
    <w:p w14:paraId="60F92407">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33C1240-E577-4063-B829-94CB7E230449}"/>
  </w:font>
  <w:font w:name="黑体">
    <w:panose1 w:val="02010609060101010101"/>
    <w:charset w:val="86"/>
    <w:family w:val="auto"/>
    <w:pitch w:val="default"/>
    <w:sig w:usb0="800002BF" w:usb1="38CF7CFA" w:usb2="00000016" w:usb3="00000000" w:csb0="00040001" w:csb1="00000000"/>
    <w:embedRegular r:id="rId2" w:fontKey="{12A9B92F-F65A-484D-BF16-67C25860A1B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7C0C945B-0E9A-4B05-B405-D0E7DC76D4B4}"/>
  </w:font>
  <w:font w:name="方正书宋_GBK">
    <w:altName w:val="微软雅黑"/>
    <w:panose1 w:val="02000000000000000000"/>
    <w:charset w:val="86"/>
    <w:family w:val="auto"/>
    <w:pitch w:val="default"/>
    <w:sig w:usb0="00000000" w:usb1="00000000" w:usb2="00082016" w:usb3="00000000" w:csb0="00040001" w:csb1="00000000"/>
  </w:font>
  <w:font w:name="方正小标宋_GBK">
    <w:panose1 w:val="02000000000000000000"/>
    <w:charset w:val="86"/>
    <w:family w:val="auto"/>
    <w:pitch w:val="default"/>
    <w:sig w:usb0="A00002BF" w:usb1="38CF7CFA" w:usb2="00082016" w:usb3="00000000" w:csb0="00040001" w:csb1="00000000"/>
    <w:embedRegular r:id="rId4" w:fontKey="{438C2747-30F5-4768-AC7A-DBE066CF9C45}"/>
  </w:font>
  <w:font w:name="仿宋_GB2312">
    <w:panose1 w:val="02010609030101010101"/>
    <w:charset w:val="86"/>
    <w:family w:val="auto"/>
    <w:pitch w:val="default"/>
    <w:sig w:usb0="00000001" w:usb1="080E0000" w:usb2="00000000" w:usb3="00000000" w:csb0="00040000" w:csb1="00000000"/>
    <w:embedRegular r:id="rId5" w:fontKey="{CC2443B9-FC6F-4883-B590-F569409B33D9}"/>
  </w:font>
  <w:font w:name="楷体_GB2312">
    <w:panose1 w:val="02010609030101010101"/>
    <w:charset w:val="86"/>
    <w:family w:val="auto"/>
    <w:pitch w:val="default"/>
    <w:sig w:usb0="00000001" w:usb1="080E0000" w:usb2="00000000" w:usb3="00000000" w:csb0="00040000" w:csb1="00000000"/>
    <w:embedRegular r:id="rId6" w:fontKey="{BEFAD20A-73ED-4D9D-ABCE-13BA0BEE6D06}"/>
  </w:font>
  <w:font w:name="楷体">
    <w:panose1 w:val="02010609060101010101"/>
    <w:charset w:val="86"/>
    <w:family w:val="modern"/>
    <w:pitch w:val="default"/>
    <w:sig w:usb0="800002BF" w:usb1="38CF7CFA" w:usb2="00000016" w:usb3="00000000" w:csb0="00040001" w:csb1="00000000"/>
    <w:embedRegular r:id="rId7" w:fontKey="{4186D9B4-EE06-41EE-AF86-3F4A993CDF09}"/>
  </w:font>
  <w:font w:name="仿宋">
    <w:panose1 w:val="02010609060101010101"/>
    <w:charset w:val="86"/>
    <w:family w:val="auto"/>
    <w:pitch w:val="default"/>
    <w:sig w:usb0="800002BF" w:usb1="38CF7CFA" w:usb2="00000016" w:usb3="00000000" w:csb0="00040001" w:csb1="00000000"/>
    <w:embedRegular r:id="rId8" w:fontKey="{0443D4FB-620E-42CB-AD63-FEBC69F54B8C}"/>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F9D76B89"/>
    <w:multiLevelType w:val="singleLevel"/>
    <w:tmpl w:val="F9D76B89"/>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2300D7"/>
    <w:rsid w:val="02B1196D"/>
    <w:rsid w:val="0A413780"/>
    <w:rsid w:val="0A57658C"/>
    <w:rsid w:val="0E7D784C"/>
    <w:rsid w:val="123732F3"/>
    <w:rsid w:val="134F6B82"/>
    <w:rsid w:val="136917E4"/>
    <w:rsid w:val="13955CCA"/>
    <w:rsid w:val="14DF19F1"/>
    <w:rsid w:val="1574012A"/>
    <w:rsid w:val="15A5462A"/>
    <w:rsid w:val="16C3745D"/>
    <w:rsid w:val="18387470"/>
    <w:rsid w:val="1991739F"/>
    <w:rsid w:val="1AB919E0"/>
    <w:rsid w:val="1BF2027A"/>
    <w:rsid w:val="1E594203"/>
    <w:rsid w:val="1FD33688"/>
    <w:rsid w:val="20390255"/>
    <w:rsid w:val="2BB331A5"/>
    <w:rsid w:val="2BCA4BF9"/>
    <w:rsid w:val="2DED1FFA"/>
    <w:rsid w:val="2E2C471E"/>
    <w:rsid w:val="303B5326"/>
    <w:rsid w:val="37551F79"/>
    <w:rsid w:val="38B4055C"/>
    <w:rsid w:val="3DDE37D0"/>
    <w:rsid w:val="415121A7"/>
    <w:rsid w:val="46791A6F"/>
    <w:rsid w:val="48C42A3E"/>
    <w:rsid w:val="49180694"/>
    <w:rsid w:val="4B0233A9"/>
    <w:rsid w:val="4F805213"/>
    <w:rsid w:val="500B7BFC"/>
    <w:rsid w:val="50175B49"/>
    <w:rsid w:val="50744D49"/>
    <w:rsid w:val="53D15774"/>
    <w:rsid w:val="54E0282D"/>
    <w:rsid w:val="58B8456C"/>
    <w:rsid w:val="61E30D76"/>
    <w:rsid w:val="641B6B36"/>
    <w:rsid w:val="688500E8"/>
    <w:rsid w:val="69206851"/>
    <w:rsid w:val="6AFE7291"/>
    <w:rsid w:val="6B010AEC"/>
    <w:rsid w:val="6CA200F0"/>
    <w:rsid w:val="70237E69"/>
    <w:rsid w:val="71775FF0"/>
    <w:rsid w:val="71B0505E"/>
    <w:rsid w:val="77B8594D"/>
    <w:rsid w:val="79022643"/>
    <w:rsid w:val="7A3525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6">
    <w:name w:val="heading 3"/>
    <w:basedOn w:val="1"/>
    <w:next w:val="1"/>
    <w:link w:val="13"/>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customStyle="1" w:styleId="2">
    <w:name w:val="Body Text First Indent 21"/>
    <w:basedOn w:val="3"/>
    <w:qFormat/>
    <w:uiPriority w:val="0"/>
    <w:pPr>
      <w:ind w:firstLine="420"/>
    </w:pPr>
    <w:rPr>
      <w:rFonts w:ascii="Times New Roman" w:hAnsi="Times New Roman" w:eastAsia="宋体" w:cs="Times New Roman"/>
    </w:rPr>
  </w:style>
  <w:style w:type="paragraph" w:customStyle="1" w:styleId="3">
    <w:name w:val="Body Text Indent1"/>
    <w:basedOn w:val="1"/>
    <w:qFormat/>
    <w:uiPriority w:val="0"/>
    <w:pPr>
      <w:spacing w:line="360" w:lineRule="auto"/>
      <w:ind w:firstLine="200" w:firstLineChars="200"/>
      <w:textAlignment w:val="baseline"/>
    </w:pPr>
    <w:rPr>
      <w:rFonts w:ascii="Times New Roman" w:hAnsi="Times New Roman" w:eastAsia="宋体" w:cs="Times New Roman"/>
      <w:sz w:val="21"/>
      <w:szCs w:val="21"/>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1">
    <w:name w:val="heading 1 Char"/>
    <w:basedOn w:val="10"/>
    <w:link w:val="4"/>
    <w:qFormat/>
    <w:uiPriority w:val="0"/>
    <w:rPr>
      <w:rFonts w:ascii="Times New Roman" w:hAnsi="Times New Roman" w:eastAsia="宋体" w:cs="Times New Roman"/>
      <w:b/>
      <w:bCs/>
      <w:kern w:val="44"/>
      <w:sz w:val="44"/>
      <w:szCs w:val="44"/>
      <w:lang w:val="en-US" w:eastAsia="zh-CN" w:bidi="ar-SA"/>
    </w:rPr>
  </w:style>
  <w:style w:type="character" w:customStyle="1" w:styleId="12">
    <w:name w:val="heading 2 Char"/>
    <w:basedOn w:val="10"/>
    <w:link w:val="5"/>
    <w:qFormat/>
    <w:uiPriority w:val="0"/>
    <w:rPr>
      <w:rFonts w:ascii="Times New Roman" w:hAnsi="Times New Roman" w:eastAsia="黑体" w:cs="Times New Roman"/>
      <w:b/>
      <w:bCs/>
      <w:kern w:val="2"/>
      <w:sz w:val="32"/>
      <w:szCs w:val="32"/>
      <w:lang w:val="en-US" w:eastAsia="zh-CN" w:bidi="ar-SA"/>
    </w:rPr>
  </w:style>
  <w:style w:type="character" w:customStyle="1" w:styleId="13">
    <w:name w:val="heading 3 Char"/>
    <w:basedOn w:val="10"/>
    <w:link w:val="6"/>
    <w:qFormat/>
    <w:uiPriority w:val="0"/>
    <w:rPr>
      <w:rFonts w:ascii="Times New Roman" w:hAnsi="Times New Roman" w:eastAsia="宋体" w:cs="Times New Roman"/>
      <w:b/>
      <w:bCs/>
      <w:kern w:val="2"/>
      <w:sz w:val="32"/>
      <w:szCs w:val="32"/>
      <w:lang w:val="en-US" w:eastAsia="zh-CN" w:bidi="ar-SA"/>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正文-公1"/>
    <w:basedOn w:val="18"/>
    <w:next w:val="1"/>
    <w:qFormat/>
    <w:uiPriority w:val="0"/>
    <w:pPr>
      <w:ind w:firstLine="200" w:firstLineChars="200"/>
    </w:pPr>
  </w:style>
  <w:style w:type="paragraph" w:customStyle="1" w:styleId="18">
    <w:name w:val="正文 New New New New New New New New New New New New New New New New New New New New New New New New New New New New New New New New New New New New New New New New New New New New New New New New New New New New New New New New New New New New New New Ne"/>
    <w:next w:val="17"/>
    <w:qFormat/>
    <w:uiPriority w:val="0"/>
    <w:pPr>
      <w:widowControl w:val="0"/>
      <w:jc w:val="both"/>
    </w:pPr>
    <w:rPr>
      <w:rFonts w:ascii="Times New Roman" w:hAnsi="Times New Roman" w:eastAsia="宋体" w:cs="Times New Roman"/>
      <w:kern w:val="2"/>
      <w:sz w:val="21"/>
      <w:szCs w:val="2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4</Pages>
  <Words>1500</Words>
  <Characters>1575</Characters>
  <Lines>0</Lines>
  <Paragraphs>31</Paragraphs>
  <TotalTime>0</TotalTime>
  <ScaleCrop>false</ScaleCrop>
  <LinksUpToDate>false</LinksUpToDate>
  <CharactersWithSpaces>1582</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2025-05-16T08:24:00Z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eyJoZGlkIjoiZWFiZDA5ODMyMjczYmM0MDUyYjk1NDhmMzg4ZjdmODkiLCJ1c2VySWQiOiIxNTUwMjQwMDk2In0=</vt:lpwstr>
  </property>
</Properties>
</file>