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DF2B7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C547C7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087AF330">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ascii="方正小标宋简体" w:hAnsi="方正小标宋简体" w:eastAsia="方正小标宋简体" w:cs="方正小标宋简体"/>
          <w:b w:val="0"/>
          <w:bCs w:val="0"/>
          <w:sz w:val="44"/>
          <w:szCs w:val="44"/>
          <w:lang w:val="en-US" w:eastAsia="zh-CN"/>
        </w:rPr>
        <w:t>石家庄市藁城区交通运输局</w:t>
      </w:r>
    </w:p>
    <w:p w14:paraId="35CA7D05">
      <w:pPr>
        <w:keepNext w:val="0"/>
        <w:keepLines w:val="0"/>
        <w:pageBreakBefore w:val="0"/>
        <w:widowControl w:val="0"/>
        <w:kinsoku/>
        <w:wordWrap/>
        <w:overflowPunct/>
        <w:topLinePunct w:val="0"/>
        <w:autoSpaceDE/>
        <w:autoSpaceDN/>
        <w:adjustRightInd/>
        <w:snapToGrid w:val="0"/>
        <w:spacing w:line="560" w:lineRule="exact"/>
        <w:ind w:left="0"/>
        <w:jc w:val="center"/>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4941EE3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2F269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ascii="仿宋_GB2312" w:hAnsi="仿宋_GB2312" w:eastAsia="仿宋_GB2312" w:cs="仿宋_GB2312"/>
          <w:sz w:val="32"/>
          <w:szCs w:val="32"/>
          <w:highlight w:val="none"/>
          <w:lang w:eastAsia="zh-CN"/>
        </w:rPr>
        <w:t>石家庄市藁城区交通运输局</w:t>
      </w:r>
      <w:r>
        <w:rPr>
          <w:rFonts w:hint="eastAsia" w:ascii="仿宋_GB2312" w:hAnsi="仿宋_GB2312" w:eastAsia="仿宋_GB2312" w:cs="仿宋_GB2312"/>
          <w:sz w:val="32"/>
          <w:szCs w:val="32"/>
          <w:highlight w:val="none"/>
          <w:lang w:eastAsia="zh-CN"/>
        </w:rPr>
        <w:t>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55CDDAF0">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71CA967">
      <w:pPr>
        <w:keepNext w:val="0"/>
        <w:keepLines w:val="0"/>
        <w:pageBreakBefore w:val="0"/>
        <w:widowControl w:val="0"/>
        <w:kinsoku/>
        <w:wordWrap/>
        <w:overflowPunct/>
        <w:topLinePunct w:val="0"/>
        <w:autoSpaceDE/>
        <w:autoSpaceDN/>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E335FA7">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1．主要职能。</w:t>
      </w:r>
    </w:p>
    <w:p w14:paraId="3D2233E6">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贯彻执行上级有关交通运输行业的方针、政策和法律、法规，研究拟定全区公路运输、公路建设、交通运输管理的中、长期发展规划，并监督实施。</w:t>
      </w:r>
    </w:p>
    <w:p w14:paraId="0DB01E5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（2）负责交通运输行业统计和信息工作。</w:t>
      </w:r>
    </w:p>
    <w:p w14:paraId="58D6FAEA">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14:paraId="622588C7">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（4）负责交通运输系统国有资产的经营管理、增值保值和开发工作。负责全区交通运输行业专项资金的管理和使用。</w:t>
      </w:r>
    </w:p>
    <w:p w14:paraId="07E646C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（5）负责交通运输行业管理，引导交通运输行业优化结构、协调发展。对关系国计民生的重点物资和紧急物资的运输进行必要调控。</w:t>
      </w:r>
    </w:p>
    <w:p w14:paraId="252B5B7C">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6）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14:paraId="0C57B18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7）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14:paraId="67D8BE77">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（8）负责全区交通战备工作，组织编制全区国防交通规划，制定全区交通运输战时保障方案。</w:t>
      </w:r>
    </w:p>
    <w:p w14:paraId="6958C34C">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（9）负责国有资产管理和对保值增值的监督；负责全区交通运输专项资金的管理和使用。</w:t>
      </w:r>
    </w:p>
    <w:p w14:paraId="269C66E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（10）承办区人民政府交办的其他工作。</w:t>
      </w:r>
    </w:p>
    <w:p w14:paraId="533CC772">
      <w:pPr>
        <w:snapToGrid w:val="0"/>
        <w:spacing w:line="560" w:lineRule="exact"/>
        <w:ind w:firstLine="640" w:firstLineChars="200"/>
        <w:rPr>
          <w:rFonts w:ascii="仿宋" w:hAnsi="仿宋" w:eastAsia="仿宋" w:cs="仿宋"/>
          <w:sz w:val="32"/>
          <w:szCs w:val="32"/>
        </w:rPr>
      </w:pPr>
    </w:p>
    <w:p w14:paraId="49401378">
      <w:pPr>
        <w:snapToGrid w:val="0"/>
        <w:spacing w:line="560" w:lineRule="exact"/>
        <w:ind w:firstLine="640" w:firstLineChars="200"/>
        <w:rPr>
          <w:rFonts w:ascii="仿宋" w:hAnsi="仿宋" w:eastAsia="仿宋" w:cs="仿宋"/>
          <w:sz w:val="32"/>
          <w:szCs w:val="32"/>
        </w:rPr>
      </w:pPr>
    </w:p>
    <w:p w14:paraId="2231936B">
      <w:pPr>
        <w:snapToGrid w:val="0"/>
        <w:spacing w:line="560" w:lineRule="exact"/>
        <w:ind w:firstLine="640" w:firstLineChars="200"/>
        <w:rPr>
          <w:rFonts w:ascii="仿宋" w:hAnsi="仿宋" w:eastAsia="仿宋" w:cs="仿宋"/>
          <w:sz w:val="32"/>
          <w:szCs w:val="32"/>
        </w:rPr>
      </w:pPr>
    </w:p>
    <w:p w14:paraId="604B8297">
      <w:pPr>
        <w:snapToGrid w:val="0"/>
        <w:spacing w:line="560" w:lineRule="exact"/>
        <w:ind w:firstLine="640" w:firstLineChars="200"/>
        <w:rPr>
          <w:rFonts w:ascii="仿宋" w:hAnsi="仿宋" w:eastAsia="仿宋" w:cs="仿宋"/>
          <w:sz w:val="32"/>
          <w:szCs w:val="32"/>
        </w:rPr>
      </w:pPr>
    </w:p>
    <w:p w14:paraId="1882DED4">
      <w:pPr>
        <w:snapToGrid w:val="0"/>
        <w:spacing w:line="560" w:lineRule="exact"/>
        <w:ind w:firstLine="640" w:firstLineChars="200"/>
        <w:rPr>
          <w:rFonts w:ascii="仿宋" w:hAnsi="仿宋" w:eastAsia="仿宋"/>
          <w:sz w:val="32"/>
          <w:szCs w:val="32"/>
        </w:rPr>
      </w:pPr>
      <w:r>
        <w:rPr>
          <w:rFonts w:ascii="仿宋" w:hAnsi="仿宋" w:eastAsia="仿宋" w:cs="仿宋"/>
          <w:sz w:val="32"/>
          <w:szCs w:val="32"/>
        </w:rPr>
        <w:t>2、</w:t>
      </w:r>
      <w:r>
        <w:rPr>
          <w:rFonts w:hint="eastAsia" w:ascii="仿宋" w:hAnsi="仿宋" w:eastAsia="仿宋"/>
          <w:sz w:val="32"/>
          <w:szCs w:val="32"/>
        </w:rPr>
        <w:t>机构情况</w:t>
      </w:r>
    </w:p>
    <w:tbl>
      <w:tblPr>
        <w:tblStyle w:val="7"/>
        <w:tblpPr w:leftFromText="180" w:rightFromText="180" w:vertAnchor="text" w:horzAnchor="margin" w:tblpXSpec="left" w:tblpY="179"/>
        <w:tblOverlap w:val="never"/>
        <w:tblW w:w="9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3345"/>
        <w:gridCol w:w="2205"/>
        <w:gridCol w:w="3220"/>
      </w:tblGrid>
      <w:tr w14:paraId="48142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trPr>
        <w:tc>
          <w:tcPr>
            <w:tcW w:w="807" w:type="dxa"/>
            <w:vAlign w:val="center"/>
          </w:tcPr>
          <w:p w14:paraId="63CB36D8">
            <w:pPr>
              <w:spacing w:line="560" w:lineRule="exact"/>
              <w:jc w:val="center"/>
              <w:rPr>
                <w:rFonts w:ascii="仿宋" w:hAnsi="仿宋" w:eastAsia="仿宋" w:cs="Arial Black"/>
                <w:b/>
                <w:bCs/>
                <w:kern w:val="0"/>
                <w:sz w:val="28"/>
                <w:szCs w:val="28"/>
              </w:rPr>
            </w:pPr>
            <w:r>
              <w:rPr>
                <w:rFonts w:hint="eastAsia" w:ascii="仿宋" w:hAnsi="仿宋" w:eastAsia="仿宋" w:cs="Arial Black"/>
                <w:b/>
                <w:bCs/>
                <w:kern w:val="0"/>
                <w:sz w:val="28"/>
                <w:szCs w:val="28"/>
              </w:rPr>
              <w:t>序号</w:t>
            </w:r>
          </w:p>
        </w:tc>
        <w:tc>
          <w:tcPr>
            <w:tcW w:w="3345" w:type="dxa"/>
            <w:vAlign w:val="center"/>
          </w:tcPr>
          <w:p w14:paraId="21B5A9FF">
            <w:pPr>
              <w:spacing w:line="560" w:lineRule="exact"/>
              <w:jc w:val="center"/>
              <w:rPr>
                <w:rFonts w:ascii="仿宋" w:hAnsi="仿宋" w:eastAsia="仿宋" w:cs="Arial Black"/>
                <w:b/>
                <w:bCs/>
                <w:kern w:val="0"/>
                <w:sz w:val="28"/>
                <w:szCs w:val="28"/>
              </w:rPr>
            </w:pPr>
            <w:r>
              <w:rPr>
                <w:rFonts w:hint="eastAsia" w:ascii="仿宋" w:hAnsi="仿宋" w:eastAsia="仿宋" w:cs="Arial Black"/>
                <w:b/>
                <w:bCs/>
                <w:kern w:val="0"/>
                <w:sz w:val="28"/>
                <w:szCs w:val="28"/>
              </w:rPr>
              <w:t>单位名称</w:t>
            </w:r>
          </w:p>
        </w:tc>
        <w:tc>
          <w:tcPr>
            <w:tcW w:w="2205" w:type="dxa"/>
            <w:vAlign w:val="center"/>
          </w:tcPr>
          <w:p w14:paraId="4CD5B13C">
            <w:pPr>
              <w:spacing w:line="560" w:lineRule="exact"/>
              <w:jc w:val="center"/>
              <w:rPr>
                <w:rFonts w:ascii="仿宋" w:hAnsi="仿宋" w:eastAsia="仿宋" w:cs="Arial Black"/>
                <w:b/>
                <w:bCs/>
                <w:kern w:val="0"/>
                <w:sz w:val="28"/>
                <w:szCs w:val="28"/>
              </w:rPr>
            </w:pPr>
            <w:r>
              <w:rPr>
                <w:rFonts w:hint="eastAsia" w:ascii="仿宋" w:hAnsi="仿宋" w:eastAsia="仿宋" w:cs="Arial Black"/>
                <w:b/>
                <w:bCs/>
                <w:kern w:val="0"/>
                <w:sz w:val="28"/>
                <w:szCs w:val="28"/>
              </w:rPr>
              <w:t>单位基本性质</w:t>
            </w:r>
          </w:p>
        </w:tc>
        <w:tc>
          <w:tcPr>
            <w:tcW w:w="3220" w:type="dxa"/>
            <w:vAlign w:val="center"/>
          </w:tcPr>
          <w:p w14:paraId="0DA0F933">
            <w:pPr>
              <w:spacing w:line="560" w:lineRule="exact"/>
              <w:jc w:val="center"/>
              <w:rPr>
                <w:rFonts w:ascii="仿宋" w:hAnsi="仿宋" w:eastAsia="仿宋" w:cs="Arial Black"/>
                <w:b/>
                <w:bCs/>
                <w:kern w:val="0"/>
                <w:sz w:val="28"/>
                <w:szCs w:val="28"/>
              </w:rPr>
            </w:pPr>
            <w:r>
              <w:rPr>
                <w:rFonts w:hint="eastAsia" w:ascii="仿宋" w:hAnsi="仿宋" w:eastAsia="仿宋" w:cs="Arial Black"/>
                <w:b/>
                <w:bCs/>
                <w:kern w:val="0"/>
                <w:sz w:val="28"/>
                <w:szCs w:val="28"/>
              </w:rPr>
              <w:t>经费形式</w:t>
            </w:r>
          </w:p>
        </w:tc>
      </w:tr>
      <w:tr w14:paraId="4EFD5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07" w:type="dxa"/>
          </w:tcPr>
          <w:p w14:paraId="35AB4E5F">
            <w:pPr>
              <w:spacing w:line="560" w:lineRule="exact"/>
              <w:jc w:val="center"/>
              <w:rPr>
                <w:rFonts w:ascii="仿宋" w:hAnsi="仿宋" w:eastAsia="仿宋" w:cs="Arial Black"/>
                <w:kern w:val="0"/>
                <w:sz w:val="24"/>
              </w:rPr>
            </w:pPr>
            <w:r>
              <w:rPr>
                <w:rFonts w:hint="eastAsia" w:ascii="仿宋" w:hAnsi="仿宋" w:eastAsia="仿宋" w:cs="Arial Black"/>
                <w:kern w:val="0"/>
                <w:sz w:val="24"/>
              </w:rPr>
              <w:t>1</w:t>
            </w:r>
          </w:p>
        </w:tc>
        <w:tc>
          <w:tcPr>
            <w:tcW w:w="3345" w:type="dxa"/>
            <w:tcBorders>
              <w:left w:val="single" w:color="auto" w:sz="4" w:space="0"/>
            </w:tcBorders>
          </w:tcPr>
          <w:p w14:paraId="5D920791">
            <w:pPr>
              <w:spacing w:line="560" w:lineRule="exact"/>
              <w:rPr>
                <w:rFonts w:ascii="仿宋" w:hAnsi="仿宋" w:eastAsia="仿宋" w:cs="仿宋"/>
                <w:kern w:val="0"/>
                <w:sz w:val="24"/>
              </w:rPr>
            </w:pPr>
            <w:r>
              <w:rPr>
                <w:rFonts w:hint="eastAsia" w:ascii="仿宋" w:hAnsi="仿宋" w:eastAsia="仿宋" w:cs="仿宋"/>
                <w:kern w:val="0"/>
                <w:sz w:val="24"/>
              </w:rPr>
              <w:t>石家庄市藁城区交通运输局</w:t>
            </w:r>
          </w:p>
        </w:tc>
        <w:tc>
          <w:tcPr>
            <w:tcW w:w="2205" w:type="dxa"/>
            <w:tcBorders>
              <w:left w:val="single" w:color="auto" w:sz="4" w:space="0"/>
            </w:tcBorders>
          </w:tcPr>
          <w:p w14:paraId="564E848C">
            <w:pPr>
              <w:spacing w:line="560" w:lineRule="exact"/>
              <w:jc w:val="center"/>
              <w:rPr>
                <w:rFonts w:ascii="仿宋" w:hAnsi="仿宋" w:eastAsia="仿宋" w:cs="仿宋"/>
                <w:kern w:val="0"/>
                <w:sz w:val="24"/>
              </w:rPr>
            </w:pPr>
            <w:r>
              <w:rPr>
                <w:rFonts w:hint="eastAsia" w:ascii="仿宋" w:hAnsi="仿宋" w:eastAsia="仿宋" w:cs="仿宋"/>
                <w:kern w:val="0"/>
                <w:sz w:val="24"/>
              </w:rPr>
              <w:t>行政单位</w:t>
            </w:r>
          </w:p>
        </w:tc>
        <w:tc>
          <w:tcPr>
            <w:tcW w:w="3220" w:type="dxa"/>
            <w:tcBorders>
              <w:left w:val="single" w:color="auto" w:sz="4" w:space="0"/>
            </w:tcBorders>
          </w:tcPr>
          <w:p w14:paraId="25B8E534">
            <w:pPr>
              <w:spacing w:line="560" w:lineRule="exact"/>
              <w:jc w:val="center"/>
              <w:rPr>
                <w:rFonts w:ascii="仿宋" w:hAnsi="仿宋" w:eastAsia="仿宋" w:cs="仿宋"/>
                <w:kern w:val="0"/>
                <w:sz w:val="24"/>
              </w:rPr>
            </w:pPr>
            <w:r>
              <w:rPr>
                <w:rFonts w:hint="eastAsia" w:ascii="仿宋" w:hAnsi="仿宋" w:eastAsia="仿宋" w:cs="Arial Black"/>
                <w:kern w:val="0"/>
                <w:sz w:val="24"/>
              </w:rPr>
              <w:t>财政性资金定额或定项补助</w:t>
            </w:r>
          </w:p>
        </w:tc>
      </w:tr>
      <w:tr w14:paraId="68347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07" w:type="dxa"/>
          </w:tcPr>
          <w:p w14:paraId="102A7E07">
            <w:pPr>
              <w:spacing w:line="560" w:lineRule="exact"/>
              <w:jc w:val="center"/>
              <w:rPr>
                <w:rFonts w:ascii="仿宋" w:hAnsi="仿宋" w:eastAsia="仿宋" w:cs="Arial Black"/>
                <w:kern w:val="0"/>
                <w:sz w:val="28"/>
                <w:szCs w:val="28"/>
              </w:rPr>
            </w:pPr>
            <w:r>
              <w:rPr>
                <w:rFonts w:hint="eastAsia" w:ascii="仿宋" w:hAnsi="仿宋" w:eastAsia="仿宋" w:cs="Arial Black"/>
                <w:kern w:val="0"/>
                <w:sz w:val="28"/>
                <w:szCs w:val="28"/>
              </w:rPr>
              <w:t>2</w:t>
            </w:r>
          </w:p>
        </w:tc>
        <w:tc>
          <w:tcPr>
            <w:tcW w:w="3345" w:type="dxa"/>
            <w:tcBorders>
              <w:left w:val="single" w:color="auto" w:sz="4" w:space="0"/>
            </w:tcBorders>
          </w:tcPr>
          <w:p w14:paraId="52793C46">
            <w:pPr>
              <w:spacing w:line="560" w:lineRule="exact"/>
              <w:rPr>
                <w:rFonts w:ascii="仿宋" w:hAnsi="仿宋" w:eastAsia="仿宋" w:cs="仿宋"/>
                <w:kern w:val="0"/>
                <w:sz w:val="28"/>
                <w:szCs w:val="28"/>
              </w:rPr>
            </w:pPr>
            <w:r>
              <w:rPr>
                <w:rFonts w:hint="eastAsia" w:ascii="仿宋" w:hAnsi="仿宋" w:eastAsia="仿宋" w:cs="ArialUnicodeMS"/>
                <w:kern w:val="0"/>
                <w:sz w:val="24"/>
              </w:rPr>
              <w:t>石家庄市藁城区公路管理站</w:t>
            </w:r>
          </w:p>
        </w:tc>
        <w:tc>
          <w:tcPr>
            <w:tcW w:w="2205" w:type="dxa"/>
            <w:tcBorders>
              <w:left w:val="single" w:color="auto" w:sz="4" w:space="0"/>
            </w:tcBorders>
          </w:tcPr>
          <w:p w14:paraId="656CB70F">
            <w:pPr>
              <w:spacing w:line="560" w:lineRule="exact"/>
              <w:jc w:val="center"/>
              <w:rPr>
                <w:rFonts w:ascii="仿宋" w:hAnsi="仿宋" w:eastAsia="仿宋" w:cs="仿宋"/>
                <w:kern w:val="0"/>
                <w:sz w:val="28"/>
                <w:szCs w:val="28"/>
              </w:rPr>
            </w:pPr>
            <w:r>
              <w:rPr>
                <w:rFonts w:hint="eastAsia" w:ascii="仿宋" w:hAnsi="仿宋" w:eastAsia="仿宋" w:cs="ArialUnicodeMS"/>
                <w:kern w:val="0"/>
                <w:sz w:val="24"/>
              </w:rPr>
              <w:t>经费自理事业单位</w:t>
            </w:r>
          </w:p>
        </w:tc>
        <w:tc>
          <w:tcPr>
            <w:tcW w:w="3220" w:type="dxa"/>
            <w:tcBorders>
              <w:left w:val="single" w:color="auto" w:sz="4" w:space="0"/>
            </w:tcBorders>
          </w:tcPr>
          <w:p w14:paraId="4A62A7EE">
            <w:pPr>
              <w:spacing w:line="560" w:lineRule="exact"/>
              <w:jc w:val="center"/>
              <w:rPr>
                <w:rFonts w:ascii="仿宋" w:hAnsi="仿宋" w:eastAsia="仿宋" w:cs="仿宋"/>
                <w:kern w:val="0"/>
                <w:sz w:val="28"/>
                <w:szCs w:val="28"/>
              </w:rPr>
            </w:pPr>
            <w:r>
              <w:rPr>
                <w:rFonts w:hint="eastAsia" w:ascii="仿宋" w:hAnsi="仿宋" w:eastAsia="仿宋" w:cs="Arial Black"/>
                <w:kern w:val="0"/>
                <w:sz w:val="24"/>
              </w:rPr>
              <w:t>财政性资金定额或定项补助</w:t>
            </w:r>
          </w:p>
        </w:tc>
      </w:tr>
    </w:tbl>
    <w:p w14:paraId="71F69E1C">
      <w:pPr>
        <w:snapToGrid w:val="0"/>
        <w:spacing w:line="560" w:lineRule="exact"/>
        <w:ind w:firstLine="640" w:firstLineChars="200"/>
        <w:rPr>
          <w:rFonts w:ascii="仿宋" w:hAnsi="仿宋" w:eastAsia="仿宋"/>
          <w:sz w:val="32"/>
          <w:szCs w:val="32"/>
        </w:rPr>
      </w:pPr>
      <w:r>
        <w:rPr>
          <w:rFonts w:ascii="仿宋_GB2312" w:hAnsi="仿宋_GB2312" w:eastAsia="仿宋_GB2312" w:cs="仿宋_GB2312"/>
          <w:sz w:val="32"/>
          <w:szCs w:val="32"/>
          <w:highlight w:val="none"/>
          <w:lang w:eastAsia="zh-CN"/>
        </w:rPr>
        <w:t>3、</w:t>
      </w:r>
      <w:r>
        <w:rPr>
          <w:rFonts w:hint="eastAsia" w:ascii="仿宋" w:hAnsi="仿宋" w:eastAsia="仿宋"/>
          <w:sz w:val="32"/>
          <w:szCs w:val="32"/>
        </w:rPr>
        <w:t>人员情况</w:t>
      </w:r>
    </w:p>
    <w:p w14:paraId="05BEB8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lang w:eastAsia="zh-CN"/>
        </w:rPr>
      </w:pP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年年初在职人数为</w:t>
      </w:r>
      <w:r>
        <w:rPr>
          <w:rFonts w:ascii="仿宋" w:hAnsi="仿宋" w:eastAsia="仿宋"/>
          <w:sz w:val="32"/>
          <w:szCs w:val="32"/>
        </w:rPr>
        <w:t>192</w:t>
      </w:r>
      <w:r>
        <w:rPr>
          <w:rFonts w:hint="eastAsia" w:ascii="仿宋" w:hAnsi="仿宋" w:eastAsia="仿宋"/>
          <w:sz w:val="32"/>
          <w:szCs w:val="32"/>
        </w:rPr>
        <w:t>人，年末在职人数为</w:t>
      </w:r>
      <w:r>
        <w:rPr>
          <w:rFonts w:ascii="仿宋" w:hAnsi="仿宋" w:eastAsia="仿宋"/>
          <w:sz w:val="32"/>
          <w:szCs w:val="32"/>
        </w:rPr>
        <w:t>190</w:t>
      </w:r>
      <w:r>
        <w:rPr>
          <w:rFonts w:hint="eastAsia" w:ascii="仿宋" w:hAnsi="仿宋" w:eastAsia="仿宋"/>
          <w:sz w:val="32"/>
          <w:szCs w:val="32"/>
        </w:rPr>
        <w:t>人，其中，新增</w:t>
      </w:r>
      <w:r>
        <w:rPr>
          <w:rFonts w:ascii="仿宋" w:hAnsi="仿宋" w:eastAsia="仿宋"/>
          <w:sz w:val="32"/>
          <w:szCs w:val="32"/>
        </w:rPr>
        <w:t>3</w:t>
      </w:r>
      <w:r>
        <w:rPr>
          <w:rFonts w:hint="eastAsia" w:ascii="仿宋" w:hAnsi="仿宋" w:eastAsia="仿宋"/>
          <w:sz w:val="32"/>
          <w:szCs w:val="32"/>
        </w:rPr>
        <w:t>人</w:t>
      </w:r>
      <w:r>
        <w:rPr>
          <w:rFonts w:ascii="仿宋" w:hAnsi="仿宋" w:eastAsia="仿宋"/>
          <w:sz w:val="32"/>
          <w:szCs w:val="32"/>
        </w:rPr>
        <w:t>，调入1人，调出1人</w:t>
      </w:r>
      <w:r>
        <w:rPr>
          <w:rFonts w:hint="eastAsia" w:ascii="仿宋" w:hAnsi="仿宋" w:eastAsia="仿宋"/>
          <w:sz w:val="32"/>
          <w:szCs w:val="32"/>
        </w:rPr>
        <w:t>，退休</w:t>
      </w:r>
      <w:r>
        <w:rPr>
          <w:rFonts w:ascii="仿宋" w:hAnsi="仿宋" w:eastAsia="仿宋"/>
          <w:sz w:val="32"/>
          <w:szCs w:val="32"/>
        </w:rPr>
        <w:t>5</w:t>
      </w:r>
      <w:r>
        <w:rPr>
          <w:rFonts w:hint="eastAsia" w:ascii="仿宋" w:hAnsi="仿宋" w:eastAsia="仿宋"/>
          <w:sz w:val="32"/>
          <w:szCs w:val="32"/>
        </w:rPr>
        <w:t>人。行政编制12人，事业编制211人。</w:t>
      </w:r>
    </w:p>
    <w:p w14:paraId="6688B0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70151B10">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1、部门预算情况</w:t>
      </w:r>
    </w:p>
    <w:p w14:paraId="0E3E76D0">
      <w:pPr>
        <w:snapToGrid w:val="0"/>
        <w:spacing w:line="560" w:lineRule="exact"/>
        <w:ind w:firstLine="640" w:firstLineChars="200"/>
        <w:rPr>
          <w:rFonts w:eastAsia="仿宋"/>
          <w:sz w:val="32"/>
          <w:szCs w:val="32"/>
        </w:rPr>
      </w:pPr>
      <w:r>
        <w:rPr>
          <w:rFonts w:hint="eastAsia" w:ascii="仿宋" w:hAnsi="仿宋" w:eastAsia="仿宋"/>
          <w:sz w:val="32"/>
          <w:szCs w:val="32"/>
        </w:rPr>
        <w:t>（1）</w:t>
      </w:r>
      <w:r>
        <w:rPr>
          <w:rFonts w:eastAsia="仿宋"/>
          <w:sz w:val="32"/>
          <w:szCs w:val="32"/>
        </w:rPr>
        <w:t>收入说明</w:t>
      </w:r>
    </w:p>
    <w:p w14:paraId="3238C537">
      <w:pPr>
        <w:snapToGrid w:val="0"/>
        <w:spacing w:line="560" w:lineRule="exact"/>
        <w:ind w:firstLine="640" w:firstLineChars="200"/>
        <w:rPr>
          <w:rFonts w:eastAsia="仿宋"/>
          <w:sz w:val="32"/>
          <w:szCs w:val="32"/>
        </w:rPr>
      </w:pPr>
      <w:r>
        <w:rPr>
          <w:rFonts w:hint="eastAsia" w:ascii="仿宋_GB2312" w:hAnsi="仿宋" w:eastAsia="仿宋_GB2312"/>
          <w:sz w:val="32"/>
          <w:szCs w:val="32"/>
        </w:rPr>
        <w:t>2024年预算安排收入</w:t>
      </w:r>
      <w:r>
        <w:rPr>
          <w:rFonts w:hint="eastAsia" w:ascii="仿宋_GB2312" w:hAnsi="仿宋" w:eastAsia="仿宋_GB2312"/>
          <w:sz w:val="32"/>
          <w:szCs w:val="32"/>
          <w:lang w:val="en-US" w:eastAsia="zh-CN"/>
        </w:rPr>
        <w:t>23443.15</w:t>
      </w:r>
      <w:r>
        <w:rPr>
          <w:rFonts w:hint="eastAsia" w:ascii="仿宋_GB2312" w:hAnsi="仿宋" w:eastAsia="仿宋_GB2312"/>
          <w:sz w:val="32"/>
          <w:szCs w:val="32"/>
        </w:rPr>
        <w:t>万元，其中：一般公共预算收入</w:t>
      </w:r>
      <w:r>
        <w:rPr>
          <w:rFonts w:hint="eastAsia" w:ascii="仿宋_GB2312" w:hAnsi="仿宋" w:eastAsia="仿宋_GB2312"/>
          <w:sz w:val="32"/>
          <w:szCs w:val="32"/>
          <w:lang w:val="en-US" w:eastAsia="zh-CN"/>
        </w:rPr>
        <w:t>10826.4</w:t>
      </w:r>
      <w:r>
        <w:rPr>
          <w:rFonts w:hint="eastAsia" w:ascii="仿宋_GB2312" w:hAnsi="仿宋" w:eastAsia="仿宋_GB2312"/>
          <w:sz w:val="32"/>
          <w:szCs w:val="32"/>
        </w:rPr>
        <w:t>万元，基金预算收入</w:t>
      </w:r>
      <w:r>
        <w:rPr>
          <w:rFonts w:hint="eastAsia" w:ascii="仿宋_GB2312" w:hAnsi="仿宋" w:eastAsia="仿宋_GB2312"/>
          <w:sz w:val="32"/>
          <w:szCs w:val="32"/>
          <w:lang w:val="en-US" w:eastAsia="zh-CN"/>
        </w:rPr>
        <w:t>8934.74</w:t>
      </w:r>
      <w:r>
        <w:rPr>
          <w:rFonts w:hint="eastAsia" w:ascii="仿宋_GB2312" w:hAnsi="仿宋" w:eastAsia="仿宋_GB2312"/>
          <w:sz w:val="32"/>
          <w:szCs w:val="32"/>
        </w:rPr>
        <w:t>万元，非本级财政拨款3682.01万元。</w:t>
      </w:r>
    </w:p>
    <w:p w14:paraId="39D630B0">
      <w:pPr>
        <w:snapToGrid w:val="0"/>
        <w:spacing w:line="560" w:lineRule="exact"/>
        <w:ind w:firstLine="640" w:firstLineChars="200"/>
        <w:rPr>
          <w:rFonts w:eastAsia="仿宋"/>
          <w:sz w:val="32"/>
          <w:szCs w:val="32"/>
        </w:rPr>
      </w:pPr>
      <w:r>
        <w:rPr>
          <w:rFonts w:hint="eastAsia" w:eastAsia="仿宋"/>
          <w:sz w:val="32"/>
          <w:szCs w:val="32"/>
        </w:rPr>
        <w:t>（2）支出说明</w:t>
      </w:r>
    </w:p>
    <w:p w14:paraId="3ACE1C2B">
      <w:pPr>
        <w:snapToGrid w:val="0"/>
        <w:spacing w:line="560" w:lineRule="exact"/>
        <w:ind w:firstLine="640" w:firstLineChars="200"/>
        <w:rPr>
          <w:rFonts w:eastAsia="仿宋"/>
          <w:sz w:val="32"/>
          <w:szCs w:val="32"/>
        </w:rPr>
      </w:pPr>
      <w:r>
        <w:rPr>
          <w:rFonts w:hint="eastAsia" w:ascii="仿宋_GB2312" w:hAnsi="仿宋" w:eastAsia="仿宋_GB2312"/>
          <w:sz w:val="32"/>
          <w:szCs w:val="32"/>
        </w:rPr>
        <w:t>2024年</w:t>
      </w:r>
      <w:r>
        <w:rPr>
          <w:rFonts w:hint="eastAsia" w:ascii="仿宋_GB2312" w:hAnsi="仿宋" w:eastAsia="仿宋_GB2312"/>
          <w:sz w:val="32"/>
          <w:szCs w:val="32"/>
          <w:lang w:val="en-US" w:eastAsia="zh-CN"/>
        </w:rPr>
        <w:t>部门</w:t>
      </w:r>
      <w:r>
        <w:rPr>
          <w:rFonts w:hint="eastAsia" w:ascii="仿宋_GB2312" w:hAnsi="仿宋" w:eastAsia="仿宋_GB2312"/>
          <w:sz w:val="32"/>
          <w:szCs w:val="32"/>
        </w:rPr>
        <w:t>支出预算</w:t>
      </w:r>
      <w:r>
        <w:rPr>
          <w:rFonts w:hint="eastAsia" w:ascii="仿宋_GB2312" w:hAnsi="仿宋" w:eastAsia="仿宋_GB2312"/>
          <w:sz w:val="32"/>
          <w:szCs w:val="32"/>
          <w:lang w:val="en-US" w:eastAsia="zh-CN"/>
        </w:rPr>
        <w:t>23443.15</w:t>
      </w:r>
      <w:r>
        <w:rPr>
          <w:rFonts w:hint="eastAsia" w:ascii="仿宋_GB2312" w:hAnsi="仿宋" w:eastAsia="仿宋_GB2312"/>
          <w:sz w:val="32"/>
          <w:szCs w:val="32"/>
        </w:rPr>
        <w:t>万元，包括政府性基金预算项目</w:t>
      </w:r>
      <w:r>
        <w:rPr>
          <w:rFonts w:hint="eastAsia" w:ascii="仿宋_GB2312" w:hAnsi="仿宋" w:eastAsia="仿宋_GB2312"/>
          <w:sz w:val="32"/>
          <w:szCs w:val="32"/>
          <w:lang w:val="en-US" w:eastAsia="zh-CN"/>
        </w:rPr>
        <w:t>10826.4</w:t>
      </w:r>
      <w:r>
        <w:rPr>
          <w:rFonts w:hint="eastAsia" w:ascii="仿宋_GB2312" w:hAnsi="仿宋" w:eastAsia="仿宋_GB2312"/>
          <w:sz w:val="32"/>
          <w:szCs w:val="32"/>
        </w:rPr>
        <w:t>万元，一般公共预算支出</w:t>
      </w:r>
      <w:r>
        <w:rPr>
          <w:rFonts w:hint="eastAsia" w:ascii="仿宋_GB2312" w:hAnsi="仿宋" w:eastAsia="仿宋_GB2312"/>
          <w:sz w:val="32"/>
          <w:szCs w:val="32"/>
          <w:lang w:val="en-US" w:eastAsia="zh-CN"/>
        </w:rPr>
        <w:t>8934.74</w:t>
      </w:r>
      <w:r>
        <w:rPr>
          <w:rFonts w:hint="eastAsia" w:ascii="仿宋_GB2312" w:hAnsi="仿宋" w:eastAsia="仿宋_GB2312"/>
          <w:sz w:val="32"/>
          <w:szCs w:val="32"/>
        </w:rPr>
        <w:t>万元，非本级财政拨款项目支出3682.01万元。其中，基本支出</w:t>
      </w:r>
      <w:r>
        <w:rPr>
          <w:rFonts w:hint="eastAsia" w:ascii="仿宋_GB2312" w:hAnsi="仿宋" w:eastAsia="仿宋_GB2312"/>
          <w:sz w:val="32"/>
          <w:szCs w:val="32"/>
          <w:lang w:val="en-US" w:eastAsia="zh-CN"/>
        </w:rPr>
        <w:t>2302.5</w:t>
      </w:r>
      <w:r>
        <w:rPr>
          <w:rFonts w:hint="eastAsia" w:ascii="仿宋_GB2312" w:hAnsi="仿宋" w:eastAsia="仿宋_GB2312"/>
          <w:sz w:val="32"/>
          <w:szCs w:val="32"/>
        </w:rPr>
        <w:t>万元，包括人员经费2127.5</w:t>
      </w:r>
      <w:r>
        <w:rPr>
          <w:rFonts w:hint="eastAsia" w:ascii="仿宋_GB2312" w:hAnsi="仿宋" w:eastAsia="仿宋_GB2312"/>
          <w:sz w:val="32"/>
          <w:szCs w:val="32"/>
          <w:lang w:val="en-US" w:eastAsia="zh-CN"/>
        </w:rPr>
        <w:t>5</w:t>
      </w:r>
      <w:r>
        <w:rPr>
          <w:rFonts w:hint="eastAsia" w:ascii="仿宋_GB2312" w:hAnsi="仿宋" w:eastAsia="仿宋_GB2312"/>
          <w:sz w:val="32"/>
          <w:szCs w:val="32"/>
        </w:rPr>
        <w:t>万元和日常公用经费</w:t>
      </w:r>
      <w:r>
        <w:rPr>
          <w:rFonts w:hint="eastAsia" w:ascii="仿宋_GB2312" w:hAnsi="仿宋" w:eastAsia="仿宋_GB2312"/>
          <w:sz w:val="32"/>
          <w:szCs w:val="32"/>
          <w:lang w:val="en-US" w:eastAsia="zh-CN"/>
        </w:rPr>
        <w:t>174.95</w:t>
      </w:r>
      <w:r>
        <w:rPr>
          <w:rFonts w:hint="eastAsia" w:ascii="仿宋_GB2312" w:hAnsi="仿宋" w:eastAsia="仿宋_GB2312"/>
          <w:sz w:val="32"/>
          <w:szCs w:val="32"/>
        </w:rPr>
        <w:t>万元；项目支出</w:t>
      </w:r>
      <w:r>
        <w:rPr>
          <w:rFonts w:hint="eastAsia" w:ascii="仿宋_GB2312" w:hAnsi="仿宋" w:eastAsia="仿宋_GB2312"/>
          <w:sz w:val="32"/>
          <w:szCs w:val="32"/>
          <w:lang w:val="en-US" w:eastAsia="zh-CN"/>
        </w:rPr>
        <w:t>21140.66</w:t>
      </w:r>
      <w:r>
        <w:rPr>
          <w:rFonts w:hint="eastAsia" w:ascii="仿宋_GB2312" w:hAnsi="仿宋" w:eastAsia="仿宋_GB2312"/>
          <w:sz w:val="32"/>
          <w:szCs w:val="32"/>
        </w:rPr>
        <w:t>万元。</w:t>
      </w:r>
    </w:p>
    <w:p w14:paraId="38372015">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2、部门决算情况</w:t>
      </w:r>
    </w:p>
    <w:p w14:paraId="6FC92D06">
      <w:pPr>
        <w:pStyle w:val="12"/>
        <w:keepNext w:val="0"/>
        <w:keepLines w:val="0"/>
        <w:pageBreakBefore w:val="0"/>
        <w:widowControl w:val="0"/>
        <w:kinsoku/>
        <w:wordWrap/>
        <w:overflowPunct/>
        <w:topLinePunct w:val="0"/>
        <w:autoSpaceDE/>
        <w:autoSpaceDN/>
        <w:adjustRightInd/>
        <w:snapToGrid/>
        <w:spacing w:before="0" w:after="0" w:line="563" w:lineRule="exact"/>
        <w:ind w:left="0" w:firstLine="640" w:firstLineChars="200"/>
        <w:rPr>
          <w:rFonts w:ascii="仿宋" w:hAnsi="仿宋" w:eastAsia="仿宋" w:cs="仿宋"/>
          <w:sz w:val="32"/>
          <w:szCs w:val="32"/>
        </w:rPr>
      </w:pPr>
      <w:r>
        <w:rPr>
          <w:rFonts w:hint="eastAsia" w:ascii="仿宋_GB2312" w:hAnsi="仿宋" w:eastAsia="仿宋_GB2312"/>
          <w:b w:val="0"/>
          <w:bCs w:val="0"/>
          <w:i w:val="0"/>
          <w:iCs w:val="0"/>
          <w:caps w:val="0"/>
          <w:smallCaps w:val="0"/>
          <w:strike w:val="0"/>
          <w:dstrike w:val="0"/>
          <w:kern w:val="2"/>
          <w:sz w:val="32"/>
          <w:szCs w:val="32"/>
          <w:highlight w:val="none"/>
          <w:u w:val="none"/>
          <w:lang w:val="en-US" w:eastAsia="zh-CN" w:bidi="ar-SA"/>
        </w:rPr>
        <w:t>本部门2024年度本年收入合计</w:t>
      </w:r>
      <w:r>
        <w:rPr>
          <w:rFonts w:hint="eastAsia" w:ascii="仿宋_GB2312" w:hAnsi="仿宋" w:eastAsia="仿宋_GB2312"/>
          <w:sz w:val="32"/>
          <w:szCs w:val="32"/>
          <w:highlight w:val="none"/>
          <w:lang w:val="en-US" w:eastAsia="zh-CN"/>
        </w:rPr>
        <w:t>23443.15</w:t>
      </w:r>
      <w:r>
        <w:rPr>
          <w:rFonts w:hint="eastAsia" w:ascii="仿宋_GB2312" w:hAnsi="仿宋" w:eastAsia="仿宋_GB2312"/>
          <w:b w:val="0"/>
          <w:bCs w:val="0"/>
          <w:i w:val="0"/>
          <w:iCs w:val="0"/>
          <w:caps w:val="0"/>
          <w:smallCaps w:val="0"/>
          <w:strike w:val="0"/>
          <w:dstrike w:val="0"/>
          <w:kern w:val="2"/>
          <w:sz w:val="32"/>
          <w:szCs w:val="32"/>
          <w:highlight w:val="none"/>
          <w:u w:val="none"/>
          <w:lang w:val="en-US" w:eastAsia="zh-CN" w:bidi="ar-SA"/>
        </w:rPr>
        <w:t>万元，其中：财政拨款收入19761.14万元，占84%；非本级财政拨款收入3682.01万元，占16%。本部门2024年度本年支出合计</w:t>
      </w:r>
      <w:r>
        <w:rPr>
          <w:rFonts w:hint="eastAsia" w:ascii="仿宋_GB2312" w:hAnsi="仿宋" w:eastAsia="仿宋_GB2312"/>
          <w:sz w:val="32"/>
          <w:szCs w:val="32"/>
          <w:highlight w:val="none"/>
          <w:lang w:val="en-US" w:eastAsia="zh-CN"/>
        </w:rPr>
        <w:t>23443.15</w:t>
      </w:r>
      <w:r>
        <w:rPr>
          <w:rFonts w:hint="eastAsia" w:ascii="仿宋_GB2312" w:hAnsi="仿宋" w:eastAsia="仿宋_GB2312"/>
          <w:b w:val="0"/>
          <w:bCs w:val="0"/>
          <w:i w:val="0"/>
          <w:iCs w:val="0"/>
          <w:caps w:val="0"/>
          <w:smallCaps w:val="0"/>
          <w:strike w:val="0"/>
          <w:dstrike w:val="0"/>
          <w:kern w:val="2"/>
          <w:sz w:val="32"/>
          <w:szCs w:val="32"/>
          <w:highlight w:val="none"/>
          <w:u w:val="none"/>
          <w:lang w:val="en-US" w:eastAsia="zh-CN" w:bidi="ar-SA"/>
        </w:rPr>
        <w:t>万元，其中:其中基本支出2302.5万元，占10%；项目支出</w:t>
      </w:r>
      <w:r>
        <w:rPr>
          <w:rFonts w:hint="eastAsia" w:ascii="仿宋_GB2312" w:hAnsi="仿宋" w:eastAsia="仿宋_GB2312"/>
          <w:sz w:val="32"/>
          <w:szCs w:val="32"/>
          <w:lang w:val="en-US" w:eastAsia="zh-CN"/>
        </w:rPr>
        <w:t>21140.66</w:t>
      </w:r>
      <w:r>
        <w:rPr>
          <w:rFonts w:hint="eastAsia" w:ascii="仿宋_GB2312" w:hAnsi="仿宋" w:eastAsia="仿宋_GB2312"/>
          <w:b w:val="0"/>
          <w:bCs w:val="0"/>
          <w:i w:val="0"/>
          <w:iCs w:val="0"/>
          <w:caps w:val="0"/>
          <w:smallCaps w:val="0"/>
          <w:strike w:val="0"/>
          <w:dstrike w:val="0"/>
          <w:kern w:val="2"/>
          <w:sz w:val="32"/>
          <w:szCs w:val="32"/>
          <w:highlight w:val="none"/>
          <w:u w:val="none"/>
          <w:lang w:val="en-US" w:eastAsia="zh-CN" w:bidi="ar-SA"/>
        </w:rPr>
        <w:t>万元，占90%。</w:t>
      </w:r>
    </w:p>
    <w:p w14:paraId="70E56E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6A11C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参照部门预算绩效文本中绩效目标、指标。</w:t>
      </w:r>
    </w:p>
    <w:p w14:paraId="122A61B1">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总体绩效目标是:</w:t>
      </w:r>
      <w:r>
        <w:rPr>
          <w:rFonts w:ascii="仿宋" w:hAnsi="仿宋" w:eastAsia="仿宋" w:cs="仿宋"/>
          <w:sz w:val="32"/>
          <w:szCs w:val="32"/>
        </w:rPr>
        <w:t>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4E9D9E38">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普通国省干线日常养护及小修工程建设、县级公路、主要多道及配套设施日常养护、维护、安全隐患治理、槐安路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73CC3A3A">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6AE0BB1">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112537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hAnsi="仿宋_GB2312" w:eastAsia="仿宋_GB2312" w:cs="仿宋_GB2312"/>
          <w:sz w:val="32"/>
          <w:szCs w:val="32"/>
          <w:highlight w:val="none"/>
          <w:lang w:eastAsia="zh-CN"/>
        </w:rPr>
      </w:pPr>
      <w:r>
        <w:rPr>
          <w:rFonts w:hint="eastAsia" w:ascii="仿宋" w:hAnsi="仿宋" w:eastAsia="仿宋" w:cs="仿宋"/>
          <w:sz w:val="32"/>
          <w:szCs w:val="32"/>
        </w:rPr>
        <w:t>为切实做好202</w:t>
      </w:r>
      <w:r>
        <w:rPr>
          <w:rFonts w:ascii="仿宋" w:hAnsi="仿宋" w:eastAsia="仿宋" w:cs="仿宋"/>
          <w:sz w:val="32"/>
          <w:szCs w:val="32"/>
        </w:rPr>
        <w:t>4</w:t>
      </w:r>
      <w:r>
        <w:rPr>
          <w:rFonts w:hint="eastAsia" w:ascii="仿宋" w:hAnsi="仿宋" w:eastAsia="仿宋" w:cs="仿宋"/>
          <w:sz w:val="32"/>
          <w:szCs w:val="32"/>
        </w:rPr>
        <w:t>年度财政支出绩效自评工作，提高财政资金使用效益，根据区财政局《</w:t>
      </w:r>
      <w:r>
        <w:rPr>
          <w:rFonts w:hint="eastAsia" w:ascii="仿宋" w:hAnsi="仿宋" w:eastAsia="仿宋" w:cs="仿宋_GB2312"/>
          <w:sz w:val="32"/>
          <w:szCs w:val="32"/>
        </w:rPr>
        <w:t>关于开展202</w:t>
      </w:r>
      <w:r>
        <w:rPr>
          <w:rFonts w:ascii="仿宋" w:hAnsi="仿宋" w:eastAsia="仿宋" w:cs="仿宋_GB2312"/>
          <w:sz w:val="32"/>
          <w:szCs w:val="32"/>
        </w:rPr>
        <w:t>5</w:t>
      </w:r>
      <w:r>
        <w:rPr>
          <w:rFonts w:hint="eastAsia" w:ascii="仿宋" w:hAnsi="仿宋" w:eastAsia="仿宋" w:cs="仿宋_GB2312"/>
          <w:sz w:val="32"/>
          <w:szCs w:val="32"/>
        </w:rPr>
        <w:t>年绩效自评工作的通知</w:t>
      </w:r>
      <w:r>
        <w:rPr>
          <w:rFonts w:hint="eastAsia" w:ascii="仿宋" w:hAnsi="仿宋" w:eastAsia="仿宋" w:cs="仿宋"/>
          <w:sz w:val="32"/>
          <w:szCs w:val="32"/>
        </w:rPr>
        <w:t>》文件要求，我单位对202</w:t>
      </w:r>
      <w:r>
        <w:rPr>
          <w:rFonts w:ascii="仿宋" w:hAnsi="仿宋" w:eastAsia="仿宋" w:cs="仿宋"/>
          <w:sz w:val="32"/>
          <w:szCs w:val="32"/>
        </w:rPr>
        <w:t>4</w:t>
      </w:r>
      <w:r>
        <w:rPr>
          <w:rFonts w:hint="eastAsia" w:ascii="仿宋" w:hAnsi="仿宋" w:eastAsia="仿宋" w:cs="仿宋"/>
          <w:sz w:val="32"/>
          <w:szCs w:val="32"/>
        </w:rPr>
        <w:t>年度所有专项项目均开展了绩效自评工作。我局成立由局长丁勇同志任组长，主管副职</w:t>
      </w:r>
      <w:r>
        <w:rPr>
          <w:rFonts w:ascii="仿宋" w:hAnsi="仿宋" w:eastAsia="仿宋" w:cs="仿宋"/>
          <w:sz w:val="32"/>
          <w:szCs w:val="32"/>
        </w:rPr>
        <w:t>王立峰、孙建辉</w:t>
      </w:r>
      <w:r>
        <w:rPr>
          <w:rFonts w:hint="eastAsia" w:ascii="仿宋" w:hAnsi="仿宋" w:eastAsia="仿宋" w:cs="仿宋"/>
          <w:sz w:val="32"/>
          <w:szCs w:val="32"/>
        </w:rPr>
        <w:t>同志任副组长，相关科室负责人为成员的绩效评价工作小组，明确了各成员在此次自评工作中的职责。</w:t>
      </w:r>
      <w:r>
        <w:rPr>
          <w:rFonts w:hint="eastAsia" w:ascii="仿宋" w:hAnsi="仿宋" w:eastAsia="仿宋"/>
          <w:sz w:val="32"/>
          <w:szCs w:val="32"/>
        </w:rPr>
        <w:t>我部门对自评报告中的数据及相关情况进行了收集、审核、确认。</w:t>
      </w:r>
    </w:p>
    <w:p w14:paraId="1FC172A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234343E4">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1、前期准备。</w:t>
      </w:r>
    </w:p>
    <w:p w14:paraId="5EC3574D">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按照省财政厅和省交通厅有关文件要求及市局的通知，组织相关人员进行了自评并完成了自评报告。</w:t>
      </w:r>
    </w:p>
    <w:p w14:paraId="30EE6A47">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2、组织实施。</w:t>
      </w:r>
    </w:p>
    <w:p w14:paraId="280BBDA5">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我单位对自评报告中的数据及相关情况进行了审核、确认。</w:t>
      </w:r>
    </w:p>
    <w:p w14:paraId="05F24944">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3、分析评价。</w:t>
      </w:r>
    </w:p>
    <w:p w14:paraId="6A1C874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仿宋" w:hAnsi="仿宋" w:eastAsia="仿宋" w:cs="仿宋"/>
          <w:sz w:val="32"/>
          <w:szCs w:val="32"/>
        </w:rPr>
        <w:t>我单位积极</w:t>
      </w:r>
      <w:bookmarkStart w:id="0" w:name="_GoBack"/>
      <w:bookmarkEnd w:id="0"/>
      <w:r>
        <w:rPr>
          <w:rFonts w:hint="eastAsia" w:ascii="仿宋" w:hAnsi="仿宋" w:eastAsia="仿宋" w:cs="仿宋"/>
          <w:sz w:val="32"/>
          <w:szCs w:val="32"/>
        </w:rPr>
        <w:t>组织自评报告，严格按照文件要求，实事求是、客观公正地进行本次绩效评价工作。克服了时间紧，任务重等诸多困难，基本按照文件要求完成了本次绩效自评工作。</w:t>
      </w:r>
    </w:p>
    <w:p w14:paraId="525254F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430AD4D5">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总体绩效目标实现情况</w:t>
      </w:r>
    </w:p>
    <w:p w14:paraId="5BF59B63">
      <w:pPr>
        <w:snapToGrid w:val="0"/>
        <w:spacing w:line="560" w:lineRule="exact"/>
        <w:ind w:firstLine="640" w:firstLineChars="200"/>
        <w:rPr>
          <w:rFonts w:ascii="仿宋" w:hAnsi="仿宋" w:eastAsia="仿宋"/>
          <w:sz w:val="32"/>
          <w:szCs w:val="32"/>
          <w:shd w:val="clear" w:color="auto" w:fill="FFFFFF"/>
        </w:rPr>
      </w:pPr>
      <w:r>
        <w:rPr>
          <w:rFonts w:hint="eastAsia" w:ascii="仿宋" w:hAnsi="仿宋" w:eastAsia="仿宋"/>
          <w:sz w:val="32"/>
          <w:szCs w:val="32"/>
          <w:shd w:val="clear" w:color="auto" w:fill="FFFFFF"/>
        </w:rPr>
        <w:t>从整体情况来看，202</w:t>
      </w:r>
      <w:r>
        <w:rPr>
          <w:rFonts w:ascii="仿宋" w:hAnsi="仿宋" w:eastAsia="仿宋"/>
          <w:sz w:val="32"/>
          <w:szCs w:val="32"/>
          <w:shd w:val="clear" w:color="auto" w:fill="FFFFFF"/>
        </w:rPr>
        <w:t>4</w:t>
      </w:r>
      <w:r>
        <w:rPr>
          <w:rFonts w:hint="eastAsia" w:ascii="仿宋" w:hAnsi="仿宋" w:eastAsia="仿宋"/>
          <w:sz w:val="32"/>
          <w:szCs w:val="32"/>
          <w:shd w:val="clear" w:color="auto" w:fill="FFFFFF"/>
        </w:rPr>
        <w:t>年所有项目资金涉及人员经费、占地租金、</w:t>
      </w:r>
      <w:r>
        <w:rPr>
          <w:rFonts w:ascii="仿宋" w:hAnsi="仿宋" w:eastAsia="仿宋"/>
          <w:sz w:val="32"/>
          <w:szCs w:val="32"/>
          <w:shd w:val="clear" w:color="auto" w:fill="FFFFFF"/>
        </w:rPr>
        <w:t>运营补贴、津石高速拆迁、客运补贴、</w:t>
      </w:r>
      <w:r>
        <w:rPr>
          <w:rFonts w:hint="eastAsia" w:ascii="仿宋" w:hAnsi="仿宋" w:eastAsia="仿宋"/>
          <w:sz w:val="32"/>
          <w:szCs w:val="32"/>
          <w:shd w:val="clear" w:color="auto" w:fill="FFFFFF"/>
        </w:rPr>
        <w:t>农村公路及国省干线的工程款和养护经费、路赔费、治超经费、环境卫生维护费、槐安路东延、路域环境综合整治</w:t>
      </w:r>
      <w:r>
        <w:rPr>
          <w:rFonts w:ascii="仿宋" w:hAnsi="仿宋" w:eastAsia="仿宋"/>
          <w:sz w:val="32"/>
          <w:szCs w:val="32"/>
          <w:shd w:val="clear" w:color="auto" w:fill="FFFFFF"/>
        </w:rPr>
        <w:t>、道路场站建设</w:t>
      </w:r>
      <w:r>
        <w:rPr>
          <w:rFonts w:hint="eastAsia" w:ascii="仿宋" w:hAnsi="仿宋" w:eastAsia="仿宋"/>
          <w:sz w:val="32"/>
          <w:szCs w:val="32"/>
          <w:shd w:val="clear" w:color="auto" w:fill="FFFFFF"/>
        </w:rPr>
        <w:t>等资金。</w:t>
      </w:r>
    </w:p>
    <w:p w14:paraId="5573F829">
      <w:pPr>
        <w:snapToGrid w:val="0"/>
        <w:spacing w:line="560" w:lineRule="exact"/>
        <w:ind w:firstLine="640" w:firstLineChars="200"/>
        <w:rPr>
          <w:rFonts w:ascii="仿宋" w:hAnsi="仿宋" w:eastAsia="仿宋"/>
          <w:sz w:val="32"/>
          <w:szCs w:val="32"/>
          <w:shd w:val="clear" w:color="auto" w:fill="FFFFFF"/>
        </w:rPr>
      </w:pPr>
      <w:r>
        <w:rPr>
          <w:rFonts w:ascii="仿宋" w:hAnsi="仿宋" w:eastAsia="仿宋"/>
          <w:sz w:val="32"/>
          <w:szCs w:val="32"/>
          <w:shd w:val="clear" w:color="auto" w:fill="FFFFFF"/>
        </w:rPr>
        <w:t>29个项目的</w:t>
      </w:r>
      <w:r>
        <w:rPr>
          <w:rFonts w:hint="eastAsia" w:ascii="仿宋" w:hAnsi="仿宋" w:eastAsia="仿宋"/>
          <w:sz w:val="32"/>
          <w:szCs w:val="32"/>
          <w:shd w:val="clear" w:color="auto" w:fill="FFFFFF"/>
        </w:rPr>
        <w:t>预算执行率均达95%以上</w:t>
      </w:r>
      <w:r>
        <w:rPr>
          <w:rFonts w:ascii="仿宋" w:hAnsi="仿宋" w:eastAsia="仿宋"/>
          <w:sz w:val="32"/>
          <w:szCs w:val="32"/>
          <w:shd w:val="clear" w:color="auto" w:fill="FFFFFF"/>
        </w:rPr>
        <w:t>。</w:t>
      </w:r>
      <w:r>
        <w:rPr>
          <w:rFonts w:hint="eastAsia" w:ascii="仿宋" w:hAnsi="仿宋" w:eastAsia="仿宋"/>
          <w:sz w:val="32"/>
          <w:szCs w:val="32"/>
          <w:shd w:val="clear" w:color="auto" w:fill="FFFFFF"/>
        </w:rPr>
        <w:t>剩余项目预算执行率较低，原因为202</w:t>
      </w:r>
      <w:r>
        <w:rPr>
          <w:rFonts w:ascii="仿宋" w:hAnsi="仿宋" w:eastAsia="仿宋"/>
          <w:sz w:val="32"/>
          <w:szCs w:val="32"/>
          <w:shd w:val="clear" w:color="auto" w:fill="FFFFFF"/>
        </w:rPr>
        <w:t>4</w:t>
      </w:r>
      <w:r>
        <w:rPr>
          <w:rFonts w:hint="eastAsia" w:ascii="仿宋" w:hAnsi="仿宋" w:eastAsia="仿宋"/>
          <w:sz w:val="32"/>
          <w:szCs w:val="32"/>
          <w:shd w:val="clear" w:color="auto" w:fill="FFFFFF"/>
        </w:rPr>
        <w:t>年度财政资金尚未到位，导致预算执行率低。从</w:t>
      </w:r>
      <w:r>
        <w:rPr>
          <w:rFonts w:hint="eastAsia" w:ascii="仿宋" w:hAnsi="仿宋" w:eastAsia="仿宋" w:cs="楷体_GB2312"/>
          <w:sz w:val="32"/>
          <w:szCs w:val="32"/>
        </w:rPr>
        <w:t>整体来看，支出情况良好，产出指标、效益指标均达到预期指标值，满意度调查也收到良好反馈。</w:t>
      </w:r>
    </w:p>
    <w:p w14:paraId="539ACFE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（二）分项绩效目标实现情况及指标分析</w:t>
      </w:r>
    </w:p>
    <w:p w14:paraId="6B32E98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仿宋" w:hAnsi="仿宋" w:eastAsia="仿宋" w:cs="楷体_GB2312"/>
          <w:bCs/>
          <w:sz w:val="32"/>
          <w:szCs w:val="32"/>
        </w:rPr>
        <w:t>1、交通运输基础设施建设</w:t>
      </w:r>
    </w:p>
    <w:p w14:paraId="3416055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rPr>
        <w:t>绩效目标:建立和维护公路秩序，确保道路畅通</w:t>
      </w:r>
    </w:p>
    <w:p w14:paraId="2759883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 w:hAnsi="仿宋" w:eastAsia="仿宋" w:cs="仿宋"/>
          <w:bCs/>
          <w:sz w:val="32"/>
          <w:szCs w:val="32"/>
        </w:rPr>
        <w:t>绩效指标:按区政府规定权限审批、核准区规划内和年度计划规模内的固定资产投资项目，完成基础设施建设工程可行性缺口补贴和存量项目环城路工程等工程建设投资项目。对工程质量和安全生产进行监管，招投标活动进行监督管理。</w:t>
      </w:r>
      <w:r>
        <w:rPr>
          <w:rFonts w:hint="eastAsia" w:ascii="仿宋" w:hAnsi="仿宋" w:eastAsia="仿宋"/>
          <w:sz w:val="32"/>
          <w:szCs w:val="32"/>
        </w:rPr>
        <w:t>该项绩效目标全部完成。</w:t>
      </w:r>
    </w:p>
    <w:p w14:paraId="5D2B821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2、交通运输基础设施养护、维护。</w:t>
      </w:r>
    </w:p>
    <w:p w14:paraId="2AD09E2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绩效目标:确保工程质量，恢复、提升公路原有技术指标，有效提高能力和行车舒适性，保障沿线人民出行需要</w:t>
      </w:r>
    </w:p>
    <w:p w14:paraId="49D344C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sz w:val="32"/>
          <w:szCs w:val="32"/>
        </w:rPr>
        <w:t>绩效指标:普通国省干线公路养护，养护里程127公里;县级公路及主要乡道养护养护里程106公里、县级公路及主要乡道附属配套设施维护。确保工程质量，恢复、提升公路原有技术指标，有效提高通行能力和行车舒适性，保障沿线人民出行需求。</w:t>
      </w:r>
      <w:r>
        <w:rPr>
          <w:rFonts w:hint="eastAsia" w:ascii="仿宋" w:hAnsi="仿宋" w:eastAsia="仿宋"/>
          <w:kern w:val="0"/>
          <w:sz w:val="32"/>
          <w:szCs w:val="32"/>
        </w:rPr>
        <w:t>该项绩效目标全部完成。</w:t>
      </w:r>
    </w:p>
    <w:p w14:paraId="59B731A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3、交通运输管理</w:t>
      </w:r>
    </w:p>
    <w:p w14:paraId="1D1EB72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绩效目标:保障道路通畅，完成运输生产任务，确保安全生产，提高服务保障水平。</w:t>
      </w:r>
    </w:p>
    <w:p w14:paraId="5DD9A54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r>
        <w:rPr>
          <w:rFonts w:hint="eastAsia" w:ascii="仿宋" w:hAnsi="仿宋" w:eastAsia="仿宋"/>
          <w:sz w:val="32"/>
          <w:szCs w:val="32"/>
        </w:rPr>
        <w:t>该项绩效目标全部完成。</w:t>
      </w:r>
    </w:p>
    <w:p w14:paraId="1A8FD14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4、交通政务管理</w:t>
      </w:r>
    </w:p>
    <w:p w14:paraId="57FE21A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绩效目标:保障机关正常工作高效运转，保障各项业务工作畅通。</w:t>
      </w:r>
    </w:p>
    <w:p w14:paraId="7DA7D3F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kern w:val="0"/>
          <w:sz w:val="32"/>
          <w:szCs w:val="32"/>
        </w:rPr>
      </w:pPr>
      <w:r>
        <w:rPr>
          <w:rFonts w:ascii="仿宋" w:hAnsi="仿宋" w:eastAsia="仿宋"/>
          <w:kern w:val="0"/>
          <w:sz w:val="32"/>
          <w:szCs w:val="32"/>
        </w:rPr>
        <w:t>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r>
        <w:rPr>
          <w:rFonts w:hint="eastAsia" w:ascii="仿宋" w:hAnsi="仿宋" w:eastAsia="仿宋"/>
          <w:sz w:val="32"/>
          <w:szCs w:val="32"/>
        </w:rPr>
        <w:t>该项绩效目标全部完成。</w:t>
      </w:r>
    </w:p>
    <w:p w14:paraId="548EC32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2A5EFF55">
      <w:pPr>
        <w:keepNext w:val="0"/>
        <w:keepLines w:val="0"/>
        <w:pageBreakBefore w:val="0"/>
        <w:widowControl w:val="0"/>
        <w:kinsoku/>
        <w:wordWrap/>
        <w:overflowPunct/>
        <w:topLinePunct w:val="0"/>
        <w:autoSpaceDE/>
        <w:autoSpaceDN/>
        <w:adjustRightInd/>
        <w:snapToGrid/>
        <w:spacing w:line="560" w:lineRule="exact"/>
        <w:ind w:firstLine="640" w:firstLineChars="200"/>
        <w:rPr>
          <w:rFonts w:ascii="仿宋" w:hAnsi="仿宋" w:eastAsia="仿宋"/>
          <w:sz w:val="32"/>
          <w:szCs w:val="32"/>
          <w:shd w:val="clear" w:color="auto" w:fill="FFFFFF"/>
        </w:rPr>
      </w:pPr>
      <w:r>
        <w:rPr>
          <w:rFonts w:hint="eastAsia" w:ascii="仿宋" w:hAnsi="仿宋" w:eastAsia="仿宋"/>
          <w:color w:val="333333"/>
          <w:sz w:val="32"/>
          <w:szCs w:val="32"/>
          <w:shd w:val="clear" w:color="auto" w:fill="FFFFFF"/>
        </w:rPr>
        <w:t>202</w:t>
      </w:r>
      <w:r>
        <w:rPr>
          <w:rFonts w:ascii="仿宋" w:hAnsi="仿宋" w:eastAsia="仿宋"/>
          <w:color w:val="333333"/>
          <w:sz w:val="32"/>
          <w:szCs w:val="32"/>
          <w:shd w:val="clear" w:color="auto" w:fill="FFFFFF"/>
        </w:rPr>
        <w:t>4</w:t>
      </w:r>
      <w:r>
        <w:rPr>
          <w:rFonts w:hint="eastAsia" w:ascii="仿宋" w:hAnsi="仿宋" w:eastAsia="仿宋"/>
          <w:color w:val="333333"/>
          <w:sz w:val="32"/>
          <w:szCs w:val="32"/>
          <w:shd w:val="clear" w:color="auto" w:fill="FFFFFF"/>
        </w:rPr>
        <w:t>年部门整体支出绩效自评结果显示，我单位绩效管理情况较为良好，达到了年初设定的各项绩效目标。所有资金使用严格按审批程序办理、操作规范，会计核算结果真实、准确，各项支出严格按照各项制度执行。</w:t>
      </w:r>
      <w:r>
        <w:rPr>
          <w:rFonts w:hint="eastAsia" w:ascii="仿宋" w:hAnsi="仿宋" w:eastAsia="仿宋" w:cs="仿宋_GB2312"/>
          <w:sz w:val="32"/>
          <w:szCs w:val="32"/>
        </w:rPr>
        <w:t>总体产出指标、效益指标及满意度指标均达预期指标值，平均预算执行率达</w:t>
      </w:r>
      <w:r>
        <w:rPr>
          <w:rFonts w:ascii="仿宋" w:hAnsi="仿宋" w:eastAsia="仿宋" w:cs="仿宋_GB2312"/>
          <w:sz w:val="32"/>
          <w:szCs w:val="32"/>
        </w:rPr>
        <w:t>87%</w:t>
      </w:r>
      <w:r>
        <w:rPr>
          <w:rFonts w:hint="eastAsia" w:ascii="仿宋" w:hAnsi="仿宋" w:eastAsia="仿宋" w:cs="仿宋_GB2312"/>
          <w:sz w:val="32"/>
          <w:szCs w:val="32"/>
        </w:rPr>
        <w:t>以上。</w:t>
      </w:r>
    </w:p>
    <w:p w14:paraId="5E487F70">
      <w:pPr>
        <w:keepNext w:val="0"/>
        <w:keepLines w:val="0"/>
        <w:pageBreakBefore w:val="0"/>
        <w:widowControl w:val="0"/>
        <w:kinsoku/>
        <w:wordWrap/>
        <w:overflowPunct/>
        <w:topLinePunct w:val="0"/>
        <w:autoSpaceDE/>
        <w:autoSpaceDN/>
        <w:adjustRightInd/>
        <w:snapToGrid/>
        <w:spacing w:line="560" w:lineRule="exact"/>
        <w:ind w:firstLine="640" w:firstLineChars="200"/>
        <w:rPr>
          <w:rFonts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r>
        <w:rPr>
          <w:rFonts w:hint="eastAsia" w:ascii="仿宋" w:hAnsi="仿宋" w:eastAsia="仿宋" w:cs="仿宋"/>
          <w:sz w:val="32"/>
          <w:szCs w:val="32"/>
        </w:rPr>
        <w:t>通过逐项分析每个项目产出指标、效益指标、预算执行率指标、满意度指标的完成情况，得出全年项目绩效评价总体自评得分</w:t>
      </w:r>
      <w:r>
        <w:rPr>
          <w:rFonts w:ascii="仿宋" w:hAnsi="仿宋" w:eastAsia="仿宋" w:cs="仿宋"/>
          <w:sz w:val="32"/>
          <w:szCs w:val="32"/>
        </w:rPr>
        <w:t>99.5</w:t>
      </w:r>
      <w:r>
        <w:rPr>
          <w:rFonts w:hint="eastAsia" w:ascii="仿宋" w:hAnsi="仿宋" w:eastAsia="仿宋" w:cs="仿宋"/>
          <w:sz w:val="32"/>
          <w:szCs w:val="32"/>
        </w:rPr>
        <w:t>分，评价等级为优秀。</w:t>
      </w:r>
    </w:p>
    <w:p w14:paraId="70988F19">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DA5D77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54C61BA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1、对绩效评价工作的认识不够。</w:t>
      </w:r>
    </w:p>
    <w:p w14:paraId="78DA54F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绩效评价工作了解还不够深入，认为绩效评价只是财务部门的事情，相关项目职责部门配合不够，往往只能提供有限的财经资料或简单的工作计划、工作总结，绩效评价工作资料非常有限，内容粗浅。大部分单位直接借用工作总结作为绩效自评报告的主要内容。</w:t>
      </w:r>
    </w:p>
    <w:p w14:paraId="29CADDE7">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2、人员素质有待进一步提高</w:t>
      </w:r>
    </w:p>
    <w:p w14:paraId="0D0C5DA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仿宋" w:hAnsi="仿宋" w:eastAsia="仿宋" w:cs="仿宋"/>
          <w:sz w:val="32"/>
          <w:szCs w:val="32"/>
        </w:rPr>
        <w:t>由于预算绩效管理工作开展时间短，涉及面广，专业性强，相关人员对预算绩效管理理解不充分，对预算绩效管理业务部精通，在一定程度上影响了绩效评价工作质量。</w:t>
      </w:r>
    </w:p>
    <w:p w14:paraId="74A8FF8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4B23B438">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1、深入学习对绩效评价的认识</w:t>
      </w:r>
    </w:p>
    <w:p w14:paraId="3DE5D8C6">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通过绩效评价工作的逐步推进，我单位逐步树立了绩效理念，对预算绩效评价工作的态度由“被动接受”变成“主动实施”，多种方式学习提高全体人员对绩效评价的认识。</w:t>
      </w:r>
    </w:p>
    <w:p w14:paraId="52E4B154">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2、加强学习，提高人员素质</w:t>
      </w:r>
    </w:p>
    <w:p w14:paraId="57B5EB3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仿宋" w:hAnsi="仿宋" w:eastAsia="仿宋" w:cs="仿宋"/>
          <w:sz w:val="32"/>
          <w:szCs w:val="32"/>
        </w:rPr>
        <w:t>加强学习，希望财政部门多组织关于绩效评价的讲座，培养单位专业人员，在健全制度、完善政策、改进管理、优化流程中多做功课，逐步增强绩效管理，开展好整体支出及项目资金绩效管理工作，运用好绩效评价结果，不断提升预算管理水平。</w:t>
      </w:r>
    </w:p>
    <w:p w14:paraId="5C64840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pPr w:leftFromText="180" w:rightFromText="180" w:vertAnchor="text" w:horzAnchor="page" w:tblpX="2012" w:tblpY="256"/>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269"/>
        <w:gridCol w:w="1249"/>
        <w:gridCol w:w="4820"/>
        <w:gridCol w:w="1723"/>
      </w:tblGrid>
      <w:tr w14:paraId="46756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Align w:val="center"/>
          </w:tcPr>
          <w:p w14:paraId="4CE2D873">
            <w:pPr>
              <w:snapToGrid w:val="0"/>
              <w:spacing w:line="560" w:lineRule="exact"/>
              <w:jc w:val="center"/>
              <w:rPr>
                <w:rFonts w:ascii="仿宋" w:hAnsi="仿宋" w:eastAsia="仿宋" w:cs="仿宋"/>
                <w:sz w:val="24"/>
              </w:rPr>
            </w:pPr>
          </w:p>
        </w:tc>
        <w:tc>
          <w:tcPr>
            <w:tcW w:w="1249" w:type="dxa"/>
            <w:vAlign w:val="center"/>
          </w:tcPr>
          <w:p w14:paraId="323B177C">
            <w:pPr>
              <w:snapToGrid w:val="0"/>
              <w:spacing w:line="560" w:lineRule="exact"/>
              <w:jc w:val="center"/>
              <w:rPr>
                <w:rFonts w:ascii="仿宋" w:hAnsi="仿宋" w:eastAsia="仿宋" w:cs="仿宋"/>
                <w:sz w:val="24"/>
              </w:rPr>
            </w:pPr>
            <w:r>
              <w:rPr>
                <w:rFonts w:hint="eastAsia" w:ascii="仿宋" w:hAnsi="仿宋" w:eastAsia="仿宋" w:cs="仿宋"/>
                <w:sz w:val="24"/>
              </w:rPr>
              <w:t>姓名</w:t>
            </w:r>
          </w:p>
        </w:tc>
        <w:tc>
          <w:tcPr>
            <w:tcW w:w="4820" w:type="dxa"/>
            <w:vAlign w:val="center"/>
          </w:tcPr>
          <w:p w14:paraId="17B3EEEE">
            <w:pPr>
              <w:snapToGrid w:val="0"/>
              <w:spacing w:line="560" w:lineRule="exact"/>
              <w:jc w:val="center"/>
              <w:rPr>
                <w:rFonts w:ascii="仿宋" w:hAnsi="仿宋" w:eastAsia="仿宋" w:cs="仿宋"/>
                <w:sz w:val="24"/>
              </w:rPr>
            </w:pPr>
            <w:r>
              <w:rPr>
                <w:rFonts w:hint="eastAsia" w:ascii="仿宋" w:hAnsi="仿宋" w:eastAsia="仿宋" w:cs="仿宋"/>
                <w:sz w:val="24"/>
              </w:rPr>
              <w:t>工作单位及职务</w:t>
            </w:r>
          </w:p>
        </w:tc>
        <w:tc>
          <w:tcPr>
            <w:tcW w:w="1723" w:type="dxa"/>
          </w:tcPr>
          <w:p w14:paraId="6ED45219">
            <w:pPr>
              <w:snapToGrid w:val="0"/>
              <w:spacing w:line="560" w:lineRule="exact"/>
              <w:jc w:val="center"/>
              <w:rPr>
                <w:rFonts w:ascii="仿宋" w:hAnsi="仿宋" w:eastAsia="仿宋" w:cs="仿宋"/>
                <w:sz w:val="24"/>
              </w:rPr>
            </w:pPr>
            <w:r>
              <w:rPr>
                <w:rFonts w:hint="eastAsia" w:ascii="仿宋" w:hAnsi="仿宋" w:eastAsia="仿宋" w:cs="仿宋"/>
                <w:sz w:val="24"/>
              </w:rPr>
              <w:t>签名</w:t>
            </w:r>
          </w:p>
        </w:tc>
      </w:tr>
      <w:tr w14:paraId="6A1E2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Align w:val="center"/>
          </w:tcPr>
          <w:p w14:paraId="1C477423">
            <w:pPr>
              <w:snapToGrid w:val="0"/>
              <w:spacing w:line="560" w:lineRule="exact"/>
              <w:jc w:val="center"/>
              <w:rPr>
                <w:rFonts w:ascii="仿宋" w:hAnsi="仿宋" w:eastAsia="仿宋" w:cs="仿宋"/>
                <w:sz w:val="24"/>
              </w:rPr>
            </w:pPr>
            <w:r>
              <w:rPr>
                <w:rFonts w:hint="eastAsia" w:ascii="仿宋" w:hAnsi="仿宋" w:eastAsia="仿宋" w:cs="仿宋"/>
                <w:sz w:val="24"/>
              </w:rPr>
              <w:t>组  长</w:t>
            </w:r>
          </w:p>
        </w:tc>
        <w:tc>
          <w:tcPr>
            <w:tcW w:w="1249" w:type="dxa"/>
            <w:tcBorders>
              <w:left w:val="single" w:color="000000" w:sz="4" w:space="0"/>
            </w:tcBorders>
            <w:vAlign w:val="center"/>
          </w:tcPr>
          <w:p w14:paraId="7F6583DD">
            <w:pPr>
              <w:snapToGrid w:val="0"/>
              <w:spacing w:line="560" w:lineRule="exact"/>
              <w:jc w:val="center"/>
              <w:rPr>
                <w:rFonts w:ascii="仿宋" w:hAnsi="仿宋" w:eastAsia="仿宋" w:cs="仿宋"/>
                <w:sz w:val="24"/>
              </w:rPr>
            </w:pPr>
            <w:r>
              <w:rPr>
                <w:rFonts w:hint="eastAsia" w:ascii="仿宋" w:hAnsi="仿宋" w:eastAsia="仿宋" w:cs="仿宋"/>
                <w:sz w:val="24"/>
              </w:rPr>
              <w:t>丁勇</w:t>
            </w:r>
          </w:p>
        </w:tc>
        <w:tc>
          <w:tcPr>
            <w:tcW w:w="4820" w:type="dxa"/>
            <w:tcBorders>
              <w:left w:val="single" w:color="000000" w:sz="4" w:space="0"/>
            </w:tcBorders>
            <w:vAlign w:val="center"/>
          </w:tcPr>
          <w:p w14:paraId="099C36E9">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藁城区交通运输局局长</w:t>
            </w:r>
          </w:p>
        </w:tc>
        <w:tc>
          <w:tcPr>
            <w:tcW w:w="1723" w:type="dxa"/>
            <w:tcBorders>
              <w:left w:val="single" w:color="000000" w:sz="4" w:space="0"/>
            </w:tcBorders>
          </w:tcPr>
          <w:p w14:paraId="51EB172A">
            <w:pPr>
              <w:snapToGrid w:val="0"/>
              <w:spacing w:line="560" w:lineRule="exact"/>
              <w:jc w:val="center"/>
              <w:rPr>
                <w:rFonts w:ascii="仿宋" w:hAnsi="仿宋" w:eastAsia="仿宋" w:cs="仿宋"/>
                <w:sz w:val="24"/>
              </w:rPr>
            </w:pPr>
          </w:p>
        </w:tc>
      </w:tr>
      <w:tr w14:paraId="1815E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restart"/>
            <w:vAlign w:val="center"/>
          </w:tcPr>
          <w:p w14:paraId="7D380312">
            <w:pPr>
              <w:snapToGrid w:val="0"/>
              <w:spacing w:line="560" w:lineRule="exact"/>
              <w:jc w:val="center"/>
              <w:rPr>
                <w:rFonts w:ascii="仿宋" w:hAnsi="仿宋" w:eastAsia="仿宋" w:cs="仿宋"/>
                <w:sz w:val="24"/>
              </w:rPr>
            </w:pPr>
            <w:r>
              <w:rPr>
                <w:rFonts w:hint="eastAsia" w:ascii="仿宋" w:hAnsi="仿宋" w:eastAsia="仿宋" w:cs="仿宋"/>
                <w:sz w:val="24"/>
              </w:rPr>
              <w:t>副组长</w:t>
            </w:r>
          </w:p>
        </w:tc>
        <w:tc>
          <w:tcPr>
            <w:tcW w:w="1249" w:type="dxa"/>
            <w:tcBorders>
              <w:left w:val="single" w:color="000000" w:sz="4" w:space="0"/>
            </w:tcBorders>
            <w:vAlign w:val="center"/>
          </w:tcPr>
          <w:p w14:paraId="18B79886">
            <w:pPr>
              <w:snapToGrid w:val="0"/>
              <w:spacing w:line="560" w:lineRule="exact"/>
              <w:jc w:val="center"/>
              <w:rPr>
                <w:rFonts w:ascii="仿宋" w:hAnsi="仿宋" w:eastAsia="仿宋" w:cs="仿宋"/>
                <w:sz w:val="24"/>
              </w:rPr>
            </w:pPr>
            <w:r>
              <w:rPr>
                <w:rFonts w:ascii="仿宋" w:hAnsi="仿宋" w:eastAsia="仿宋" w:cs="仿宋"/>
                <w:sz w:val="24"/>
              </w:rPr>
              <w:t>王立峰</w:t>
            </w:r>
          </w:p>
        </w:tc>
        <w:tc>
          <w:tcPr>
            <w:tcW w:w="4820" w:type="dxa"/>
            <w:tcBorders>
              <w:left w:val="single" w:color="000000" w:sz="4" w:space="0"/>
            </w:tcBorders>
            <w:vAlign w:val="center"/>
          </w:tcPr>
          <w:p w14:paraId="4E7D424E">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藁城区交通运输局副局长</w:t>
            </w:r>
          </w:p>
        </w:tc>
        <w:tc>
          <w:tcPr>
            <w:tcW w:w="1723" w:type="dxa"/>
            <w:tcBorders>
              <w:left w:val="single" w:color="000000" w:sz="4" w:space="0"/>
            </w:tcBorders>
          </w:tcPr>
          <w:p w14:paraId="64E77E10">
            <w:pPr>
              <w:snapToGrid w:val="0"/>
              <w:spacing w:line="560" w:lineRule="exact"/>
              <w:jc w:val="center"/>
              <w:rPr>
                <w:rFonts w:ascii="仿宋" w:hAnsi="仿宋" w:eastAsia="仿宋" w:cs="仿宋"/>
                <w:sz w:val="24"/>
              </w:rPr>
            </w:pPr>
          </w:p>
        </w:tc>
      </w:tr>
      <w:tr w14:paraId="364DC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3EA75403"/>
        </w:tc>
        <w:tc>
          <w:tcPr>
            <w:tcW w:w="1249" w:type="dxa"/>
            <w:tcBorders>
              <w:left w:val="single" w:color="000000" w:sz="4" w:space="0"/>
            </w:tcBorders>
            <w:vAlign w:val="center"/>
          </w:tcPr>
          <w:p w14:paraId="2374E694">
            <w:pPr>
              <w:snapToGrid w:val="0"/>
              <w:spacing w:line="560" w:lineRule="exact"/>
              <w:jc w:val="center"/>
              <w:rPr>
                <w:rFonts w:ascii="仿宋" w:hAnsi="仿宋" w:eastAsia="仿宋" w:cs="仿宋"/>
                <w:sz w:val="24"/>
              </w:rPr>
            </w:pPr>
            <w:r>
              <w:rPr>
                <w:rFonts w:ascii="仿宋" w:hAnsi="仿宋" w:eastAsia="仿宋" w:cs="仿宋"/>
                <w:sz w:val="24"/>
              </w:rPr>
              <w:t>孙建辉</w:t>
            </w:r>
          </w:p>
        </w:tc>
        <w:tc>
          <w:tcPr>
            <w:tcW w:w="4820" w:type="dxa"/>
            <w:tcBorders>
              <w:left w:val="single" w:color="000000" w:sz="4" w:space="0"/>
            </w:tcBorders>
            <w:vAlign w:val="center"/>
          </w:tcPr>
          <w:p w14:paraId="61227B01">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藁城区交通运输局副局长</w:t>
            </w:r>
          </w:p>
        </w:tc>
        <w:tc>
          <w:tcPr>
            <w:tcW w:w="1723" w:type="dxa"/>
            <w:tcBorders>
              <w:left w:val="single" w:color="000000" w:sz="4" w:space="0"/>
            </w:tcBorders>
          </w:tcPr>
          <w:p w14:paraId="29BADB30">
            <w:pPr>
              <w:snapToGrid w:val="0"/>
              <w:spacing w:line="560" w:lineRule="exact"/>
              <w:jc w:val="center"/>
              <w:rPr>
                <w:rFonts w:ascii="仿宋" w:hAnsi="仿宋" w:eastAsia="仿宋" w:cs="仿宋"/>
                <w:sz w:val="24"/>
              </w:rPr>
            </w:pPr>
          </w:p>
        </w:tc>
      </w:tr>
      <w:tr w14:paraId="07CE93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restart"/>
            <w:vAlign w:val="center"/>
          </w:tcPr>
          <w:p w14:paraId="35CB9203">
            <w:pPr>
              <w:snapToGrid w:val="0"/>
              <w:spacing w:line="560" w:lineRule="exact"/>
              <w:jc w:val="center"/>
              <w:rPr>
                <w:rFonts w:ascii="仿宋" w:hAnsi="仿宋" w:eastAsia="仿宋" w:cs="仿宋"/>
                <w:sz w:val="24"/>
              </w:rPr>
            </w:pPr>
            <w:r>
              <w:rPr>
                <w:rFonts w:hint="eastAsia" w:ascii="仿宋" w:hAnsi="仿宋" w:eastAsia="仿宋" w:cs="仿宋"/>
                <w:sz w:val="24"/>
              </w:rPr>
              <w:t>成  员</w:t>
            </w:r>
          </w:p>
        </w:tc>
        <w:tc>
          <w:tcPr>
            <w:tcW w:w="1249" w:type="dxa"/>
            <w:tcBorders>
              <w:left w:val="single" w:color="000000" w:sz="4" w:space="0"/>
            </w:tcBorders>
            <w:vAlign w:val="center"/>
          </w:tcPr>
          <w:p w14:paraId="24F28CE0">
            <w:pPr>
              <w:snapToGrid w:val="0"/>
              <w:spacing w:line="560" w:lineRule="exact"/>
              <w:jc w:val="center"/>
              <w:rPr>
                <w:rFonts w:ascii="仿宋" w:hAnsi="仿宋" w:eastAsia="仿宋" w:cs="仿宋"/>
                <w:sz w:val="24"/>
              </w:rPr>
            </w:pPr>
            <w:r>
              <w:rPr>
                <w:rFonts w:ascii="仿宋" w:hAnsi="仿宋" w:eastAsia="仿宋" w:cs="仿宋"/>
                <w:sz w:val="24"/>
              </w:rPr>
              <w:t>高亚欣</w:t>
            </w:r>
          </w:p>
        </w:tc>
        <w:tc>
          <w:tcPr>
            <w:tcW w:w="4820" w:type="dxa"/>
            <w:tcBorders>
              <w:left w:val="single" w:color="000000" w:sz="4" w:space="0"/>
            </w:tcBorders>
            <w:vAlign w:val="center"/>
          </w:tcPr>
          <w:p w14:paraId="02805355">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藁城区交通运输局办公室主任</w:t>
            </w:r>
          </w:p>
        </w:tc>
        <w:tc>
          <w:tcPr>
            <w:tcW w:w="1723" w:type="dxa"/>
            <w:tcBorders>
              <w:left w:val="single" w:color="000000" w:sz="4" w:space="0"/>
            </w:tcBorders>
          </w:tcPr>
          <w:p w14:paraId="67C12FE8">
            <w:pPr>
              <w:snapToGrid w:val="0"/>
              <w:spacing w:line="560" w:lineRule="exact"/>
              <w:jc w:val="center"/>
              <w:rPr>
                <w:rFonts w:ascii="仿宋" w:hAnsi="仿宋" w:eastAsia="仿宋" w:cs="仿宋"/>
                <w:sz w:val="24"/>
              </w:rPr>
            </w:pPr>
          </w:p>
        </w:tc>
      </w:tr>
      <w:tr w14:paraId="46CACE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3CCE7A24"/>
        </w:tc>
        <w:tc>
          <w:tcPr>
            <w:tcW w:w="1249" w:type="dxa"/>
            <w:tcBorders>
              <w:left w:val="single" w:color="000000" w:sz="4" w:space="0"/>
            </w:tcBorders>
            <w:vAlign w:val="center"/>
          </w:tcPr>
          <w:p w14:paraId="11DD8BFB">
            <w:pPr>
              <w:snapToGrid w:val="0"/>
              <w:spacing w:line="560" w:lineRule="exact"/>
              <w:jc w:val="center"/>
              <w:rPr>
                <w:rFonts w:ascii="仿宋" w:hAnsi="仿宋" w:eastAsia="仿宋" w:cs="仿宋"/>
                <w:sz w:val="24"/>
              </w:rPr>
            </w:pPr>
            <w:r>
              <w:rPr>
                <w:rFonts w:hint="eastAsia" w:ascii="仿宋" w:hAnsi="仿宋" w:eastAsia="仿宋" w:cs="仿宋"/>
                <w:sz w:val="24"/>
              </w:rPr>
              <w:t>董晓衡</w:t>
            </w:r>
          </w:p>
        </w:tc>
        <w:tc>
          <w:tcPr>
            <w:tcW w:w="4820" w:type="dxa"/>
            <w:tcBorders>
              <w:left w:val="single" w:color="000000" w:sz="4" w:space="0"/>
            </w:tcBorders>
            <w:vAlign w:val="center"/>
          </w:tcPr>
          <w:p w14:paraId="3D8B2B46">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藁城区交通运输局公路股股长</w:t>
            </w:r>
          </w:p>
        </w:tc>
        <w:tc>
          <w:tcPr>
            <w:tcW w:w="1723" w:type="dxa"/>
            <w:tcBorders>
              <w:left w:val="single" w:color="000000" w:sz="4" w:space="0"/>
            </w:tcBorders>
          </w:tcPr>
          <w:p w14:paraId="04249F1E">
            <w:pPr>
              <w:snapToGrid w:val="0"/>
              <w:spacing w:line="560" w:lineRule="exact"/>
              <w:jc w:val="center"/>
              <w:rPr>
                <w:rFonts w:ascii="仿宋" w:hAnsi="仿宋" w:eastAsia="仿宋" w:cs="仿宋"/>
                <w:sz w:val="24"/>
              </w:rPr>
            </w:pPr>
          </w:p>
        </w:tc>
      </w:tr>
      <w:tr w14:paraId="22EFF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6B9A73E5"/>
        </w:tc>
        <w:tc>
          <w:tcPr>
            <w:tcW w:w="1249" w:type="dxa"/>
            <w:tcBorders>
              <w:left w:val="single" w:color="000000" w:sz="4" w:space="0"/>
            </w:tcBorders>
            <w:vAlign w:val="center"/>
          </w:tcPr>
          <w:p w14:paraId="287EBCCA">
            <w:pPr>
              <w:snapToGrid w:val="0"/>
              <w:spacing w:line="560" w:lineRule="exact"/>
              <w:jc w:val="center"/>
              <w:rPr>
                <w:rFonts w:ascii="仿宋" w:hAnsi="仿宋" w:eastAsia="仿宋" w:cs="仿宋"/>
                <w:sz w:val="24"/>
              </w:rPr>
            </w:pPr>
            <w:r>
              <w:rPr>
                <w:rFonts w:ascii="仿宋" w:hAnsi="仿宋" w:eastAsia="仿宋" w:cs="仿宋"/>
                <w:sz w:val="24"/>
              </w:rPr>
              <w:t>王艳鹏</w:t>
            </w:r>
          </w:p>
        </w:tc>
        <w:tc>
          <w:tcPr>
            <w:tcW w:w="4820" w:type="dxa"/>
            <w:tcBorders>
              <w:left w:val="single" w:color="000000" w:sz="4" w:space="0"/>
            </w:tcBorders>
            <w:vAlign w:val="center"/>
          </w:tcPr>
          <w:p w14:paraId="52D8641A">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藁城区交通运输局财务</w:t>
            </w:r>
            <w:r>
              <w:rPr>
                <w:rFonts w:ascii="仿宋" w:hAnsi="仿宋" w:eastAsia="仿宋" w:cs="仿宋"/>
                <w:sz w:val="24"/>
              </w:rPr>
              <w:t>科科长</w:t>
            </w:r>
          </w:p>
        </w:tc>
        <w:tc>
          <w:tcPr>
            <w:tcW w:w="1723" w:type="dxa"/>
            <w:tcBorders>
              <w:left w:val="single" w:color="000000" w:sz="4" w:space="0"/>
            </w:tcBorders>
          </w:tcPr>
          <w:p w14:paraId="0C78A058">
            <w:pPr>
              <w:snapToGrid w:val="0"/>
              <w:spacing w:line="560" w:lineRule="exact"/>
              <w:jc w:val="center"/>
              <w:rPr>
                <w:rFonts w:ascii="仿宋" w:hAnsi="仿宋" w:eastAsia="仿宋" w:cs="仿宋"/>
                <w:sz w:val="24"/>
              </w:rPr>
            </w:pPr>
          </w:p>
        </w:tc>
      </w:tr>
      <w:tr w14:paraId="3754B5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08A68ABF"/>
        </w:tc>
        <w:tc>
          <w:tcPr>
            <w:tcW w:w="1249" w:type="dxa"/>
            <w:tcBorders>
              <w:left w:val="single" w:color="000000" w:sz="4" w:space="0"/>
            </w:tcBorders>
            <w:vAlign w:val="center"/>
          </w:tcPr>
          <w:p w14:paraId="566A0A61">
            <w:pPr>
              <w:snapToGrid w:val="0"/>
              <w:spacing w:line="560" w:lineRule="exact"/>
              <w:jc w:val="center"/>
              <w:rPr>
                <w:rFonts w:ascii="仿宋" w:hAnsi="仿宋" w:eastAsia="仿宋" w:cs="仿宋"/>
                <w:sz w:val="24"/>
              </w:rPr>
            </w:pPr>
            <w:r>
              <w:rPr>
                <w:rFonts w:hint="eastAsia" w:ascii="仿宋" w:hAnsi="仿宋" w:eastAsia="仿宋" w:cs="仿宋"/>
                <w:sz w:val="24"/>
              </w:rPr>
              <w:t>王力辉</w:t>
            </w:r>
          </w:p>
        </w:tc>
        <w:tc>
          <w:tcPr>
            <w:tcW w:w="4820" w:type="dxa"/>
            <w:tcBorders>
              <w:left w:val="single" w:color="000000" w:sz="4" w:space="0"/>
            </w:tcBorders>
            <w:vAlign w:val="center"/>
          </w:tcPr>
          <w:p w14:paraId="0A61FC20">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藁城区交通运输局政工股股长</w:t>
            </w:r>
          </w:p>
        </w:tc>
        <w:tc>
          <w:tcPr>
            <w:tcW w:w="1723" w:type="dxa"/>
            <w:tcBorders>
              <w:left w:val="single" w:color="000000" w:sz="4" w:space="0"/>
            </w:tcBorders>
          </w:tcPr>
          <w:p w14:paraId="56B08D98">
            <w:pPr>
              <w:snapToGrid w:val="0"/>
              <w:spacing w:line="560" w:lineRule="exact"/>
              <w:jc w:val="center"/>
              <w:rPr>
                <w:rFonts w:ascii="仿宋" w:hAnsi="仿宋" w:eastAsia="仿宋" w:cs="仿宋"/>
                <w:sz w:val="24"/>
              </w:rPr>
            </w:pPr>
          </w:p>
        </w:tc>
      </w:tr>
      <w:tr w14:paraId="38BA7A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2B5397E9"/>
        </w:tc>
        <w:tc>
          <w:tcPr>
            <w:tcW w:w="1249" w:type="dxa"/>
            <w:tcBorders>
              <w:left w:val="single" w:color="000000" w:sz="4" w:space="0"/>
            </w:tcBorders>
            <w:vAlign w:val="center"/>
          </w:tcPr>
          <w:p w14:paraId="762B0214">
            <w:pPr>
              <w:snapToGrid w:val="0"/>
              <w:spacing w:line="560" w:lineRule="exact"/>
              <w:jc w:val="center"/>
              <w:rPr>
                <w:rFonts w:ascii="仿宋" w:hAnsi="仿宋" w:eastAsia="仿宋" w:cs="仿宋"/>
                <w:sz w:val="24"/>
              </w:rPr>
            </w:pPr>
            <w:r>
              <w:rPr>
                <w:rFonts w:hint="eastAsia" w:ascii="仿宋" w:hAnsi="仿宋" w:eastAsia="仿宋" w:cs="仿宋"/>
                <w:sz w:val="24"/>
              </w:rPr>
              <w:t>张利超</w:t>
            </w:r>
          </w:p>
        </w:tc>
        <w:tc>
          <w:tcPr>
            <w:tcW w:w="4820" w:type="dxa"/>
            <w:tcBorders>
              <w:left w:val="single" w:color="000000" w:sz="4" w:space="0"/>
            </w:tcBorders>
            <w:vAlign w:val="center"/>
          </w:tcPr>
          <w:p w14:paraId="77DA6E0D">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藁城区交通运输局法规科科长</w:t>
            </w:r>
          </w:p>
        </w:tc>
        <w:tc>
          <w:tcPr>
            <w:tcW w:w="1723" w:type="dxa"/>
            <w:tcBorders>
              <w:left w:val="single" w:color="000000" w:sz="4" w:space="0"/>
            </w:tcBorders>
          </w:tcPr>
          <w:p w14:paraId="1A097875">
            <w:pPr>
              <w:snapToGrid w:val="0"/>
              <w:spacing w:line="560" w:lineRule="exact"/>
              <w:jc w:val="center"/>
              <w:rPr>
                <w:rFonts w:ascii="仿宋" w:hAnsi="仿宋" w:eastAsia="仿宋" w:cs="仿宋"/>
                <w:sz w:val="24"/>
              </w:rPr>
            </w:pPr>
          </w:p>
        </w:tc>
      </w:tr>
      <w:tr w14:paraId="511AEF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269" w:type="dxa"/>
            <w:vMerge w:val="continue"/>
            <w:vAlign w:val="center"/>
          </w:tcPr>
          <w:p w14:paraId="207734B7"/>
        </w:tc>
        <w:tc>
          <w:tcPr>
            <w:tcW w:w="1249" w:type="dxa"/>
            <w:tcBorders>
              <w:left w:val="single" w:color="000000" w:sz="4" w:space="0"/>
            </w:tcBorders>
            <w:vAlign w:val="center"/>
          </w:tcPr>
          <w:p w14:paraId="1902B5DB">
            <w:pPr>
              <w:snapToGrid w:val="0"/>
              <w:spacing w:line="560" w:lineRule="exact"/>
              <w:jc w:val="center"/>
              <w:rPr>
                <w:rFonts w:ascii="仿宋" w:hAnsi="仿宋" w:eastAsia="仿宋" w:cs="仿宋"/>
                <w:sz w:val="24"/>
              </w:rPr>
            </w:pPr>
            <w:r>
              <w:rPr>
                <w:rFonts w:hint="eastAsia" w:ascii="仿宋" w:hAnsi="仿宋" w:eastAsia="仿宋" w:cs="仿宋"/>
                <w:sz w:val="24"/>
              </w:rPr>
              <w:t>魏广</w:t>
            </w:r>
          </w:p>
        </w:tc>
        <w:tc>
          <w:tcPr>
            <w:tcW w:w="4820" w:type="dxa"/>
            <w:tcBorders>
              <w:left w:val="single" w:color="000000" w:sz="4" w:space="0"/>
            </w:tcBorders>
            <w:vAlign w:val="center"/>
          </w:tcPr>
          <w:p w14:paraId="0C9BEDE5">
            <w:pPr>
              <w:snapToGrid w:val="0"/>
              <w:spacing w:line="560" w:lineRule="exact"/>
              <w:jc w:val="center"/>
              <w:rPr>
                <w:rFonts w:ascii="仿宋" w:hAnsi="仿宋" w:eastAsia="仿宋" w:cs="仿宋"/>
                <w:sz w:val="24"/>
              </w:rPr>
            </w:pPr>
            <w:r>
              <w:rPr>
                <w:rFonts w:hint="eastAsia" w:ascii="仿宋" w:hAnsi="仿宋" w:eastAsia="仿宋" w:cs="仿宋"/>
                <w:sz w:val="24"/>
              </w:rPr>
              <w:t>安全生产监督管理股股长</w:t>
            </w:r>
          </w:p>
        </w:tc>
        <w:tc>
          <w:tcPr>
            <w:tcW w:w="1723" w:type="dxa"/>
            <w:tcBorders>
              <w:left w:val="single" w:color="000000" w:sz="4" w:space="0"/>
            </w:tcBorders>
          </w:tcPr>
          <w:p w14:paraId="25143B5C">
            <w:pPr>
              <w:snapToGrid w:val="0"/>
              <w:spacing w:line="560" w:lineRule="exact"/>
              <w:jc w:val="center"/>
              <w:rPr>
                <w:rFonts w:ascii="仿宋" w:hAnsi="仿宋" w:eastAsia="仿宋" w:cs="仿宋"/>
                <w:sz w:val="24"/>
              </w:rPr>
            </w:pPr>
          </w:p>
        </w:tc>
      </w:tr>
    </w:tbl>
    <w:p w14:paraId="6EA78161">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14:paraId="6C3160D4">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52733CD9">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64BC7AD3">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0FBA2750">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006EF217">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0F5AE245">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4F696DEB">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1E619A79">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162D040F">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64DF4C6B">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4A56091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07A308F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3DCBEA4B">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55F239C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604EB5AA">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59314AC0">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ascii="仿宋_GB2312" w:hAnsi="仿宋_GB2312" w:eastAsia="仿宋_GB2312" w:cs="仿宋_GB2312"/>
          <w:sz w:val="32"/>
          <w:szCs w:val="32"/>
          <w:lang w:eastAsia="zh-CN"/>
        </w:rPr>
      </w:pPr>
    </w:p>
    <w:p w14:paraId="73C94341">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5E15F">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88925"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88838" cy="153339"/>
                      </a:xfrm>
                      <a:prstGeom prst="rect">
                        <a:avLst/>
                      </a:prstGeom>
                      <a:noFill/>
                      <a:ln cap="flat" cmpd="sng">
                        <a:noFill/>
                        <a:prstDash val="solid"/>
                        <a:round/>
                      </a:ln>
                    </wps:spPr>
                    <wps:txbx>
                      <w:txbxContent>
                        <w:p w14:paraId="6781AB7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22.75pt;mso-position-horizontal:center;mso-position-horizontal-relative:margin;mso-wrap-style:none;z-index:251659264;mso-width-relative:page;mso-height-relative:page;" filled="f" stroked="f" coordsize="21600,21600" o:gfxdata="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9uBk7SAAAAAwEAAA8AAAAAAAAAAQAgAAAAIgAAAGRycy9kb3ducmV2LnhtbFBLAQIUABQAAAAI&#10;AIdO4kDhfkMq8wEAAO8DAAAOAAAAAAAAAAEAIAAAACEBAABkcnMvZTJvRG9jLnhtbFBLBQYAAAAA&#10;BgAGAFkBAACGBQAAAAA=&#10;">
              <v:fill on="f" focussize="0,0"/>
              <v:stroke on="f" joinstyle="round"/>
              <v:imagedata o:title=""/>
              <o:lock v:ext="edit" aspectratio="f"/>
              <v:textbox inset="0mm,0mm,0mm,0mm" style="mso-fit-shape-to-text:t;">
                <w:txbxContent>
                  <w:p w14:paraId="6781AB7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A0AD08">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05FE0ECC"/>
    <w:multiLevelType w:val="multilevel"/>
    <w:tmpl w:val="05FE0ECC"/>
    <w:lvl w:ilvl="0" w:tentative="0">
      <w:start w:val="1"/>
      <w:numFmt w:val="chineseCountingThousand"/>
      <w:lvlText w:val="（%1）"/>
      <w:lvlJc w:val="left"/>
      <w:pPr>
        <w:tabs>
          <w:tab w:val="left" w:pos="0"/>
        </w:tabs>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306F7A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uiPriority w:val="0"/>
    <w:rPr>
      <w:rFonts w:ascii="Times New Roman" w:hAnsi="Times New Roman" w:eastAsia="宋体" w:cs="Times New Roman"/>
      <w:b/>
      <w:bCs/>
      <w:kern w:val="2"/>
      <w:sz w:val="32"/>
      <w:szCs w:val="32"/>
      <w:lang w:val="en-US" w:eastAsia="zh-CN" w:bidi="ar-SA"/>
    </w:rPr>
  </w:style>
  <w:style w:type="paragraph" w:customStyle="1" w:styleId="12">
    <w:name w:val="正文文本 Char Char"/>
    <w:basedOn w:val="1"/>
    <w:qFormat/>
    <w:uiPriority w:val="0"/>
    <w:pPr>
      <w:widowControl w:val="0"/>
      <w:shd w:val="clear" w:color="auto" w:fill="auto"/>
      <w:spacing w:line="389" w:lineRule="auto"/>
      <w:ind w:firstLine="400"/>
    </w:pPr>
    <w:rPr>
      <w:sz w:val="30"/>
      <w:szCs w:val="30"/>
      <w:u w:val="none"/>
      <w:lang w:val="zh-CN"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B91240-6CBB-4FF9-851A-0DC35533658E}">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10</Pages>
  <Words>3815</Words>
  <Characters>4005</Characters>
  <Lines>0</Lines>
  <Paragraphs>100</Paragraphs>
  <TotalTime>354</TotalTime>
  <ScaleCrop>false</ScaleCrop>
  <LinksUpToDate>false</LinksUpToDate>
  <CharactersWithSpaces>4009</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2025-05-16T08:45:59Z</dcterms:modified>
  <dc:title>附件2： </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eyJoZGlkIjoiZWFiZDA5ODMyMjczYmM0MDUyYjk1NDhmMzg4ZjdmODkiLCJ1c2VySWQiOiIxNTUwMjQwMDk2In0=</vt:lpwstr>
  </property>
</Properties>
</file>