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6CC786">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1760" w:firstLineChars="400"/>
        <w:jc w:val="both"/>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石家庄市藁城区红十字会</w:t>
      </w:r>
      <w:r>
        <w:rPr>
          <w:rFonts w:hint="eastAsia" w:ascii="方正小标宋简体" w:hAnsi="方正小标宋简体" w:eastAsia="方正小标宋简体" w:cs="方正小标宋简体"/>
          <w:b w:val="0"/>
          <w:bCs w:val="0"/>
          <w:sz w:val="44"/>
          <w:szCs w:val="44"/>
        </w:rPr>
        <w:t>部门</w:t>
      </w:r>
    </w:p>
    <w:p w14:paraId="6E3BCC2C">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年度整体支出绩效自评工作报告</w:t>
      </w:r>
    </w:p>
    <w:p w14:paraId="3013373A">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14:paraId="5B69A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石家庄市藁城区红十字会</w:t>
      </w:r>
      <w:r>
        <w:rPr>
          <w:rFonts w:hint="eastAsia" w:ascii="仿宋_GB2312" w:hAnsi="仿宋_GB2312" w:eastAsia="仿宋_GB2312" w:cs="仿宋_GB2312"/>
          <w:sz w:val="32"/>
          <w:szCs w:val="32"/>
          <w:highlight w:val="none"/>
          <w:lang w:eastAsia="zh-CN"/>
        </w:rPr>
        <w:t>部门202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年度整体支出情况实施了财政支出绩效自评价，形成本评价报告。</w:t>
      </w:r>
    </w:p>
    <w:p w14:paraId="589B9F6B">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eastAsia="zh-CN"/>
        </w:rPr>
        <w:t>部门基本情况</w:t>
      </w:r>
    </w:p>
    <w:p w14:paraId="08A09BC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（一）部门概况</w:t>
      </w:r>
    </w:p>
    <w:p w14:paraId="740256F4">
      <w:pPr>
        <w:snapToGrid w:val="0"/>
        <w:spacing w:line="52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1．主要职能</w:t>
      </w:r>
    </w:p>
    <w:p w14:paraId="23279283">
      <w:pPr>
        <w:snapToGrid w:val="0"/>
        <w:spacing w:line="5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宣传和执行《中华人民共和国红十字会法》、《中国红十字会章程》和《中国红十字会标志使用办法》等相关法律法规；开展</w:t>
      </w:r>
      <w:r>
        <w:rPr>
          <w:rFonts w:hint="eastAsia" w:ascii="仿宋_GB2312" w:hAnsi="仿宋_GB2312" w:eastAsia="仿宋_GB2312" w:cs="仿宋_GB2312"/>
          <w:sz w:val="32"/>
          <w:szCs w:val="32"/>
          <w:lang w:val="en-US" w:eastAsia="zh-CN"/>
        </w:rPr>
        <w:t>救援、</w:t>
      </w:r>
      <w:r>
        <w:rPr>
          <w:rFonts w:hint="eastAsia" w:ascii="仿宋_GB2312" w:hAnsi="仿宋_GB2312" w:eastAsia="仿宋_GB2312" w:cs="仿宋_GB2312"/>
          <w:sz w:val="32"/>
          <w:szCs w:val="32"/>
        </w:rPr>
        <w:t>救灾</w:t>
      </w:r>
      <w:r>
        <w:rPr>
          <w:rFonts w:hint="eastAsia" w:ascii="仿宋_GB2312" w:hAnsi="仿宋_GB2312" w:eastAsia="仿宋_GB2312" w:cs="仿宋_GB2312"/>
          <w:sz w:val="32"/>
          <w:szCs w:val="32"/>
          <w:lang w:val="en-US" w:eastAsia="zh-CN"/>
        </w:rPr>
        <w:t>的相关</w:t>
      </w:r>
      <w:r>
        <w:rPr>
          <w:rFonts w:hint="eastAsia" w:ascii="仿宋_GB2312" w:hAnsi="仿宋_GB2312" w:eastAsia="仿宋_GB2312" w:cs="仿宋_GB2312"/>
          <w:sz w:val="32"/>
          <w:szCs w:val="32"/>
        </w:rPr>
        <w:t>工作；开展应急救护</w:t>
      </w:r>
      <w:r>
        <w:rPr>
          <w:rFonts w:hint="eastAsia" w:ascii="仿宋_GB2312" w:hAnsi="仿宋_GB2312" w:eastAsia="仿宋_GB2312" w:cs="仿宋_GB2312"/>
          <w:sz w:val="32"/>
          <w:szCs w:val="32"/>
          <w:lang w:val="en-US" w:eastAsia="zh-CN"/>
        </w:rPr>
        <w:t>培训，普及应急救护、防灾避险和卫生健康知识，组织志愿者参与现场救护</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参与、推动</w:t>
      </w:r>
      <w:r>
        <w:rPr>
          <w:rFonts w:hint="eastAsia" w:ascii="仿宋_GB2312" w:hAnsi="仿宋_GB2312" w:eastAsia="仿宋_GB2312" w:cs="仿宋_GB2312"/>
          <w:sz w:val="32"/>
          <w:szCs w:val="32"/>
        </w:rPr>
        <w:t>无偿献血、遗体</w:t>
      </w:r>
      <w:r>
        <w:rPr>
          <w:rFonts w:hint="eastAsia" w:ascii="仿宋_GB2312" w:hAnsi="仿宋_GB2312" w:eastAsia="仿宋_GB2312" w:cs="仿宋_GB2312"/>
          <w:sz w:val="32"/>
          <w:szCs w:val="32"/>
          <w:lang w:val="en-US" w:eastAsia="zh-CN"/>
        </w:rPr>
        <w:t>和人体</w:t>
      </w:r>
      <w:r>
        <w:rPr>
          <w:rFonts w:hint="eastAsia" w:ascii="仿宋_GB2312" w:hAnsi="仿宋_GB2312" w:eastAsia="仿宋_GB2312" w:cs="仿宋_GB2312"/>
          <w:sz w:val="32"/>
          <w:szCs w:val="32"/>
        </w:rPr>
        <w:t>器官捐献</w:t>
      </w:r>
      <w:r>
        <w:rPr>
          <w:rFonts w:hint="eastAsia" w:ascii="仿宋_GB2312" w:hAnsi="仿宋_GB2312" w:eastAsia="仿宋_GB2312" w:cs="仿宋_GB2312"/>
          <w:sz w:val="32"/>
          <w:szCs w:val="32"/>
          <w:lang w:val="en-US" w:eastAsia="zh-CN"/>
        </w:rPr>
        <w:t>工作，参与开展</w:t>
      </w:r>
      <w:r>
        <w:rPr>
          <w:rFonts w:hint="eastAsia" w:ascii="仿宋_GB2312" w:hAnsi="仿宋_GB2312" w:eastAsia="仿宋_GB2312" w:cs="仿宋_GB2312"/>
          <w:sz w:val="32"/>
          <w:szCs w:val="32"/>
        </w:rPr>
        <w:t>造血干细胞</w:t>
      </w:r>
      <w:r>
        <w:rPr>
          <w:rFonts w:hint="eastAsia" w:ascii="仿宋_GB2312" w:hAnsi="仿宋_GB2312" w:eastAsia="仿宋_GB2312" w:cs="仿宋_GB2312"/>
          <w:sz w:val="32"/>
          <w:szCs w:val="32"/>
          <w:lang w:val="en-US" w:eastAsia="zh-CN"/>
        </w:rPr>
        <w:t>捐献的相关</w:t>
      </w:r>
      <w:r>
        <w:rPr>
          <w:rFonts w:hint="eastAsia" w:ascii="仿宋_GB2312" w:hAnsi="仿宋_GB2312" w:eastAsia="仿宋_GB2312" w:cs="仿宋_GB2312"/>
          <w:sz w:val="32"/>
          <w:szCs w:val="32"/>
        </w:rPr>
        <w:t>工作；开展社会救助及相关服务工作；开展有益于青少年身心健康的红十字青少年活动；组织开展志愿服务工作；依法开展募捐活动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协助人民政府开展与其职责相关的其他人道主义服务活动</w:t>
      </w:r>
      <w:r>
        <w:rPr>
          <w:rFonts w:hint="eastAsia" w:ascii="仿宋_GB2312" w:hAnsi="仿宋_GB2312" w:eastAsia="仿宋_GB2312" w:cs="仿宋_GB2312"/>
          <w:sz w:val="32"/>
          <w:szCs w:val="32"/>
        </w:rPr>
        <w:t>。</w:t>
      </w:r>
    </w:p>
    <w:p w14:paraId="54800C57">
      <w:pPr>
        <w:numPr>
          <w:ilvl w:val="0"/>
          <w:numId w:val="1"/>
        </w:numPr>
        <w:snapToGrid w:val="0"/>
        <w:spacing w:line="52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组织</w:t>
      </w:r>
      <w:r>
        <w:rPr>
          <w:rFonts w:hint="eastAsia" w:ascii="仿宋_GB2312" w:hAnsi="仿宋_GB2312" w:eastAsia="仿宋_GB2312" w:cs="仿宋_GB2312"/>
          <w:b/>
          <w:bCs/>
          <w:sz w:val="32"/>
          <w:szCs w:val="32"/>
        </w:rPr>
        <w:t>机构情况</w:t>
      </w:r>
    </w:p>
    <w:p w14:paraId="3C51B7E4">
      <w:pPr>
        <w:pStyle w:val="9"/>
        <w:spacing w:line="520" w:lineRule="atLeas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2024年，纳入本部门决算汇编范围的独立核算机构共1个，即</w:t>
      </w:r>
      <w:r>
        <w:rPr>
          <w:rFonts w:hint="eastAsia" w:ascii="仿宋_GB2312" w:hAnsi="仿宋_GB2312" w:eastAsia="仿宋_GB2312" w:cs="仿宋_GB2312"/>
          <w:sz w:val="32"/>
          <w:szCs w:val="32"/>
        </w:rPr>
        <w:t>藁城区红十字会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单位性质为</w:t>
      </w:r>
      <w:r>
        <w:rPr>
          <w:rFonts w:hint="eastAsia" w:ascii="仿宋_GB2312" w:hAnsi="仿宋_GB2312" w:eastAsia="仿宋_GB2312" w:cs="仿宋_GB2312"/>
          <w:sz w:val="32"/>
          <w:szCs w:val="32"/>
        </w:rPr>
        <w:t>参公群团单位，内设办公室和捐赠管理股。</w:t>
      </w:r>
    </w:p>
    <w:p w14:paraId="7869E3DD">
      <w:pPr>
        <w:numPr>
          <w:ilvl w:val="0"/>
          <w:numId w:val="1"/>
        </w:numPr>
        <w:snapToGrid w:val="0"/>
        <w:spacing w:line="52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人员情况</w:t>
      </w:r>
    </w:p>
    <w:p w14:paraId="5AA4CD3D">
      <w:pPr>
        <w:pStyle w:val="9"/>
        <w:spacing w:line="520" w:lineRule="atLeas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藁城区红十字会</w:t>
      </w:r>
      <w:r>
        <w:rPr>
          <w:rFonts w:hint="eastAsia" w:ascii="仿宋_GB2312" w:hAnsi="仿宋_GB2312" w:eastAsia="仿宋_GB2312" w:cs="仿宋_GB2312"/>
          <w:kern w:val="0"/>
          <w:sz w:val="32"/>
          <w:szCs w:val="32"/>
          <w:lang w:val="en-US" w:eastAsia="zh-CN" w:bidi="ar-SA"/>
        </w:rPr>
        <w:t>规格为正科级，单位性质为群团，核定行政编制4名，领导职数2名，常务副会长1名（正科级），秘书长1名（副科级），</w:t>
      </w:r>
      <w:r>
        <w:rPr>
          <w:rFonts w:hint="eastAsia" w:ascii="仿宋_GB2312" w:hAnsi="仿宋_GB2312" w:eastAsia="仿宋_GB2312" w:cs="仿宋_GB2312"/>
          <w:sz w:val="32"/>
          <w:szCs w:val="32"/>
          <w:lang w:val="en-US" w:eastAsia="zh-CN"/>
        </w:rPr>
        <w:t>年末</w:t>
      </w:r>
      <w:r>
        <w:rPr>
          <w:rFonts w:hint="eastAsia" w:ascii="仿宋_GB2312" w:hAnsi="仿宋_GB2312" w:eastAsia="仿宋_GB2312" w:cs="仿宋_GB2312"/>
          <w:sz w:val="32"/>
          <w:szCs w:val="32"/>
        </w:rPr>
        <w:t>在职人员</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人，全部财政开支。</w:t>
      </w:r>
    </w:p>
    <w:p w14:paraId="2EE845E6">
      <w:pPr>
        <w:pStyle w:val="10"/>
        <w:spacing w:beforeAutospacing="0" w:after="75" w:afterAutospacing="0" w:line="420" w:lineRule="atLeast"/>
        <w:ind w:firstLine="640" w:firstLineChars="200"/>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4、资产情况</w:t>
      </w:r>
    </w:p>
    <w:p w14:paraId="6E9C9E37">
      <w:pPr>
        <w:pStyle w:val="2"/>
        <w:numPr>
          <w:ilvl w:val="0"/>
          <w:numId w:val="0"/>
        </w:numPr>
        <w:ind w:leftChars="300" w:firstLine="640" w:firstLineChars="2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截至</w:t>
      </w:r>
      <w:bookmarkStart w:id="0" w:name="_GoBack"/>
      <w:bookmarkEnd w:id="0"/>
      <w:r>
        <w:rPr>
          <w:rFonts w:hint="eastAsia" w:ascii="仿宋" w:hAnsi="仿宋" w:eastAsia="仿宋" w:cs="仿宋"/>
          <w:kern w:val="0"/>
          <w:sz w:val="32"/>
          <w:szCs w:val="32"/>
          <w:lang w:val="en-US" w:eastAsia="zh-CN" w:bidi="ar-SA"/>
        </w:rPr>
        <w:t>2024年12月31日，资产总额5.30万元，其中行政单位国有资产5.30万元，占比100%。</w:t>
      </w:r>
    </w:p>
    <w:p w14:paraId="0DD3144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lang w:val="en-US" w:eastAsia="zh-CN"/>
        </w:rPr>
        <w:t>二</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部门收支预决算情况</w:t>
      </w:r>
    </w:p>
    <w:p w14:paraId="12E660F1">
      <w:pPr>
        <w:snapToGrid w:val="0"/>
        <w:spacing w:line="560" w:lineRule="exact"/>
        <w:ind w:firstLine="960" w:firstLineChars="3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1、2024年预算</w:t>
      </w:r>
      <w:r>
        <w:rPr>
          <w:rFonts w:hint="eastAsia" w:ascii="仿宋_GB2312" w:hAnsi="仿宋_GB2312" w:eastAsia="仿宋_GB2312" w:cs="仿宋_GB2312"/>
          <w:sz w:val="32"/>
          <w:szCs w:val="32"/>
        </w:rPr>
        <w:t>收入为</w:t>
      </w:r>
      <w:r>
        <w:rPr>
          <w:rFonts w:hint="eastAsia" w:ascii="仿宋_GB2312" w:hAnsi="仿宋_GB2312" w:eastAsia="仿宋_GB2312" w:cs="仿宋_GB2312"/>
          <w:sz w:val="32"/>
          <w:szCs w:val="32"/>
          <w:lang w:val="en-US" w:eastAsia="zh-CN"/>
        </w:rPr>
        <w:t>127.46</w:t>
      </w:r>
      <w:r>
        <w:rPr>
          <w:rFonts w:hint="eastAsia" w:ascii="仿宋_GB2312" w:hAnsi="仿宋_GB2312" w:eastAsia="仿宋_GB2312" w:cs="仿宋_GB2312"/>
          <w:sz w:val="32"/>
          <w:szCs w:val="32"/>
        </w:rPr>
        <w:t>元，其中：</w:t>
      </w:r>
      <w:r>
        <w:rPr>
          <w:rFonts w:hint="eastAsia" w:ascii="仿宋_GB2312" w:hAnsi="仿宋_GB2312" w:eastAsia="仿宋_GB2312" w:cs="仿宋_GB2312"/>
          <w:sz w:val="32"/>
          <w:szCs w:val="32"/>
          <w:lang w:val="en-US" w:eastAsia="zh-CN"/>
        </w:rPr>
        <w:t>一般公共预算</w:t>
      </w:r>
      <w:r>
        <w:rPr>
          <w:rFonts w:hint="eastAsia" w:ascii="仿宋_GB2312" w:hAnsi="仿宋_GB2312" w:eastAsia="仿宋_GB2312" w:cs="仿宋_GB2312"/>
          <w:sz w:val="32"/>
          <w:szCs w:val="32"/>
        </w:rPr>
        <w:t>收入</w:t>
      </w:r>
      <w:r>
        <w:rPr>
          <w:rFonts w:hint="eastAsia" w:ascii="仿宋_GB2312" w:hAnsi="仿宋_GB2312" w:eastAsia="仿宋_GB2312" w:cs="仿宋_GB2312"/>
          <w:sz w:val="32"/>
          <w:szCs w:val="32"/>
          <w:lang w:val="en-US" w:eastAsia="zh-CN"/>
        </w:rPr>
        <w:t>127.46</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val="en-US" w:eastAsia="zh-CN"/>
        </w:rPr>
        <w:t>基金预算收入0元，</w:t>
      </w:r>
      <w:r>
        <w:rPr>
          <w:rFonts w:hint="eastAsia" w:ascii="仿宋_GB2312" w:hAnsi="仿宋_GB2312" w:eastAsia="仿宋_GB2312" w:cs="仿宋_GB2312"/>
          <w:sz w:val="32"/>
          <w:szCs w:val="32"/>
        </w:rPr>
        <w:t>非财政补助收入0元。</w:t>
      </w:r>
    </w:p>
    <w:p w14:paraId="51C51802">
      <w:pPr>
        <w:snapToGrid w:val="0"/>
        <w:spacing w:line="560" w:lineRule="exact"/>
        <w:ind w:firstLine="960" w:firstLineChars="3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2、2024</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部门决算</w:t>
      </w:r>
      <w:r>
        <w:rPr>
          <w:rFonts w:hint="eastAsia" w:ascii="仿宋_GB2312" w:hAnsi="仿宋_GB2312" w:eastAsia="仿宋_GB2312" w:cs="仿宋_GB2312"/>
          <w:sz w:val="32"/>
          <w:szCs w:val="32"/>
        </w:rPr>
        <w:t>支出为</w:t>
      </w:r>
      <w:r>
        <w:rPr>
          <w:rFonts w:hint="eastAsia" w:ascii="仿宋_GB2312" w:hAnsi="仿宋_GB2312" w:eastAsia="仿宋_GB2312" w:cs="仿宋_GB2312"/>
          <w:sz w:val="32"/>
          <w:szCs w:val="32"/>
          <w:lang w:val="en-US" w:eastAsia="zh-CN"/>
        </w:rPr>
        <w:t>127.46万</w:t>
      </w:r>
      <w:r>
        <w:rPr>
          <w:rFonts w:hint="eastAsia" w:ascii="仿宋_GB2312" w:hAnsi="仿宋_GB2312" w:eastAsia="仿宋_GB2312" w:cs="仿宋_GB2312"/>
          <w:sz w:val="32"/>
          <w:szCs w:val="32"/>
        </w:rPr>
        <w:t>元。其中：行政支出：</w:t>
      </w:r>
      <w:r>
        <w:rPr>
          <w:rFonts w:hint="eastAsia" w:ascii="仿宋_GB2312" w:hAnsi="仿宋_GB2312" w:eastAsia="仿宋_GB2312" w:cs="仿宋_GB2312"/>
          <w:sz w:val="32"/>
          <w:szCs w:val="32"/>
          <w:lang w:val="en-US" w:eastAsia="zh-CN"/>
        </w:rPr>
        <w:t>122.46万</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包括人员经费110.2万元和日常工经费12.26万元；</w:t>
      </w:r>
      <w:r>
        <w:rPr>
          <w:rFonts w:hint="eastAsia" w:ascii="仿宋_GB2312" w:hAnsi="仿宋_GB2312" w:eastAsia="仿宋_GB2312" w:cs="仿宋_GB2312"/>
          <w:sz w:val="32"/>
          <w:szCs w:val="32"/>
        </w:rPr>
        <w:t>项目支出</w:t>
      </w:r>
      <w:r>
        <w:rPr>
          <w:rFonts w:hint="eastAsia" w:ascii="仿宋_GB2312" w:hAnsi="仿宋_GB2312" w:eastAsia="仿宋_GB2312" w:cs="仿宋_GB2312"/>
          <w:sz w:val="32"/>
          <w:szCs w:val="32"/>
          <w:lang w:val="en-US" w:eastAsia="zh-CN"/>
        </w:rPr>
        <w:t>5万</w:t>
      </w:r>
      <w:r>
        <w:rPr>
          <w:rFonts w:hint="eastAsia" w:ascii="仿宋_GB2312" w:hAnsi="仿宋_GB2312" w:eastAsia="仿宋_GB2312" w:cs="仿宋_GB2312"/>
          <w:sz w:val="32"/>
          <w:szCs w:val="32"/>
        </w:rPr>
        <w:t>元。</w:t>
      </w:r>
    </w:p>
    <w:p w14:paraId="5A0CA76A">
      <w:pPr>
        <w:snapToGrid w:val="0"/>
        <w:spacing w:line="560" w:lineRule="exact"/>
        <w:ind w:firstLine="960" w:firstLineChars="3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3、2024年度</w:t>
      </w:r>
      <w:r>
        <w:rPr>
          <w:rFonts w:hint="eastAsia" w:ascii="仿宋_GB2312" w:hAnsi="仿宋_GB2312" w:eastAsia="仿宋_GB2312" w:cs="仿宋_GB2312"/>
          <w:sz w:val="32"/>
          <w:szCs w:val="32"/>
        </w:rPr>
        <w:t>资金结存情况：财政拨款结转结余0元，其中财政拨款结转（项目结转）0元，财政结余0元，非财政拨款收入0元。</w:t>
      </w:r>
    </w:p>
    <w:p w14:paraId="2C07744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（三）部门整体支出绩效目标、指标</w:t>
      </w:r>
    </w:p>
    <w:p w14:paraId="26F91152">
      <w:pPr>
        <w:ind w:firstLine="960" w:firstLineChars="3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Cs/>
          <w:sz w:val="32"/>
          <w:szCs w:val="32"/>
          <w:lang w:val="en-US" w:eastAsia="zh-CN"/>
        </w:rPr>
        <w:t>2024年，以习近平新时代中国特色社会主义思想为统领，以党的二十大精神为指导，紧紧</w:t>
      </w:r>
      <w:r>
        <w:rPr>
          <w:rFonts w:hint="eastAsia" w:ascii="仿宋_GB2312" w:hAnsi="仿宋_GB2312" w:eastAsia="仿宋_GB2312" w:cs="仿宋_GB2312"/>
          <w:bCs/>
          <w:sz w:val="32"/>
          <w:szCs w:val="32"/>
        </w:rPr>
        <w:t>围绕</w:t>
      </w:r>
      <w:r>
        <w:rPr>
          <w:rFonts w:hint="eastAsia" w:ascii="仿宋_GB2312" w:hAnsi="仿宋_GB2312" w:eastAsia="仿宋_GB2312" w:cs="仿宋_GB2312"/>
          <w:bCs/>
          <w:sz w:val="32"/>
          <w:szCs w:val="32"/>
          <w:lang w:val="en-US" w:eastAsia="zh-CN"/>
        </w:rPr>
        <w:t>区委区政府</w:t>
      </w:r>
      <w:r>
        <w:rPr>
          <w:rFonts w:hint="eastAsia" w:ascii="仿宋_GB2312" w:hAnsi="仿宋_GB2312" w:eastAsia="仿宋_GB2312" w:cs="仿宋_GB2312"/>
          <w:bCs/>
          <w:sz w:val="32"/>
          <w:szCs w:val="32"/>
        </w:rPr>
        <w:t>中心</w:t>
      </w:r>
      <w:r>
        <w:rPr>
          <w:rFonts w:hint="eastAsia" w:ascii="仿宋_GB2312" w:hAnsi="仿宋_GB2312" w:eastAsia="仿宋_GB2312" w:cs="仿宋_GB2312"/>
          <w:bCs/>
          <w:sz w:val="32"/>
          <w:szCs w:val="32"/>
          <w:lang w:val="en-US" w:eastAsia="zh-CN"/>
        </w:rPr>
        <w:t>工作</w:t>
      </w:r>
      <w:r>
        <w:rPr>
          <w:rFonts w:hint="eastAsia" w:ascii="仿宋_GB2312" w:hAnsi="仿宋_GB2312" w:eastAsia="仿宋_GB2312" w:cs="仿宋_GB2312"/>
          <w:bCs/>
          <w:sz w:val="32"/>
          <w:szCs w:val="32"/>
        </w:rPr>
        <w:t>、服务大局，依法履行职责，积极发挥党委政府在人道领域的助手和联系群众的桥梁纽带作用</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lang w:val="en-US" w:eastAsia="zh-CN"/>
        </w:rPr>
        <w:t>将有限的财力用到促进我区红十字事业持续、协调、健康发展的关键环节</w:t>
      </w:r>
      <w:r>
        <w:rPr>
          <w:rFonts w:hint="eastAsia" w:ascii="仿宋_GB2312" w:hAnsi="仿宋_GB2312" w:eastAsia="仿宋_GB2312" w:cs="仿宋_GB2312"/>
          <w:bCs/>
          <w:sz w:val="32"/>
          <w:szCs w:val="32"/>
        </w:rPr>
        <w:t>。</w:t>
      </w:r>
      <w:r>
        <w:rPr>
          <w:rFonts w:hint="eastAsia" w:ascii="仿宋_GB2312" w:hAnsi="仿宋_GB2312" w:eastAsia="仿宋_GB2312" w:cs="仿宋_GB2312"/>
          <w:sz w:val="32"/>
          <w:szCs w:val="32"/>
        </w:rPr>
        <w:t>“三救”</w:t>
      </w:r>
      <w:r>
        <w:rPr>
          <w:rFonts w:hint="eastAsia" w:ascii="仿宋_GB2312" w:hAnsi="仿宋_GB2312" w:eastAsia="仿宋_GB2312" w:cs="仿宋_GB2312"/>
          <w:sz w:val="32"/>
          <w:szCs w:val="32"/>
          <w:lang w:val="en-US" w:eastAsia="zh-CN"/>
        </w:rPr>
        <w:t>工作不断提质，为保障和改善民生发挥红十字的独特作用</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一是</w:t>
      </w:r>
      <w:r>
        <w:rPr>
          <w:rFonts w:hint="eastAsia" w:ascii="仿宋_GB2312" w:hAnsi="仿宋_GB2312" w:eastAsia="仿宋_GB2312" w:cs="仿宋_GB2312"/>
          <w:sz w:val="32"/>
          <w:szCs w:val="32"/>
        </w:rPr>
        <w:t>主动融入政府应急救援体系,提升备灾救灾和应急救援能力；</w:t>
      </w:r>
      <w:r>
        <w:rPr>
          <w:rFonts w:hint="eastAsia" w:ascii="仿宋_GB2312" w:hAnsi="仿宋_GB2312" w:eastAsia="仿宋_GB2312" w:cs="仿宋_GB2312"/>
          <w:sz w:val="32"/>
          <w:szCs w:val="32"/>
          <w:lang w:val="en-US" w:eastAsia="zh-CN"/>
        </w:rPr>
        <w:t>二是</w:t>
      </w:r>
      <w:r>
        <w:rPr>
          <w:rFonts w:hint="eastAsia" w:ascii="仿宋_GB2312" w:hAnsi="仿宋_GB2312" w:eastAsia="仿宋_GB2312" w:cs="仿宋_GB2312"/>
          <w:sz w:val="32"/>
          <w:szCs w:val="32"/>
        </w:rPr>
        <w:t>把应急救护</w:t>
      </w:r>
      <w:r>
        <w:rPr>
          <w:rFonts w:hint="eastAsia" w:ascii="仿宋_GB2312" w:hAnsi="仿宋_GB2312" w:eastAsia="仿宋_GB2312" w:cs="仿宋_GB2312"/>
          <w:sz w:val="32"/>
          <w:szCs w:val="32"/>
          <w:lang w:val="en-US" w:eastAsia="zh-CN"/>
        </w:rPr>
        <w:t>宣传</w:t>
      </w:r>
      <w:r>
        <w:rPr>
          <w:rFonts w:hint="eastAsia" w:ascii="仿宋_GB2312" w:hAnsi="仿宋_GB2312" w:eastAsia="仿宋_GB2312" w:cs="仿宋_GB2312"/>
          <w:sz w:val="32"/>
          <w:szCs w:val="32"/>
        </w:rPr>
        <w:t>“五进”作为推进健康行动的重要抓手，不断扩大自救互救知识和技能的社会普及面；</w:t>
      </w:r>
      <w:r>
        <w:rPr>
          <w:rFonts w:hint="eastAsia" w:ascii="仿宋_GB2312" w:hAnsi="仿宋_GB2312" w:eastAsia="仿宋_GB2312" w:cs="仿宋_GB2312"/>
          <w:sz w:val="32"/>
          <w:szCs w:val="32"/>
          <w:lang w:val="en-US" w:eastAsia="zh-CN"/>
        </w:rPr>
        <w:t>三是</w:t>
      </w:r>
      <w:r>
        <w:rPr>
          <w:rFonts w:hint="eastAsia" w:ascii="仿宋_GB2312" w:hAnsi="仿宋_GB2312" w:eastAsia="仿宋_GB2312" w:cs="仿宋_GB2312"/>
          <w:color w:val="000000"/>
          <w:sz w:val="32"/>
          <w:szCs w:val="32"/>
        </w:rPr>
        <w:t>开展</w:t>
      </w:r>
      <w:r>
        <w:rPr>
          <w:rFonts w:hint="eastAsia" w:ascii="仿宋_GB2312" w:hAnsi="仿宋_GB2312" w:eastAsia="仿宋_GB2312" w:cs="仿宋_GB2312"/>
          <w:color w:val="000000"/>
          <w:sz w:val="32"/>
          <w:szCs w:val="32"/>
          <w:lang w:val="en-US" w:eastAsia="zh-CN"/>
        </w:rPr>
        <w:t>人道</w:t>
      </w:r>
      <w:r>
        <w:rPr>
          <w:rFonts w:hint="eastAsia" w:ascii="仿宋_GB2312" w:hAnsi="仿宋_GB2312" w:eastAsia="仿宋_GB2312" w:cs="仿宋_GB2312"/>
          <w:color w:val="000000"/>
          <w:sz w:val="32"/>
          <w:szCs w:val="32"/>
        </w:rPr>
        <w:t>救助活动，积极募捐资金，对因灾致贫、因病致贫及生活极度贫困的家庭实施救助以及用于自然灾害和突发事件的救援。“三献”</w:t>
      </w:r>
      <w:r>
        <w:rPr>
          <w:rFonts w:hint="eastAsia" w:ascii="仿宋_GB2312" w:hAnsi="仿宋_GB2312" w:eastAsia="仿宋_GB2312" w:cs="仿宋_GB2312"/>
          <w:color w:val="000000"/>
          <w:sz w:val="32"/>
          <w:szCs w:val="32"/>
          <w:lang w:val="en-US" w:eastAsia="zh-CN"/>
        </w:rPr>
        <w:t>工作持续推进，充分发挥政府在人道主义领域的助手作用</w:t>
      </w:r>
      <w:r>
        <w:rPr>
          <w:rFonts w:hint="eastAsia" w:ascii="仿宋_GB2312" w:hAnsi="仿宋_GB2312" w:eastAsia="仿宋_GB2312" w:cs="仿宋_GB2312"/>
          <w:color w:val="000000"/>
          <w:sz w:val="32"/>
          <w:szCs w:val="32"/>
        </w:rPr>
        <w:t>：开展群众性的卫生救护培训和造血干细胞捐献宣传工作，参与无偿献血、艾滋病预防、遗体（器官）捐献等科学知识的宣传普及活动。在志愿服务、红十字青少年活动、人道法传播方面：</w:t>
      </w:r>
      <w:r>
        <w:rPr>
          <w:rFonts w:hint="eastAsia" w:ascii="仿宋_GB2312" w:hAnsi="仿宋_GB2312" w:eastAsia="仿宋_GB2312" w:cs="仿宋_GB2312"/>
          <w:color w:val="000000"/>
          <w:sz w:val="32"/>
          <w:szCs w:val="32"/>
          <w:lang w:val="en-US" w:eastAsia="zh-CN"/>
        </w:rPr>
        <w:t>一是</w:t>
      </w:r>
      <w:r>
        <w:rPr>
          <w:rFonts w:hint="eastAsia" w:ascii="仿宋_GB2312" w:hAnsi="仿宋_GB2312" w:eastAsia="仿宋_GB2312" w:cs="仿宋_GB2312"/>
          <w:color w:val="000000"/>
          <w:sz w:val="32"/>
          <w:szCs w:val="32"/>
        </w:rPr>
        <w:t>大力发展红十字志愿者，做好红十字志愿者登记造册工作，组织不同专业、不同领域的红十字志愿者服务队伍，开展富有特色的志愿服务活动</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二是加强人道传播，积极拓宽宣传渠道，广泛传播红十字会精神，举办红十字纪念日宣传活动，通过融媒体、宣传册等途径进一步扩大红十字会法传播范围，营造有利于红十字事业发展的舆论环境，扩大红十字会的影响力。</w:t>
      </w:r>
    </w:p>
    <w:p w14:paraId="076E214A">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w:t>
      </w:r>
      <w:r>
        <w:rPr>
          <w:rFonts w:hint="eastAsia" w:ascii="仿宋_GB2312" w:hAnsi="仿宋_GB2312" w:eastAsia="仿宋_GB2312" w:cs="仿宋_GB2312"/>
          <w:sz w:val="32"/>
          <w:szCs w:val="32"/>
          <w:lang w:eastAsia="zh-CN"/>
        </w:rPr>
        <w:t>自评工作开展</w:t>
      </w:r>
      <w:r>
        <w:rPr>
          <w:rFonts w:hint="eastAsia" w:ascii="仿宋_GB2312" w:hAnsi="仿宋_GB2312" w:eastAsia="仿宋_GB2312" w:cs="仿宋_GB2312"/>
          <w:sz w:val="32"/>
          <w:szCs w:val="32"/>
        </w:rPr>
        <w:t>情况</w:t>
      </w:r>
    </w:p>
    <w:p w14:paraId="23D46583">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自评的组织工作</w:t>
      </w:r>
    </w:p>
    <w:p w14:paraId="18FE8049">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960" w:firstLineChars="3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为深入贯彻落实中共中央、国务院《关于全面实施预算绩效管理的意见》文件精神,强化预算支出责任，提高财政资金支出绩效，我会严格对照预算文本中制定的部门整体绩效目标，提早部署、分解任务、压实责任、严肃考评。按照《藁城区财政局关于开展2024年绩效自评工作的通知》要求，我会高度重视绩效自评工作，成立了绩效评估工作小组，</w:t>
      </w:r>
      <w:r>
        <w:rPr>
          <w:rFonts w:hint="eastAsia" w:ascii="仿宋_GB2312" w:hAnsi="仿宋_GB2312" w:eastAsia="仿宋_GB2312" w:cs="仿宋_GB2312"/>
          <w:sz w:val="32"/>
          <w:szCs w:val="32"/>
        </w:rPr>
        <w:t>单位主要负责人，分管财务负责人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主抓业务工作人员</w:t>
      </w:r>
      <w:r>
        <w:rPr>
          <w:rFonts w:hint="eastAsia" w:ascii="仿宋_GB2312" w:hAnsi="仿宋_GB2312" w:eastAsia="仿宋_GB2312" w:cs="仿宋_GB2312"/>
          <w:sz w:val="32"/>
          <w:szCs w:val="32"/>
        </w:rPr>
        <w:t>及财务人员组成自评小组，对202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年度红十字应急救护</w:t>
      </w:r>
      <w:r>
        <w:rPr>
          <w:rFonts w:hint="eastAsia" w:ascii="仿宋_GB2312" w:hAnsi="仿宋_GB2312" w:eastAsia="仿宋_GB2312" w:cs="仿宋_GB2312"/>
          <w:sz w:val="32"/>
          <w:szCs w:val="32"/>
          <w:lang w:val="en-US" w:eastAsia="zh-CN"/>
        </w:rPr>
        <w:t>取证费</w:t>
      </w:r>
      <w:r>
        <w:rPr>
          <w:rFonts w:hint="eastAsia" w:ascii="仿宋_GB2312" w:hAnsi="仿宋_GB2312" w:eastAsia="仿宋_GB2312" w:cs="仿宋_GB2312"/>
          <w:sz w:val="32"/>
          <w:szCs w:val="32"/>
        </w:rPr>
        <w:t>项目财政支出的经济性、效率性及效益性进行重点评价，并针对评价内容做出分析及合理化建议。</w:t>
      </w:r>
    </w:p>
    <w:p w14:paraId="3A7F4DEA">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自评的方法和过程</w:t>
      </w:r>
    </w:p>
    <w:p w14:paraId="2CB182CE">
      <w:pPr>
        <w:adjustRightInd w:val="0"/>
        <w:snapToGrid w:val="0"/>
        <w:spacing w:line="620" w:lineRule="exact"/>
        <w:ind w:firstLine="960" w:firstLineChars="3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一是绩效自评小组成员首先学习领会通知精神，掌握项目评价标准、评价方法</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二是通过对收集、整理项目实施材料，财务提交的真实、准确各种报表，由项目负责人介绍项目预期绩效目标及具体实施取得的实际效果。三是评价小组成员集中检查、核实情况对应评审。</w:t>
      </w:r>
      <w:r>
        <w:rPr>
          <w:rFonts w:hint="eastAsia" w:ascii="仿宋_GB2312" w:hAnsi="仿宋_GB2312" w:eastAsia="仿宋_GB2312" w:cs="仿宋_GB2312"/>
          <w:sz w:val="32"/>
          <w:szCs w:val="32"/>
        </w:rPr>
        <w:t>在开展预算自评工作时，针对区红十字会的工作实际，</w:t>
      </w:r>
      <w:r>
        <w:rPr>
          <w:rFonts w:hint="eastAsia" w:ascii="仿宋_GB2312" w:hAnsi="仿宋_GB2312" w:eastAsia="仿宋_GB2312" w:cs="仿宋_GB2312"/>
          <w:sz w:val="32"/>
          <w:szCs w:val="32"/>
          <w:lang w:val="en-US" w:eastAsia="zh-CN"/>
        </w:rPr>
        <w:t>设计</w:t>
      </w:r>
      <w:r>
        <w:rPr>
          <w:rFonts w:hint="eastAsia" w:ascii="仿宋_GB2312" w:hAnsi="仿宋_GB2312" w:eastAsia="仿宋_GB2312" w:cs="仿宋_GB2312"/>
          <w:sz w:val="32"/>
          <w:szCs w:val="32"/>
        </w:rPr>
        <w:t>能够体现项目特点绩效评价指标体系。绩效指标权重根据本项目实际情况确定，总分设定为100分。产出指标为40分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数量、质量、时效、成本</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；预算执行率指标10分，包括预算资金使用到位100% 10分；效益指标40分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经济效益、社会效益、生态效益、可持续影响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；满意度指标10分，包括群众满意数量占总数的比例10分。</w:t>
      </w:r>
    </w:p>
    <w:p w14:paraId="1E1B1AD9">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三、部门整体支出绩效目标实现情况及指标分析</w:t>
      </w:r>
    </w:p>
    <w:p w14:paraId="3786678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（一）</w:t>
      </w:r>
      <w:r>
        <w:rPr>
          <w:rFonts w:hint="eastAsia" w:ascii="仿宋_GB2312" w:hAnsi="仿宋_GB2312" w:eastAsia="仿宋_GB2312" w:cs="仿宋_GB2312"/>
          <w:bCs/>
          <w:sz w:val="32"/>
          <w:szCs w:val="32"/>
        </w:rPr>
        <w:t>总体绩效目标实现情况</w:t>
      </w:r>
    </w:p>
    <w:p w14:paraId="2C45430B">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2024年，藁城区红十字会在区委区政府的正确领导下，围绕区委区政府中心工作，</w:t>
      </w:r>
      <w:r>
        <w:rPr>
          <w:rFonts w:hint="eastAsia" w:ascii="仿宋_GB2312" w:hAnsi="仿宋_GB2312" w:eastAsia="仿宋_GB2312" w:cs="仿宋_GB2312"/>
          <w:kern w:val="0"/>
          <w:sz w:val="32"/>
          <w:szCs w:val="32"/>
          <w:lang w:val="en-US" w:eastAsia="zh-CN"/>
        </w:rPr>
        <w:t>大力弘扬</w:t>
      </w:r>
      <w:r>
        <w:rPr>
          <w:rFonts w:hint="eastAsia" w:ascii="仿宋_GB2312" w:hAnsi="仿宋_GB2312" w:eastAsia="仿宋_GB2312" w:cs="仿宋_GB2312"/>
          <w:sz w:val="32"/>
          <w:szCs w:val="32"/>
          <w:lang w:val="en-US" w:eastAsia="zh-CN"/>
        </w:rPr>
        <w:t>“人道、博爱、奉献”的红十字精神，以当好党和政府在人道领域联系群众的桥梁和纽带为出发点和落脚点，扎实开展“三救三献”主要业务工作，全力以赴完成上级红会和区委政府交予的重点工作，推动全区红十字事业健康发展。</w:t>
      </w:r>
    </w:p>
    <w:p w14:paraId="36F1E4DA">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（二）分项绩效目标实现情况及指标分析</w:t>
      </w:r>
    </w:p>
    <w:p w14:paraId="524DC98B">
      <w:pPr>
        <w:bidi w:val="0"/>
        <w:ind w:firstLine="1280" w:firstLineChars="4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我会按照年度考核和绩效目标管理的通知要求，注重痕迹印证，强化跟踪问效，狠抓目标管理，力促核心业务高质量发展，有效推动核心业务提质提效，各项任务目标均圆满完成。</w:t>
      </w:r>
    </w:p>
    <w:p w14:paraId="5775F899">
      <w:pPr>
        <w:bidi w:val="0"/>
        <w:ind w:firstLine="960" w:firstLineChars="3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人道救助水平不断提升。24年我会“博爱一日捐”共筹集捐款51.4万元；“5·8人道公益日”助学项目线上筹资9220.81元，线下定向助学筹资1.4万元；组织开展“博爱送万家”活动，筹资8.74万元购买物资慰问困难群众家庭562户；人道救助活动中，共救助困境职工53人，困难群众25人，发放救助金18.2万元；助学活动中，救助困难中小学生35人，家庭困难应届大专院校学生74人，发放助学金共计10.9万元；“天使圆梦”助学活动为7名困难家庭中应届女大学发放助学金0.7万元；定向救助梅花镇和贾市庄镇困难学生8人，共1.4万元。二是应急救护能力显著提升。应急救护万人12人的取证率是“健康石家庄”重要考核指标，在年初申请培训经费不能到位的情况下，区红十字会全体干部克服种种困难，坚决完成了取证培训任务，为卫与院前救护关系紧密的单位工作人员提供了应急救护有偿取证培训7期，合格取证人员782人；组织开展应急救护知识“四进”宣传活动6场，共惠及约1600人。三是无偿献血志愿服务质量显著提升。区红十字会积极配合由区卫健局牵头实施开展的无偿献血志愿服务工作，并邀请省专业人员开展了无偿献血志愿服务专项培训。在今年集中活动期间，志愿者为232名无偿献血爱心人士提供全程志愿服务。四是高效开展红十字知识科普工作。我会利用世界红十字日、世界急救日、世界艾滋病日等宣传日，组织区红十字志愿者利用基层红十字组织平台开展义诊健康咨询、公益讲座、实操训练等活动，普及红十字知识，共开展各类宣传义诊活动25次，共惠及群众2000余人，使广大居民认识红十字、理解红十字、支持红十字、热爱红十字，扩大了红十字会的影响力，提高了广大公众对红十字工作认知度。</w:t>
      </w:r>
    </w:p>
    <w:tbl>
      <w:tblPr>
        <w:tblStyle w:val="5"/>
        <w:tblpPr w:leftFromText="180" w:rightFromText="180" w:vertAnchor="text" w:horzAnchor="page" w:tblpX="1635" w:tblpY="855"/>
        <w:tblOverlap w:val="never"/>
        <w:tblW w:w="93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65"/>
        <w:gridCol w:w="1395"/>
        <w:gridCol w:w="1335"/>
        <w:gridCol w:w="1560"/>
        <w:gridCol w:w="1485"/>
        <w:gridCol w:w="900"/>
      </w:tblGrid>
      <w:tr w14:paraId="5205ED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tcPr>
          <w:p w14:paraId="053C2220">
            <w:pPr>
              <w:snapToGrid w:val="0"/>
              <w:spacing w:line="360" w:lineRule="auto"/>
              <w:ind w:firstLine="630" w:firstLineChars="300"/>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eastAsia="zh-CN"/>
              </w:rPr>
              <w:t>项目名称</w:t>
            </w:r>
          </w:p>
        </w:tc>
        <w:tc>
          <w:tcPr>
            <w:tcW w:w="1395" w:type="dxa"/>
          </w:tcPr>
          <w:p w14:paraId="1DDFF9FF">
            <w:pPr>
              <w:snapToGrid w:val="0"/>
              <w:spacing w:line="360" w:lineRule="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eastAsia="zh-CN"/>
              </w:rPr>
              <w:t>产出</w:t>
            </w:r>
            <w:r>
              <w:rPr>
                <w:rFonts w:hint="eastAsia" w:ascii="仿宋_GB2312" w:hAnsi="仿宋_GB2312" w:eastAsia="仿宋_GB2312" w:cs="仿宋_GB2312"/>
                <w:sz w:val="21"/>
                <w:szCs w:val="21"/>
                <w:highlight w:val="none"/>
              </w:rPr>
              <w:t>指标</w:t>
            </w:r>
            <w:r>
              <w:rPr>
                <w:rFonts w:hint="eastAsia" w:ascii="仿宋_GB2312" w:hAnsi="仿宋_GB2312" w:eastAsia="仿宋_GB2312" w:cs="仿宋_GB2312"/>
                <w:sz w:val="21"/>
                <w:szCs w:val="21"/>
                <w:highlight w:val="none"/>
                <w:lang w:eastAsia="zh-CN"/>
              </w:rPr>
              <w:t>完成得分情况</w:t>
            </w:r>
          </w:p>
        </w:tc>
        <w:tc>
          <w:tcPr>
            <w:tcW w:w="1335" w:type="dxa"/>
          </w:tcPr>
          <w:p w14:paraId="5E7657BD">
            <w:pPr>
              <w:snapToGrid w:val="0"/>
              <w:spacing w:line="360" w:lineRule="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eastAsia="zh-CN"/>
              </w:rPr>
              <w:t>预算执行率指标完成得分情况</w:t>
            </w:r>
          </w:p>
        </w:tc>
        <w:tc>
          <w:tcPr>
            <w:tcW w:w="1560" w:type="dxa"/>
          </w:tcPr>
          <w:p w14:paraId="7F0F2B42">
            <w:pPr>
              <w:snapToGrid w:val="0"/>
              <w:spacing w:line="360" w:lineRule="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lang w:eastAsia="zh-CN"/>
              </w:rPr>
              <w:t>效益指标完成得分情况</w:t>
            </w:r>
          </w:p>
        </w:tc>
        <w:tc>
          <w:tcPr>
            <w:tcW w:w="1485" w:type="dxa"/>
          </w:tcPr>
          <w:p w14:paraId="1B916FB1">
            <w:pPr>
              <w:snapToGrid w:val="0"/>
              <w:spacing w:line="360" w:lineRule="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eastAsia="zh-CN"/>
              </w:rPr>
              <w:t>满意度指标完成得分情况</w:t>
            </w:r>
          </w:p>
        </w:tc>
        <w:tc>
          <w:tcPr>
            <w:tcW w:w="900" w:type="dxa"/>
          </w:tcPr>
          <w:p w14:paraId="01686F6A">
            <w:pPr>
              <w:snapToGrid w:val="0"/>
              <w:spacing w:line="360" w:lineRule="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eastAsia="zh-CN"/>
              </w:rPr>
              <w:t>自评得分</w:t>
            </w:r>
          </w:p>
        </w:tc>
      </w:tr>
      <w:tr w14:paraId="699C4A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14:paraId="6BA8C34D">
            <w:pPr>
              <w:snapToGrid w:val="0"/>
              <w:spacing w:line="360" w:lineRule="auto"/>
              <w:jc w:val="center"/>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lang w:val="en-US" w:eastAsia="zh-CN"/>
              </w:rPr>
              <w:t>红十字应急救护取证经费</w:t>
            </w:r>
          </w:p>
        </w:tc>
        <w:tc>
          <w:tcPr>
            <w:tcW w:w="1395" w:type="dxa"/>
            <w:vAlign w:val="center"/>
          </w:tcPr>
          <w:p w14:paraId="45AB1D80">
            <w:pPr>
              <w:snapToGrid w:val="0"/>
              <w:spacing w:line="360" w:lineRule="auto"/>
              <w:jc w:val="center"/>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40</w:t>
            </w:r>
          </w:p>
        </w:tc>
        <w:tc>
          <w:tcPr>
            <w:tcW w:w="1335" w:type="dxa"/>
            <w:vAlign w:val="center"/>
          </w:tcPr>
          <w:p w14:paraId="6D4C1380">
            <w:pPr>
              <w:snapToGrid w:val="0"/>
              <w:spacing w:line="360" w:lineRule="auto"/>
              <w:jc w:val="center"/>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10</w:t>
            </w:r>
          </w:p>
        </w:tc>
        <w:tc>
          <w:tcPr>
            <w:tcW w:w="1560" w:type="dxa"/>
            <w:vAlign w:val="center"/>
          </w:tcPr>
          <w:p w14:paraId="07C16A11">
            <w:pPr>
              <w:snapToGrid w:val="0"/>
              <w:spacing w:line="360" w:lineRule="auto"/>
              <w:jc w:val="center"/>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38</w:t>
            </w:r>
          </w:p>
        </w:tc>
        <w:tc>
          <w:tcPr>
            <w:tcW w:w="1485" w:type="dxa"/>
            <w:vAlign w:val="center"/>
          </w:tcPr>
          <w:p w14:paraId="41D315B9">
            <w:pPr>
              <w:snapToGrid w:val="0"/>
              <w:spacing w:line="360" w:lineRule="auto"/>
              <w:jc w:val="center"/>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10</w:t>
            </w:r>
          </w:p>
        </w:tc>
        <w:tc>
          <w:tcPr>
            <w:tcW w:w="900" w:type="dxa"/>
            <w:vAlign w:val="center"/>
          </w:tcPr>
          <w:p w14:paraId="75526C16">
            <w:pPr>
              <w:snapToGrid w:val="0"/>
              <w:spacing w:line="360" w:lineRule="auto"/>
              <w:jc w:val="center"/>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98</w:t>
            </w:r>
          </w:p>
        </w:tc>
      </w:tr>
    </w:tbl>
    <w:p w14:paraId="2993998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250" w:right="0" w:rightChars="0"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四、评价结论和评价等级</w:t>
      </w:r>
    </w:p>
    <w:p w14:paraId="41AD784D">
      <w:pPr>
        <w:widowControl w:val="0"/>
        <w:wordWrap/>
        <w:adjustRightInd w:val="0"/>
        <w:snapToGrid w:val="0"/>
        <w:spacing w:line="560" w:lineRule="exact"/>
        <w:ind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根据</w:t>
      </w:r>
      <w:r>
        <w:rPr>
          <w:rFonts w:hint="eastAsia" w:ascii="仿宋_GB2312" w:hAnsi="仿宋_GB2312" w:eastAsia="仿宋_GB2312" w:cs="仿宋_GB2312"/>
          <w:sz w:val="32"/>
          <w:szCs w:val="32"/>
          <w:lang w:eastAsia="zh-CN"/>
        </w:rPr>
        <w:t>部门职责定位和各项工作履职情况进行综合评价</w:t>
      </w:r>
      <w:r>
        <w:rPr>
          <w:rFonts w:hint="eastAsia" w:ascii="仿宋_GB2312" w:hAnsi="仿宋_GB2312" w:eastAsia="仿宋_GB2312" w:cs="仿宋_GB2312"/>
          <w:sz w:val="32"/>
          <w:szCs w:val="32"/>
        </w:rPr>
        <w:t>，给出总得分</w:t>
      </w:r>
      <w:r>
        <w:rPr>
          <w:rFonts w:hint="eastAsia" w:ascii="仿宋_GB2312" w:hAnsi="仿宋_GB2312" w:eastAsia="仿宋_GB2312" w:cs="仿宋_GB2312"/>
          <w:sz w:val="32"/>
          <w:szCs w:val="32"/>
          <w:lang w:eastAsia="zh-CN"/>
        </w:rPr>
        <w:t>，并</w:t>
      </w:r>
      <w:r>
        <w:rPr>
          <w:rFonts w:hint="eastAsia" w:ascii="仿宋_GB2312" w:hAnsi="仿宋_GB2312" w:eastAsia="仿宋_GB2312" w:cs="仿宋_GB2312"/>
          <w:sz w:val="32"/>
          <w:szCs w:val="32"/>
        </w:rPr>
        <w:t>得出综合绩效评价等级。</w:t>
      </w:r>
      <w:r>
        <w:rPr>
          <w:rFonts w:hint="eastAsia" w:ascii="仿宋_GB2312" w:hAnsi="仿宋_GB2312" w:eastAsia="仿宋_GB2312" w:cs="仿宋_GB2312"/>
          <w:sz w:val="32"/>
          <w:szCs w:val="32"/>
          <w:lang w:eastAsia="zh-CN"/>
        </w:rPr>
        <w:t>我部门整体支出</w:t>
      </w:r>
      <w:r>
        <w:rPr>
          <w:rFonts w:hint="eastAsia" w:ascii="仿宋_GB2312" w:hAnsi="仿宋_GB2312" w:eastAsia="仿宋_GB2312" w:cs="仿宋_GB2312"/>
          <w:sz w:val="32"/>
          <w:szCs w:val="32"/>
        </w:rPr>
        <w:t>综合绩效评价</w:t>
      </w:r>
      <w:r>
        <w:rPr>
          <w:rFonts w:hint="eastAsia" w:ascii="仿宋_GB2312" w:hAnsi="仿宋_GB2312" w:eastAsia="仿宋_GB2312" w:cs="仿宋_GB2312"/>
          <w:sz w:val="32"/>
          <w:szCs w:val="32"/>
          <w:lang w:eastAsia="zh-CN"/>
        </w:rPr>
        <w:t>平均得分</w:t>
      </w:r>
      <w:r>
        <w:rPr>
          <w:rFonts w:hint="eastAsia" w:ascii="仿宋_GB2312" w:hAnsi="仿宋_GB2312" w:eastAsia="仿宋_GB2312" w:cs="仿宋_GB2312"/>
          <w:sz w:val="32"/>
          <w:szCs w:val="32"/>
          <w:lang w:val="en-US" w:eastAsia="zh-CN"/>
        </w:rPr>
        <w:t>98分，</w:t>
      </w:r>
      <w:r>
        <w:rPr>
          <w:rFonts w:hint="eastAsia" w:ascii="仿宋_GB2312" w:hAnsi="仿宋_GB2312" w:eastAsia="仿宋_GB2312" w:cs="仿宋_GB2312"/>
          <w:sz w:val="32"/>
          <w:szCs w:val="32"/>
        </w:rPr>
        <w:t>绩效评价等级</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lang w:val="en-US" w:eastAsia="zh-CN"/>
        </w:rPr>
        <w:t>优秀。</w:t>
      </w:r>
    </w:p>
    <w:p w14:paraId="1815F6D7">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五、</w:t>
      </w:r>
      <w:r>
        <w:rPr>
          <w:rFonts w:hint="eastAsia" w:ascii="仿宋_GB2312" w:hAnsi="仿宋_GB2312" w:eastAsia="仿宋_GB2312" w:cs="仿宋_GB2312"/>
          <w:sz w:val="32"/>
          <w:szCs w:val="32"/>
        </w:rPr>
        <w:t>存在的问题及改进措施</w:t>
      </w:r>
    </w:p>
    <w:p w14:paraId="164DE846">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（一）存在的主要问题</w:t>
      </w:r>
    </w:p>
    <w:p w14:paraId="5F71A00A">
      <w:pPr>
        <w:pStyle w:val="2"/>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Cs/>
          <w:sz w:val="32"/>
          <w:szCs w:val="32"/>
          <w:lang w:val="en-US" w:eastAsia="zh-CN"/>
        </w:rPr>
        <w:t xml:space="preserve">  </w:t>
      </w:r>
      <w:r>
        <w:rPr>
          <w:rFonts w:hint="eastAsia" w:ascii="仿宋_GB2312" w:hAnsi="仿宋_GB2312" w:eastAsia="仿宋_GB2312" w:cs="仿宋_GB2312"/>
          <w:sz w:val="32"/>
          <w:szCs w:val="32"/>
          <w:lang w:val="en-US" w:eastAsia="zh-CN"/>
        </w:rPr>
        <w:t>我部门2024年度绩效目标全部按时完成，在绩效评价工作过程中，我部门预算绩效管理评价工作小组发现，项目存在绩效指标设定比较简单、不够全面、不够细化的问题。</w:t>
      </w:r>
    </w:p>
    <w:p w14:paraId="22A5899B">
      <w:pPr>
        <w:numPr>
          <w:ilvl w:val="0"/>
          <w:numId w:val="5"/>
        </w:num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针对问题提出具体的改进措施或建议</w:t>
      </w:r>
    </w:p>
    <w:p w14:paraId="276A243B">
      <w:pPr>
        <w:numPr>
          <w:ilvl w:val="0"/>
          <w:numId w:val="0"/>
        </w:num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1、加强项目绩效认识。提高机关及分管人员对绩效管理及预算资金使用效益的认识，把预算资金是否发挥使用效益与各岗位是否履职尽责相结合。</w:t>
      </w:r>
    </w:p>
    <w:p w14:paraId="3426EE2B">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2、加强预算绩效管理。进一步加强机关预算资金管理，减少预算资金使用的随意性，对预算的事前、事中、事后进行全过程控制，加大对预算编制与执行的监督管理力度，提高预算资金使用效率。</w:t>
      </w:r>
    </w:p>
    <w:p w14:paraId="3751FA6C">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3、加强项目实施监控。加强对项目实施进度的实时监控， 对项目实施过程中进度异常、实施范围调整等情况及时按照流程报批。</w:t>
      </w:r>
    </w:p>
    <w:p w14:paraId="2ED092B1">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六、评价工作组人员名单及签字</w:t>
      </w:r>
    </w:p>
    <w:p w14:paraId="556C5CD3">
      <w:pPr>
        <w:pStyle w:val="2"/>
        <w:rPr>
          <w:rFonts w:hint="eastAsia"/>
          <w:lang w:val="en-US" w:eastAsia="zh-CN"/>
        </w:rPr>
      </w:pPr>
    </w:p>
    <w:tbl>
      <w:tblPr>
        <w:tblStyle w:val="5"/>
        <w:tblpPr w:leftFromText="180" w:rightFromText="180" w:vertAnchor="text" w:horzAnchor="page" w:tblpX="2005" w:tblpY="295"/>
        <w:tblOverlap w:val="never"/>
        <w:tblW w:w="9056" w:type="dxa"/>
        <w:tblInd w:w="0" w:type="dxa"/>
        <w:tblLayout w:type="fixed"/>
        <w:tblCellMar>
          <w:top w:w="0" w:type="dxa"/>
          <w:left w:w="108" w:type="dxa"/>
          <w:bottom w:w="0" w:type="dxa"/>
          <w:right w:w="108" w:type="dxa"/>
        </w:tblCellMar>
      </w:tblPr>
      <w:tblGrid>
        <w:gridCol w:w="832"/>
        <w:gridCol w:w="1395"/>
        <w:gridCol w:w="2220"/>
        <w:gridCol w:w="2797"/>
        <w:gridCol w:w="1812"/>
      </w:tblGrid>
      <w:tr w14:paraId="59DE626D">
        <w:tblPrEx>
          <w:tblCellMar>
            <w:top w:w="0" w:type="dxa"/>
            <w:left w:w="108" w:type="dxa"/>
            <w:bottom w:w="0" w:type="dxa"/>
            <w:right w:w="108" w:type="dxa"/>
          </w:tblCellMar>
        </w:tblPrEx>
        <w:trPr>
          <w:trHeight w:val="748" w:hRule="atLeast"/>
        </w:trPr>
        <w:tc>
          <w:tcPr>
            <w:tcW w:w="832" w:type="dxa"/>
            <w:tcBorders>
              <w:top w:val="single" w:color="000000" w:sz="4" w:space="0"/>
              <w:left w:val="single" w:color="000000" w:sz="4" w:space="0"/>
              <w:bottom w:val="single" w:color="000000" w:sz="4" w:space="0"/>
              <w:right w:val="single" w:color="000000" w:sz="4" w:space="0"/>
            </w:tcBorders>
            <w:vAlign w:val="center"/>
          </w:tcPr>
          <w:p w14:paraId="233E33B2">
            <w:pPr>
              <w:widowControl/>
              <w:snapToGrid w:val="0"/>
              <w:spacing w:line="360" w:lineRule="auto"/>
              <w:jc w:val="center"/>
              <w:rPr>
                <w:rFonts w:hint="eastAsia" w:ascii="仿宋_GB2312" w:hAnsi="仿宋_GB2312" w:eastAsia="仿宋_GB2312" w:cs="仿宋_GB2312"/>
                <w:b/>
                <w:bCs/>
                <w:kern w:val="0"/>
                <w:sz w:val="30"/>
                <w:szCs w:val="30"/>
              </w:rPr>
            </w:pPr>
            <w:r>
              <w:rPr>
                <w:rFonts w:hint="eastAsia" w:ascii="仿宋_GB2312" w:hAnsi="仿宋_GB2312" w:eastAsia="仿宋_GB2312" w:cs="仿宋_GB2312"/>
                <w:b/>
                <w:bCs/>
                <w:kern w:val="0"/>
                <w:sz w:val="30"/>
                <w:szCs w:val="30"/>
              </w:rPr>
              <w:t>序号</w:t>
            </w:r>
          </w:p>
        </w:tc>
        <w:tc>
          <w:tcPr>
            <w:tcW w:w="1395" w:type="dxa"/>
            <w:tcBorders>
              <w:top w:val="single" w:color="000000" w:sz="4" w:space="0"/>
              <w:left w:val="nil"/>
              <w:bottom w:val="single" w:color="000000" w:sz="4" w:space="0"/>
              <w:right w:val="single" w:color="000000" w:sz="4" w:space="0"/>
            </w:tcBorders>
            <w:vAlign w:val="center"/>
          </w:tcPr>
          <w:p w14:paraId="145D77E5">
            <w:pPr>
              <w:widowControl/>
              <w:snapToGrid w:val="0"/>
              <w:spacing w:line="360" w:lineRule="auto"/>
              <w:jc w:val="center"/>
              <w:rPr>
                <w:rFonts w:hint="eastAsia" w:ascii="仿宋_GB2312" w:hAnsi="仿宋_GB2312" w:eastAsia="仿宋_GB2312" w:cs="仿宋_GB2312"/>
                <w:b/>
                <w:bCs/>
                <w:kern w:val="0"/>
                <w:sz w:val="30"/>
                <w:szCs w:val="30"/>
              </w:rPr>
            </w:pPr>
            <w:r>
              <w:rPr>
                <w:rFonts w:hint="eastAsia" w:ascii="仿宋_GB2312" w:hAnsi="仿宋_GB2312" w:eastAsia="仿宋_GB2312" w:cs="仿宋_GB2312"/>
                <w:b/>
                <w:bCs/>
                <w:kern w:val="0"/>
                <w:sz w:val="30"/>
                <w:szCs w:val="30"/>
              </w:rPr>
              <w:t>姓名</w:t>
            </w:r>
          </w:p>
        </w:tc>
        <w:tc>
          <w:tcPr>
            <w:tcW w:w="2220" w:type="dxa"/>
            <w:tcBorders>
              <w:top w:val="single" w:color="000000" w:sz="4" w:space="0"/>
              <w:left w:val="nil"/>
              <w:bottom w:val="single" w:color="000000" w:sz="4" w:space="0"/>
              <w:right w:val="single" w:color="000000" w:sz="4" w:space="0"/>
            </w:tcBorders>
            <w:vAlign w:val="center"/>
          </w:tcPr>
          <w:p w14:paraId="56CD25AE">
            <w:pPr>
              <w:widowControl/>
              <w:snapToGrid w:val="0"/>
              <w:spacing w:line="360" w:lineRule="auto"/>
              <w:jc w:val="center"/>
              <w:rPr>
                <w:rFonts w:hint="eastAsia" w:ascii="仿宋_GB2312" w:hAnsi="仿宋_GB2312" w:eastAsia="仿宋_GB2312" w:cs="仿宋_GB2312"/>
                <w:b/>
                <w:bCs/>
                <w:kern w:val="0"/>
                <w:sz w:val="30"/>
                <w:szCs w:val="30"/>
              </w:rPr>
            </w:pPr>
            <w:r>
              <w:rPr>
                <w:rFonts w:hint="eastAsia" w:ascii="仿宋_GB2312" w:hAnsi="仿宋_GB2312" w:eastAsia="仿宋_GB2312" w:cs="仿宋_GB2312"/>
                <w:b/>
                <w:bCs/>
                <w:kern w:val="0"/>
                <w:sz w:val="30"/>
                <w:szCs w:val="30"/>
              </w:rPr>
              <w:t>工作单位</w:t>
            </w:r>
          </w:p>
        </w:tc>
        <w:tc>
          <w:tcPr>
            <w:tcW w:w="2797" w:type="dxa"/>
            <w:tcBorders>
              <w:top w:val="single" w:color="000000" w:sz="4" w:space="0"/>
              <w:left w:val="nil"/>
              <w:bottom w:val="single" w:color="000000" w:sz="4" w:space="0"/>
              <w:right w:val="single" w:color="000000" w:sz="4" w:space="0"/>
            </w:tcBorders>
            <w:vAlign w:val="center"/>
          </w:tcPr>
          <w:p w14:paraId="4B9484EF">
            <w:pPr>
              <w:widowControl/>
              <w:snapToGrid w:val="0"/>
              <w:spacing w:line="360" w:lineRule="auto"/>
              <w:jc w:val="center"/>
              <w:rPr>
                <w:rFonts w:hint="eastAsia" w:ascii="仿宋_GB2312" w:hAnsi="仿宋_GB2312" w:eastAsia="仿宋_GB2312" w:cs="仿宋_GB2312"/>
                <w:b/>
                <w:bCs/>
                <w:kern w:val="0"/>
                <w:sz w:val="30"/>
                <w:szCs w:val="30"/>
              </w:rPr>
            </w:pPr>
            <w:r>
              <w:rPr>
                <w:rFonts w:hint="eastAsia" w:ascii="仿宋_GB2312" w:hAnsi="仿宋_GB2312" w:eastAsia="仿宋_GB2312" w:cs="仿宋_GB2312"/>
                <w:b/>
                <w:bCs/>
                <w:kern w:val="0"/>
                <w:sz w:val="30"/>
                <w:szCs w:val="30"/>
              </w:rPr>
              <w:t>职务</w:t>
            </w:r>
          </w:p>
        </w:tc>
        <w:tc>
          <w:tcPr>
            <w:tcW w:w="1812" w:type="dxa"/>
            <w:tcBorders>
              <w:top w:val="single" w:color="000000" w:sz="4" w:space="0"/>
              <w:left w:val="nil"/>
              <w:bottom w:val="single" w:color="000000" w:sz="4" w:space="0"/>
              <w:right w:val="single" w:color="000000" w:sz="4" w:space="0"/>
            </w:tcBorders>
            <w:vAlign w:val="center"/>
          </w:tcPr>
          <w:p w14:paraId="7DB9F151">
            <w:pPr>
              <w:widowControl/>
              <w:snapToGrid w:val="0"/>
              <w:spacing w:line="360" w:lineRule="auto"/>
              <w:jc w:val="center"/>
              <w:rPr>
                <w:rFonts w:hint="eastAsia" w:ascii="仿宋_GB2312" w:hAnsi="仿宋_GB2312" w:eastAsia="仿宋_GB2312" w:cs="仿宋_GB2312"/>
                <w:b/>
                <w:bCs/>
                <w:kern w:val="0"/>
                <w:sz w:val="30"/>
                <w:szCs w:val="30"/>
              </w:rPr>
            </w:pPr>
            <w:r>
              <w:rPr>
                <w:rFonts w:hint="eastAsia" w:ascii="仿宋_GB2312" w:hAnsi="仿宋_GB2312" w:eastAsia="仿宋_GB2312" w:cs="仿宋_GB2312"/>
                <w:b/>
                <w:bCs/>
                <w:kern w:val="0"/>
                <w:sz w:val="30"/>
                <w:szCs w:val="30"/>
              </w:rPr>
              <w:t>签字</w:t>
            </w:r>
          </w:p>
        </w:tc>
      </w:tr>
      <w:tr w14:paraId="2A13FD12">
        <w:tblPrEx>
          <w:tblCellMar>
            <w:top w:w="0" w:type="dxa"/>
            <w:left w:w="108" w:type="dxa"/>
            <w:bottom w:w="0" w:type="dxa"/>
            <w:right w:w="108" w:type="dxa"/>
          </w:tblCellMar>
        </w:tblPrEx>
        <w:trPr>
          <w:trHeight w:val="626" w:hRule="atLeast"/>
        </w:trPr>
        <w:tc>
          <w:tcPr>
            <w:tcW w:w="832" w:type="dxa"/>
            <w:tcBorders>
              <w:top w:val="single" w:color="000000" w:sz="4" w:space="0"/>
              <w:left w:val="single" w:color="000000" w:sz="4" w:space="0"/>
              <w:bottom w:val="single" w:color="000000" w:sz="4" w:space="0"/>
              <w:right w:val="single" w:color="000000" w:sz="4" w:space="0"/>
            </w:tcBorders>
            <w:vAlign w:val="center"/>
          </w:tcPr>
          <w:p w14:paraId="6412D1D9">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1</w:t>
            </w:r>
          </w:p>
        </w:tc>
        <w:tc>
          <w:tcPr>
            <w:tcW w:w="1395" w:type="dxa"/>
            <w:tcBorders>
              <w:top w:val="single" w:color="000000" w:sz="4" w:space="0"/>
              <w:left w:val="nil"/>
              <w:bottom w:val="single" w:color="000000" w:sz="4" w:space="0"/>
              <w:right w:val="single" w:color="000000" w:sz="4" w:space="0"/>
            </w:tcBorders>
            <w:vAlign w:val="center"/>
          </w:tcPr>
          <w:p w14:paraId="2CEAED96">
            <w:pPr>
              <w:widowControl/>
              <w:snapToGrid w:val="0"/>
              <w:spacing w:line="360" w:lineRule="auto"/>
              <w:jc w:val="center"/>
              <w:rPr>
                <w:rFonts w:hint="eastAsia" w:ascii="仿宋_GB2312" w:hAnsi="仿宋_GB2312" w:eastAsia="仿宋_GB2312" w:cs="仿宋_GB2312"/>
                <w:kern w:val="0"/>
                <w:sz w:val="30"/>
                <w:szCs w:val="30"/>
                <w:lang w:eastAsia="zh-CN"/>
              </w:rPr>
            </w:pPr>
            <w:r>
              <w:rPr>
                <w:rFonts w:hint="eastAsia" w:ascii="仿宋_GB2312" w:hAnsi="仿宋_GB2312" w:eastAsia="仿宋_GB2312" w:cs="仿宋_GB2312"/>
                <w:kern w:val="0"/>
                <w:sz w:val="30"/>
                <w:szCs w:val="30"/>
                <w:lang w:val="en-US" w:eastAsia="zh-CN"/>
              </w:rPr>
              <w:t>张旭</w:t>
            </w:r>
          </w:p>
        </w:tc>
        <w:tc>
          <w:tcPr>
            <w:tcW w:w="2220" w:type="dxa"/>
            <w:tcBorders>
              <w:top w:val="single" w:color="000000" w:sz="4" w:space="0"/>
              <w:left w:val="nil"/>
              <w:bottom w:val="single" w:color="000000" w:sz="4" w:space="0"/>
              <w:right w:val="single" w:color="000000" w:sz="4" w:space="0"/>
            </w:tcBorders>
            <w:vAlign w:val="center"/>
          </w:tcPr>
          <w:p w14:paraId="6815753B">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区红十字会</w:t>
            </w:r>
          </w:p>
        </w:tc>
        <w:tc>
          <w:tcPr>
            <w:tcW w:w="2797" w:type="dxa"/>
            <w:tcBorders>
              <w:top w:val="single" w:color="000000" w:sz="4" w:space="0"/>
              <w:left w:val="nil"/>
              <w:bottom w:val="single" w:color="000000" w:sz="4" w:space="0"/>
              <w:right w:val="single" w:color="000000" w:sz="4" w:space="0"/>
            </w:tcBorders>
            <w:vAlign w:val="center"/>
          </w:tcPr>
          <w:p w14:paraId="646190E2">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常务副会长</w:t>
            </w:r>
          </w:p>
        </w:tc>
        <w:tc>
          <w:tcPr>
            <w:tcW w:w="1812" w:type="dxa"/>
            <w:tcBorders>
              <w:top w:val="single" w:color="000000" w:sz="4" w:space="0"/>
              <w:left w:val="nil"/>
              <w:bottom w:val="single" w:color="000000" w:sz="4" w:space="0"/>
              <w:right w:val="single" w:color="000000" w:sz="4" w:space="0"/>
            </w:tcBorders>
            <w:vAlign w:val="center"/>
          </w:tcPr>
          <w:p w14:paraId="74FC1F2D">
            <w:pPr>
              <w:widowControl/>
              <w:snapToGrid w:val="0"/>
              <w:spacing w:line="360" w:lineRule="auto"/>
              <w:jc w:val="center"/>
              <w:rPr>
                <w:rFonts w:hint="eastAsia" w:ascii="仿宋_GB2312" w:hAnsi="仿宋_GB2312" w:eastAsia="仿宋_GB2312" w:cs="仿宋_GB2312"/>
                <w:kern w:val="0"/>
                <w:sz w:val="30"/>
                <w:szCs w:val="30"/>
              </w:rPr>
            </w:pPr>
          </w:p>
        </w:tc>
      </w:tr>
      <w:tr w14:paraId="5B448E50">
        <w:tblPrEx>
          <w:tblCellMar>
            <w:top w:w="0" w:type="dxa"/>
            <w:left w:w="108" w:type="dxa"/>
            <w:bottom w:w="0" w:type="dxa"/>
            <w:right w:w="108" w:type="dxa"/>
          </w:tblCellMar>
        </w:tblPrEx>
        <w:trPr>
          <w:trHeight w:val="485" w:hRule="atLeast"/>
        </w:trPr>
        <w:tc>
          <w:tcPr>
            <w:tcW w:w="832" w:type="dxa"/>
            <w:tcBorders>
              <w:top w:val="single" w:color="000000" w:sz="4" w:space="0"/>
              <w:left w:val="single" w:color="000000" w:sz="4" w:space="0"/>
              <w:bottom w:val="single" w:color="000000" w:sz="4" w:space="0"/>
              <w:right w:val="single" w:color="000000" w:sz="4" w:space="0"/>
            </w:tcBorders>
            <w:vAlign w:val="center"/>
          </w:tcPr>
          <w:p w14:paraId="7A88064B">
            <w:pPr>
              <w:widowControl/>
              <w:snapToGrid w:val="0"/>
              <w:spacing w:line="360" w:lineRule="auto"/>
              <w:jc w:val="center"/>
              <w:rPr>
                <w:rFonts w:hint="eastAsia" w:ascii="仿宋_GB2312" w:hAnsi="仿宋_GB2312" w:eastAsia="仿宋_GB2312" w:cs="仿宋_GB2312"/>
                <w:kern w:val="0"/>
                <w:sz w:val="30"/>
                <w:szCs w:val="30"/>
                <w:lang w:val="en-US" w:eastAsia="zh-CN"/>
              </w:rPr>
            </w:pPr>
            <w:r>
              <w:rPr>
                <w:rFonts w:hint="eastAsia" w:ascii="仿宋_GB2312" w:hAnsi="仿宋_GB2312" w:eastAsia="仿宋_GB2312" w:cs="仿宋_GB2312"/>
                <w:kern w:val="0"/>
                <w:sz w:val="30"/>
                <w:szCs w:val="30"/>
                <w:lang w:val="en-US" w:eastAsia="zh-CN"/>
              </w:rPr>
              <w:t>2</w:t>
            </w:r>
          </w:p>
        </w:tc>
        <w:tc>
          <w:tcPr>
            <w:tcW w:w="1395" w:type="dxa"/>
            <w:tcBorders>
              <w:top w:val="single" w:color="000000" w:sz="4" w:space="0"/>
              <w:left w:val="nil"/>
              <w:bottom w:val="single" w:color="000000" w:sz="4" w:space="0"/>
              <w:right w:val="single" w:color="000000" w:sz="4" w:space="0"/>
            </w:tcBorders>
            <w:vAlign w:val="center"/>
          </w:tcPr>
          <w:p w14:paraId="33215CE2">
            <w:pPr>
              <w:widowControl/>
              <w:snapToGrid w:val="0"/>
              <w:spacing w:line="360" w:lineRule="auto"/>
              <w:jc w:val="center"/>
              <w:rPr>
                <w:rFonts w:hint="eastAsia" w:ascii="仿宋_GB2312" w:hAnsi="仿宋_GB2312" w:eastAsia="仿宋_GB2312" w:cs="仿宋_GB2312"/>
                <w:kern w:val="0"/>
                <w:sz w:val="30"/>
                <w:szCs w:val="30"/>
                <w:lang w:val="en-US" w:eastAsia="zh-CN"/>
              </w:rPr>
            </w:pPr>
            <w:r>
              <w:rPr>
                <w:rFonts w:hint="eastAsia" w:ascii="仿宋_GB2312" w:hAnsi="仿宋_GB2312" w:eastAsia="仿宋_GB2312" w:cs="仿宋_GB2312"/>
                <w:kern w:val="0"/>
                <w:sz w:val="30"/>
                <w:szCs w:val="30"/>
                <w:lang w:val="en-US" w:eastAsia="zh-CN"/>
              </w:rPr>
              <w:t>刘建军</w:t>
            </w:r>
          </w:p>
        </w:tc>
        <w:tc>
          <w:tcPr>
            <w:tcW w:w="2220" w:type="dxa"/>
            <w:tcBorders>
              <w:top w:val="single" w:color="000000" w:sz="4" w:space="0"/>
              <w:left w:val="nil"/>
              <w:bottom w:val="single" w:color="000000" w:sz="4" w:space="0"/>
              <w:right w:val="single" w:color="000000" w:sz="4" w:space="0"/>
            </w:tcBorders>
            <w:vAlign w:val="center"/>
          </w:tcPr>
          <w:p w14:paraId="01642A7A">
            <w:pPr>
              <w:widowControl/>
              <w:snapToGrid w:val="0"/>
              <w:spacing w:line="360" w:lineRule="auto"/>
              <w:jc w:val="center"/>
              <w:rPr>
                <w:rFonts w:hint="eastAsia" w:ascii="仿宋_GB2312" w:hAnsi="仿宋_GB2312" w:eastAsia="仿宋_GB2312" w:cs="仿宋_GB2312"/>
                <w:kern w:val="0"/>
                <w:sz w:val="30"/>
                <w:szCs w:val="30"/>
                <w:lang w:val="en-US" w:eastAsia="zh-CN"/>
              </w:rPr>
            </w:pPr>
            <w:r>
              <w:rPr>
                <w:rFonts w:hint="eastAsia" w:ascii="仿宋_GB2312" w:hAnsi="仿宋_GB2312" w:eastAsia="仿宋_GB2312" w:cs="仿宋_GB2312"/>
                <w:kern w:val="0"/>
                <w:sz w:val="30"/>
                <w:szCs w:val="30"/>
                <w:lang w:val="en-US" w:eastAsia="zh-CN"/>
              </w:rPr>
              <w:t>区红十字会</w:t>
            </w:r>
          </w:p>
        </w:tc>
        <w:tc>
          <w:tcPr>
            <w:tcW w:w="2797" w:type="dxa"/>
            <w:tcBorders>
              <w:top w:val="single" w:color="000000" w:sz="4" w:space="0"/>
              <w:left w:val="nil"/>
              <w:bottom w:val="single" w:color="000000" w:sz="4" w:space="0"/>
              <w:right w:val="single" w:color="000000" w:sz="4" w:space="0"/>
            </w:tcBorders>
            <w:vAlign w:val="center"/>
          </w:tcPr>
          <w:p w14:paraId="0C0891C6">
            <w:pPr>
              <w:widowControl/>
              <w:snapToGrid w:val="0"/>
              <w:spacing w:line="360" w:lineRule="auto"/>
              <w:jc w:val="center"/>
              <w:rPr>
                <w:rFonts w:hint="eastAsia" w:ascii="仿宋_GB2312" w:hAnsi="仿宋_GB2312" w:eastAsia="仿宋_GB2312" w:cs="仿宋_GB2312"/>
                <w:kern w:val="0"/>
                <w:sz w:val="30"/>
                <w:szCs w:val="30"/>
                <w:lang w:val="en-US" w:eastAsia="zh-CN"/>
              </w:rPr>
            </w:pPr>
            <w:r>
              <w:rPr>
                <w:rFonts w:hint="eastAsia" w:ascii="仿宋_GB2312" w:hAnsi="仿宋_GB2312" w:eastAsia="仿宋_GB2312" w:cs="仿宋_GB2312"/>
                <w:kern w:val="0"/>
                <w:sz w:val="30"/>
                <w:szCs w:val="30"/>
                <w:lang w:val="en-US" w:eastAsia="zh-CN"/>
              </w:rPr>
              <w:t>秘书长</w:t>
            </w:r>
          </w:p>
        </w:tc>
        <w:tc>
          <w:tcPr>
            <w:tcW w:w="1812" w:type="dxa"/>
            <w:tcBorders>
              <w:top w:val="single" w:color="000000" w:sz="4" w:space="0"/>
              <w:left w:val="nil"/>
              <w:bottom w:val="single" w:color="000000" w:sz="4" w:space="0"/>
              <w:right w:val="single" w:color="000000" w:sz="4" w:space="0"/>
            </w:tcBorders>
            <w:vAlign w:val="center"/>
          </w:tcPr>
          <w:p w14:paraId="45C97F51">
            <w:pPr>
              <w:widowControl/>
              <w:snapToGrid w:val="0"/>
              <w:spacing w:line="360" w:lineRule="auto"/>
              <w:jc w:val="center"/>
              <w:rPr>
                <w:rFonts w:hint="eastAsia" w:ascii="仿宋_GB2312" w:hAnsi="仿宋_GB2312" w:eastAsia="仿宋_GB2312" w:cs="仿宋_GB2312"/>
                <w:kern w:val="0"/>
                <w:sz w:val="30"/>
                <w:szCs w:val="30"/>
              </w:rPr>
            </w:pPr>
          </w:p>
        </w:tc>
      </w:tr>
      <w:tr w14:paraId="388FCD7D">
        <w:tblPrEx>
          <w:tblCellMar>
            <w:top w:w="0" w:type="dxa"/>
            <w:left w:w="108" w:type="dxa"/>
            <w:bottom w:w="0" w:type="dxa"/>
            <w:right w:w="108" w:type="dxa"/>
          </w:tblCellMar>
        </w:tblPrEx>
        <w:trPr>
          <w:trHeight w:val="485" w:hRule="atLeast"/>
        </w:trPr>
        <w:tc>
          <w:tcPr>
            <w:tcW w:w="832" w:type="dxa"/>
            <w:tcBorders>
              <w:top w:val="single" w:color="000000" w:sz="4" w:space="0"/>
              <w:left w:val="single" w:color="000000" w:sz="4" w:space="0"/>
              <w:bottom w:val="single" w:color="000000" w:sz="4" w:space="0"/>
              <w:right w:val="single" w:color="000000" w:sz="4" w:space="0"/>
            </w:tcBorders>
            <w:vAlign w:val="center"/>
          </w:tcPr>
          <w:p w14:paraId="78795F79">
            <w:pPr>
              <w:widowControl/>
              <w:snapToGrid w:val="0"/>
              <w:spacing w:line="360" w:lineRule="auto"/>
              <w:jc w:val="center"/>
              <w:rPr>
                <w:rFonts w:hint="eastAsia" w:ascii="仿宋_GB2312" w:hAnsi="仿宋_GB2312" w:eastAsia="仿宋_GB2312" w:cs="仿宋_GB2312"/>
                <w:kern w:val="0"/>
                <w:sz w:val="30"/>
                <w:szCs w:val="30"/>
                <w:lang w:val="en-US" w:eastAsia="zh-CN"/>
              </w:rPr>
            </w:pPr>
            <w:r>
              <w:rPr>
                <w:rFonts w:hint="eastAsia" w:ascii="仿宋_GB2312" w:hAnsi="仿宋_GB2312" w:eastAsia="仿宋_GB2312" w:cs="仿宋_GB2312"/>
                <w:kern w:val="0"/>
                <w:sz w:val="30"/>
                <w:szCs w:val="30"/>
                <w:lang w:val="en-US" w:eastAsia="zh-CN"/>
              </w:rPr>
              <w:t>3</w:t>
            </w:r>
          </w:p>
        </w:tc>
        <w:tc>
          <w:tcPr>
            <w:tcW w:w="1395" w:type="dxa"/>
            <w:tcBorders>
              <w:top w:val="single" w:color="000000" w:sz="4" w:space="0"/>
              <w:left w:val="nil"/>
              <w:bottom w:val="single" w:color="000000" w:sz="4" w:space="0"/>
              <w:right w:val="single" w:color="000000" w:sz="4" w:space="0"/>
            </w:tcBorders>
            <w:vAlign w:val="center"/>
          </w:tcPr>
          <w:p w14:paraId="56D7B0FB">
            <w:pPr>
              <w:widowControl/>
              <w:snapToGrid w:val="0"/>
              <w:spacing w:line="360" w:lineRule="auto"/>
              <w:jc w:val="center"/>
              <w:rPr>
                <w:rFonts w:hint="eastAsia" w:ascii="仿宋_GB2312" w:hAnsi="仿宋_GB2312" w:eastAsia="仿宋_GB2312" w:cs="仿宋_GB2312"/>
                <w:kern w:val="0"/>
                <w:sz w:val="30"/>
                <w:szCs w:val="30"/>
                <w:lang w:val="en-US" w:eastAsia="zh-CN"/>
              </w:rPr>
            </w:pPr>
            <w:r>
              <w:rPr>
                <w:rFonts w:hint="eastAsia" w:ascii="仿宋_GB2312" w:hAnsi="仿宋_GB2312" w:eastAsia="仿宋_GB2312" w:cs="仿宋_GB2312"/>
                <w:kern w:val="0"/>
                <w:sz w:val="30"/>
                <w:szCs w:val="30"/>
              </w:rPr>
              <w:t>杨建坡</w:t>
            </w:r>
          </w:p>
        </w:tc>
        <w:tc>
          <w:tcPr>
            <w:tcW w:w="2220" w:type="dxa"/>
            <w:tcBorders>
              <w:top w:val="single" w:color="000000" w:sz="4" w:space="0"/>
              <w:left w:val="nil"/>
              <w:bottom w:val="single" w:color="000000" w:sz="4" w:space="0"/>
              <w:right w:val="single" w:color="000000" w:sz="4" w:space="0"/>
            </w:tcBorders>
            <w:vAlign w:val="center"/>
          </w:tcPr>
          <w:p w14:paraId="4272AC15">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区红十字会</w:t>
            </w:r>
          </w:p>
        </w:tc>
        <w:tc>
          <w:tcPr>
            <w:tcW w:w="2797" w:type="dxa"/>
            <w:tcBorders>
              <w:top w:val="single" w:color="000000" w:sz="4" w:space="0"/>
              <w:left w:val="nil"/>
              <w:bottom w:val="single" w:color="000000" w:sz="4" w:space="0"/>
              <w:right w:val="single" w:color="000000" w:sz="4" w:space="0"/>
            </w:tcBorders>
            <w:vAlign w:val="center"/>
          </w:tcPr>
          <w:p w14:paraId="548EDD87">
            <w:pPr>
              <w:widowControl/>
              <w:snapToGrid w:val="0"/>
              <w:spacing w:line="360" w:lineRule="auto"/>
              <w:jc w:val="center"/>
              <w:rPr>
                <w:rFonts w:hint="eastAsia" w:ascii="仿宋_GB2312" w:hAnsi="仿宋_GB2312" w:eastAsia="仿宋_GB2312" w:cs="仿宋_GB2312"/>
                <w:kern w:val="0"/>
                <w:sz w:val="30"/>
                <w:szCs w:val="30"/>
                <w:lang w:val="en-US" w:eastAsia="zh-CN"/>
              </w:rPr>
            </w:pPr>
            <w:r>
              <w:rPr>
                <w:rFonts w:hint="eastAsia" w:ascii="仿宋_GB2312" w:hAnsi="仿宋_GB2312" w:eastAsia="仿宋_GB2312" w:cs="仿宋_GB2312"/>
                <w:kern w:val="0"/>
                <w:sz w:val="30"/>
                <w:szCs w:val="30"/>
              </w:rPr>
              <w:t>捐赠</w:t>
            </w:r>
            <w:r>
              <w:rPr>
                <w:rFonts w:hint="eastAsia" w:ascii="仿宋_GB2312" w:hAnsi="仿宋_GB2312" w:eastAsia="仿宋_GB2312" w:cs="仿宋_GB2312"/>
                <w:kern w:val="0"/>
                <w:sz w:val="30"/>
                <w:szCs w:val="30"/>
                <w:lang w:val="en-US" w:eastAsia="zh-CN"/>
              </w:rPr>
              <w:t>管理</w:t>
            </w:r>
            <w:r>
              <w:rPr>
                <w:rFonts w:hint="eastAsia" w:ascii="仿宋_GB2312" w:hAnsi="仿宋_GB2312" w:eastAsia="仿宋_GB2312" w:cs="仿宋_GB2312"/>
                <w:kern w:val="0"/>
                <w:sz w:val="30"/>
                <w:szCs w:val="30"/>
              </w:rPr>
              <w:t>股股长</w:t>
            </w:r>
          </w:p>
        </w:tc>
        <w:tc>
          <w:tcPr>
            <w:tcW w:w="1812" w:type="dxa"/>
            <w:tcBorders>
              <w:top w:val="single" w:color="000000" w:sz="4" w:space="0"/>
              <w:left w:val="nil"/>
              <w:bottom w:val="single" w:color="000000" w:sz="4" w:space="0"/>
              <w:right w:val="single" w:color="000000" w:sz="4" w:space="0"/>
            </w:tcBorders>
            <w:vAlign w:val="center"/>
          </w:tcPr>
          <w:p w14:paraId="20E26042">
            <w:pPr>
              <w:widowControl/>
              <w:snapToGrid w:val="0"/>
              <w:spacing w:line="360" w:lineRule="auto"/>
              <w:jc w:val="center"/>
              <w:rPr>
                <w:rFonts w:hint="eastAsia" w:ascii="仿宋_GB2312" w:hAnsi="仿宋_GB2312" w:eastAsia="仿宋_GB2312" w:cs="仿宋_GB2312"/>
                <w:kern w:val="0"/>
                <w:sz w:val="30"/>
                <w:szCs w:val="30"/>
              </w:rPr>
            </w:pPr>
          </w:p>
        </w:tc>
      </w:tr>
      <w:tr w14:paraId="2EA3B91A">
        <w:tblPrEx>
          <w:tblCellMar>
            <w:top w:w="0" w:type="dxa"/>
            <w:left w:w="108" w:type="dxa"/>
            <w:bottom w:w="0" w:type="dxa"/>
            <w:right w:w="108" w:type="dxa"/>
          </w:tblCellMar>
        </w:tblPrEx>
        <w:trPr>
          <w:trHeight w:val="538" w:hRule="atLeast"/>
        </w:trPr>
        <w:tc>
          <w:tcPr>
            <w:tcW w:w="832" w:type="dxa"/>
            <w:tcBorders>
              <w:top w:val="single" w:color="000000" w:sz="4" w:space="0"/>
              <w:left w:val="single" w:color="000000" w:sz="4" w:space="0"/>
              <w:bottom w:val="single" w:color="000000" w:sz="4" w:space="0"/>
              <w:right w:val="single" w:color="000000" w:sz="4" w:space="0"/>
            </w:tcBorders>
            <w:vAlign w:val="center"/>
          </w:tcPr>
          <w:p w14:paraId="3829EC84">
            <w:pPr>
              <w:widowControl/>
              <w:snapToGrid w:val="0"/>
              <w:spacing w:line="360" w:lineRule="auto"/>
              <w:jc w:val="center"/>
              <w:rPr>
                <w:rFonts w:hint="eastAsia" w:ascii="仿宋_GB2312" w:hAnsi="仿宋_GB2312" w:eastAsia="仿宋_GB2312" w:cs="仿宋_GB2312"/>
                <w:kern w:val="0"/>
                <w:sz w:val="30"/>
                <w:szCs w:val="30"/>
                <w:lang w:eastAsia="zh-CN"/>
              </w:rPr>
            </w:pPr>
            <w:r>
              <w:rPr>
                <w:rFonts w:hint="eastAsia" w:ascii="仿宋_GB2312" w:hAnsi="仿宋_GB2312" w:eastAsia="仿宋_GB2312" w:cs="仿宋_GB2312"/>
                <w:kern w:val="0"/>
                <w:sz w:val="30"/>
                <w:szCs w:val="30"/>
                <w:lang w:val="en-US" w:eastAsia="zh-CN"/>
              </w:rPr>
              <w:t>4</w:t>
            </w:r>
          </w:p>
        </w:tc>
        <w:tc>
          <w:tcPr>
            <w:tcW w:w="1395" w:type="dxa"/>
            <w:tcBorders>
              <w:top w:val="single" w:color="000000" w:sz="4" w:space="0"/>
              <w:left w:val="nil"/>
              <w:bottom w:val="single" w:color="000000" w:sz="4" w:space="0"/>
              <w:right w:val="single" w:color="000000" w:sz="4" w:space="0"/>
            </w:tcBorders>
            <w:vAlign w:val="center"/>
          </w:tcPr>
          <w:p w14:paraId="0CB00645">
            <w:pPr>
              <w:widowControl/>
              <w:snapToGrid w:val="0"/>
              <w:spacing w:line="360" w:lineRule="auto"/>
              <w:jc w:val="center"/>
              <w:rPr>
                <w:rFonts w:hint="eastAsia" w:ascii="仿宋_GB2312" w:hAnsi="仿宋_GB2312" w:eastAsia="仿宋_GB2312" w:cs="仿宋_GB2312"/>
                <w:kern w:val="0"/>
                <w:sz w:val="30"/>
                <w:szCs w:val="30"/>
                <w:lang w:val="en-US" w:eastAsia="zh-CN"/>
              </w:rPr>
            </w:pPr>
            <w:r>
              <w:rPr>
                <w:rFonts w:hint="eastAsia" w:ascii="仿宋_GB2312" w:hAnsi="仿宋_GB2312" w:eastAsia="仿宋_GB2312" w:cs="仿宋_GB2312"/>
                <w:kern w:val="0"/>
                <w:sz w:val="30"/>
                <w:szCs w:val="30"/>
                <w:lang w:val="en-US" w:eastAsia="zh-CN"/>
              </w:rPr>
              <w:t>程世敏</w:t>
            </w:r>
          </w:p>
        </w:tc>
        <w:tc>
          <w:tcPr>
            <w:tcW w:w="2220" w:type="dxa"/>
            <w:tcBorders>
              <w:top w:val="single" w:color="000000" w:sz="4" w:space="0"/>
              <w:left w:val="nil"/>
              <w:bottom w:val="single" w:color="000000" w:sz="4" w:space="0"/>
              <w:right w:val="single" w:color="000000" w:sz="4" w:space="0"/>
            </w:tcBorders>
            <w:vAlign w:val="center"/>
          </w:tcPr>
          <w:p w14:paraId="2222AB55">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区红十字会</w:t>
            </w:r>
          </w:p>
        </w:tc>
        <w:tc>
          <w:tcPr>
            <w:tcW w:w="2797" w:type="dxa"/>
            <w:tcBorders>
              <w:top w:val="single" w:color="000000" w:sz="4" w:space="0"/>
              <w:left w:val="nil"/>
              <w:bottom w:val="single" w:color="000000" w:sz="4" w:space="0"/>
              <w:right w:val="single" w:color="000000" w:sz="4" w:space="0"/>
            </w:tcBorders>
            <w:vAlign w:val="center"/>
          </w:tcPr>
          <w:p w14:paraId="3FBA2BF8">
            <w:pPr>
              <w:widowControl/>
              <w:snapToGrid w:val="0"/>
              <w:spacing w:line="360" w:lineRule="auto"/>
              <w:jc w:val="center"/>
              <w:rPr>
                <w:rFonts w:hint="eastAsia" w:ascii="仿宋_GB2312" w:hAnsi="仿宋_GB2312" w:eastAsia="仿宋_GB2312" w:cs="仿宋_GB2312"/>
                <w:kern w:val="0"/>
                <w:sz w:val="30"/>
                <w:szCs w:val="30"/>
                <w:lang w:val="en-US" w:eastAsia="zh-CN"/>
              </w:rPr>
            </w:pPr>
            <w:r>
              <w:rPr>
                <w:rFonts w:hint="eastAsia" w:ascii="仿宋_GB2312" w:hAnsi="仿宋_GB2312" w:eastAsia="仿宋_GB2312" w:cs="仿宋_GB2312"/>
                <w:kern w:val="0"/>
                <w:sz w:val="30"/>
                <w:szCs w:val="30"/>
                <w:lang w:val="en-US" w:eastAsia="zh-CN"/>
              </w:rPr>
              <w:t>办公室主任</w:t>
            </w:r>
          </w:p>
        </w:tc>
        <w:tc>
          <w:tcPr>
            <w:tcW w:w="1812" w:type="dxa"/>
            <w:tcBorders>
              <w:top w:val="single" w:color="000000" w:sz="4" w:space="0"/>
              <w:left w:val="nil"/>
              <w:bottom w:val="single" w:color="000000" w:sz="4" w:space="0"/>
              <w:right w:val="single" w:color="000000" w:sz="4" w:space="0"/>
            </w:tcBorders>
            <w:vAlign w:val="center"/>
          </w:tcPr>
          <w:p w14:paraId="577D10CB">
            <w:pPr>
              <w:widowControl/>
              <w:snapToGrid w:val="0"/>
              <w:spacing w:line="360" w:lineRule="auto"/>
              <w:jc w:val="center"/>
              <w:rPr>
                <w:rFonts w:hint="eastAsia" w:ascii="仿宋_GB2312" w:hAnsi="仿宋_GB2312" w:eastAsia="仿宋_GB2312" w:cs="仿宋_GB2312"/>
                <w:kern w:val="0"/>
                <w:sz w:val="30"/>
                <w:szCs w:val="30"/>
              </w:rPr>
            </w:pPr>
          </w:p>
        </w:tc>
      </w:tr>
      <w:tr w14:paraId="02F81C2A">
        <w:tblPrEx>
          <w:tblCellMar>
            <w:top w:w="0" w:type="dxa"/>
            <w:left w:w="108" w:type="dxa"/>
            <w:bottom w:w="0" w:type="dxa"/>
            <w:right w:w="108" w:type="dxa"/>
          </w:tblCellMar>
        </w:tblPrEx>
        <w:trPr>
          <w:trHeight w:val="573" w:hRule="atLeast"/>
        </w:trPr>
        <w:tc>
          <w:tcPr>
            <w:tcW w:w="832" w:type="dxa"/>
            <w:tcBorders>
              <w:top w:val="single" w:color="000000" w:sz="4" w:space="0"/>
              <w:left w:val="single" w:color="000000" w:sz="4" w:space="0"/>
              <w:bottom w:val="single" w:color="000000" w:sz="4" w:space="0"/>
              <w:right w:val="single" w:color="000000" w:sz="4" w:space="0"/>
            </w:tcBorders>
            <w:vAlign w:val="center"/>
          </w:tcPr>
          <w:p w14:paraId="53384D80">
            <w:pPr>
              <w:widowControl/>
              <w:snapToGrid w:val="0"/>
              <w:spacing w:line="360" w:lineRule="auto"/>
              <w:jc w:val="center"/>
              <w:rPr>
                <w:rFonts w:hint="eastAsia" w:ascii="仿宋_GB2312" w:hAnsi="仿宋_GB2312" w:eastAsia="仿宋_GB2312" w:cs="仿宋_GB2312"/>
                <w:kern w:val="0"/>
                <w:sz w:val="30"/>
                <w:szCs w:val="30"/>
                <w:lang w:eastAsia="zh-CN"/>
              </w:rPr>
            </w:pPr>
            <w:r>
              <w:rPr>
                <w:rFonts w:hint="eastAsia" w:ascii="仿宋_GB2312" w:hAnsi="仿宋_GB2312" w:eastAsia="仿宋_GB2312" w:cs="仿宋_GB2312"/>
                <w:kern w:val="0"/>
                <w:sz w:val="30"/>
                <w:szCs w:val="30"/>
                <w:lang w:val="en-US" w:eastAsia="zh-CN"/>
              </w:rPr>
              <w:t>5</w:t>
            </w:r>
          </w:p>
        </w:tc>
        <w:tc>
          <w:tcPr>
            <w:tcW w:w="1395" w:type="dxa"/>
            <w:tcBorders>
              <w:top w:val="single" w:color="000000" w:sz="4" w:space="0"/>
              <w:left w:val="nil"/>
              <w:bottom w:val="single" w:color="000000" w:sz="4" w:space="0"/>
              <w:right w:val="single" w:color="000000" w:sz="4" w:space="0"/>
            </w:tcBorders>
            <w:vAlign w:val="center"/>
          </w:tcPr>
          <w:p w14:paraId="15456D43">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郜建萍</w:t>
            </w:r>
          </w:p>
        </w:tc>
        <w:tc>
          <w:tcPr>
            <w:tcW w:w="2220" w:type="dxa"/>
            <w:tcBorders>
              <w:top w:val="single" w:color="000000" w:sz="4" w:space="0"/>
              <w:left w:val="nil"/>
              <w:bottom w:val="single" w:color="000000" w:sz="4" w:space="0"/>
              <w:right w:val="single" w:color="000000" w:sz="4" w:space="0"/>
            </w:tcBorders>
            <w:vAlign w:val="center"/>
          </w:tcPr>
          <w:p w14:paraId="4A24B75F">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区红十字会</w:t>
            </w:r>
          </w:p>
        </w:tc>
        <w:tc>
          <w:tcPr>
            <w:tcW w:w="2797" w:type="dxa"/>
            <w:tcBorders>
              <w:top w:val="single" w:color="000000" w:sz="4" w:space="0"/>
              <w:left w:val="nil"/>
              <w:bottom w:val="single" w:color="000000" w:sz="4" w:space="0"/>
              <w:right w:val="single" w:color="000000" w:sz="4" w:space="0"/>
            </w:tcBorders>
            <w:vAlign w:val="center"/>
          </w:tcPr>
          <w:p w14:paraId="652553D6">
            <w:pPr>
              <w:widowControl/>
              <w:snapToGrid w:val="0"/>
              <w:spacing w:line="360" w:lineRule="auto"/>
              <w:jc w:val="center"/>
              <w:rPr>
                <w:rFonts w:hint="eastAsia" w:ascii="仿宋_GB2312" w:hAnsi="仿宋_GB2312" w:eastAsia="仿宋_GB2312" w:cs="仿宋_GB2312"/>
                <w:kern w:val="0"/>
                <w:sz w:val="30"/>
                <w:szCs w:val="30"/>
              </w:rPr>
            </w:pPr>
            <w:r>
              <w:rPr>
                <w:rFonts w:hint="eastAsia" w:ascii="仿宋_GB2312" w:hAnsi="仿宋_GB2312" w:eastAsia="仿宋_GB2312" w:cs="仿宋_GB2312"/>
                <w:kern w:val="0"/>
                <w:sz w:val="30"/>
                <w:szCs w:val="30"/>
              </w:rPr>
              <w:t>财务人员</w:t>
            </w:r>
          </w:p>
        </w:tc>
        <w:tc>
          <w:tcPr>
            <w:tcW w:w="1812" w:type="dxa"/>
            <w:tcBorders>
              <w:top w:val="single" w:color="000000" w:sz="4" w:space="0"/>
              <w:left w:val="nil"/>
              <w:bottom w:val="single" w:color="000000" w:sz="4" w:space="0"/>
              <w:right w:val="single" w:color="000000" w:sz="4" w:space="0"/>
            </w:tcBorders>
            <w:vAlign w:val="center"/>
          </w:tcPr>
          <w:p w14:paraId="688B5B46">
            <w:pPr>
              <w:widowControl/>
              <w:snapToGrid w:val="0"/>
              <w:spacing w:line="360" w:lineRule="auto"/>
              <w:jc w:val="center"/>
              <w:rPr>
                <w:rFonts w:hint="eastAsia" w:ascii="仿宋_GB2312" w:hAnsi="仿宋_GB2312" w:eastAsia="仿宋_GB2312" w:cs="仿宋_GB2312"/>
                <w:kern w:val="0"/>
                <w:sz w:val="30"/>
                <w:szCs w:val="30"/>
              </w:rPr>
            </w:pPr>
          </w:p>
        </w:tc>
      </w:tr>
    </w:tbl>
    <w:p w14:paraId="286FC1F9">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rPr>
      </w:pPr>
    </w:p>
    <w:p w14:paraId="59B83175">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069B41">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E463B3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5E463B3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7CA0FC">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A4991387"/>
    <w:multiLevelType w:val="singleLevel"/>
    <w:tmpl w:val="A4991387"/>
    <w:lvl w:ilvl="0" w:tentative="0">
      <w:start w:val="2"/>
      <w:numFmt w:val="chineseCounting"/>
      <w:suff w:val="nothing"/>
      <w:lvlText w:val="（%1）"/>
      <w:lvlJc w:val="left"/>
      <w:rPr>
        <w:rFonts w:hint="eastAsia"/>
      </w:rPr>
    </w:lvl>
  </w:abstractNum>
  <w:abstractNum w:abstractNumId="2">
    <w:nsid w:val="0000000D"/>
    <w:multiLevelType w:val="singleLevel"/>
    <w:tmpl w:val="0000000D"/>
    <w:lvl w:ilvl="0" w:tentative="0">
      <w:start w:val="2"/>
      <w:numFmt w:val="decimal"/>
      <w:suff w:val="nothing"/>
      <w:lvlText w:val="%1．"/>
      <w:lvlJc w:val="left"/>
    </w:lvl>
  </w:abstractNum>
  <w:abstractNum w:abstractNumId="3">
    <w:nsid w:val="50A9C9CB"/>
    <w:multiLevelType w:val="singleLevel"/>
    <w:tmpl w:val="50A9C9CB"/>
    <w:lvl w:ilvl="0" w:tentative="0">
      <w:start w:val="2"/>
      <w:numFmt w:val="chineseCounting"/>
      <w:suff w:val="nothing"/>
      <w:lvlText w:val="（%1）"/>
      <w:lvlJc w:val="left"/>
      <w:rPr>
        <w:rFonts w:hint="eastAsia"/>
      </w:rPr>
    </w:lvl>
  </w:abstractNum>
  <w:abstractNum w:abstractNumId="4">
    <w:nsid w:val="69BDAFE1"/>
    <w:multiLevelType w:val="singleLevel"/>
    <w:tmpl w:val="69BDAFE1"/>
    <w:lvl w:ilvl="0" w:tentative="0">
      <w:start w:val="1"/>
      <w:numFmt w:val="chineseCounting"/>
      <w:suff w:val="nothing"/>
      <w:lvlText w:val="（%1）"/>
      <w:lvlJc w:val="left"/>
      <w:rPr>
        <w:rFonts w:hint="eastAsia"/>
      </w:rPr>
    </w:lvl>
  </w:abstractNum>
  <w:num w:numId="1">
    <w:abstractNumId w:val="2"/>
  </w:num>
  <w:num w:numId="2">
    <w:abstractNumId w:val="0"/>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UzOWFlYjJiNjA0NTMxYmRmMTVkYTUxOGRhM2MzNG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07DF3BDA"/>
    <w:rsid w:val="0AC61F07"/>
    <w:rsid w:val="10930890"/>
    <w:rsid w:val="13B61930"/>
    <w:rsid w:val="181546C2"/>
    <w:rsid w:val="1A3B21A2"/>
    <w:rsid w:val="1BAF1154"/>
    <w:rsid w:val="1C655171"/>
    <w:rsid w:val="20276775"/>
    <w:rsid w:val="26B75F6B"/>
    <w:rsid w:val="27346A2A"/>
    <w:rsid w:val="2C170443"/>
    <w:rsid w:val="2F2C2A40"/>
    <w:rsid w:val="31BC6E71"/>
    <w:rsid w:val="340D054C"/>
    <w:rsid w:val="344704E1"/>
    <w:rsid w:val="3540522B"/>
    <w:rsid w:val="35F84793"/>
    <w:rsid w:val="363C58F1"/>
    <w:rsid w:val="39744C0B"/>
    <w:rsid w:val="3AEF6FE7"/>
    <w:rsid w:val="3E915703"/>
    <w:rsid w:val="441F3676"/>
    <w:rsid w:val="491366F4"/>
    <w:rsid w:val="493B718D"/>
    <w:rsid w:val="4C9D05C3"/>
    <w:rsid w:val="53A42ADD"/>
    <w:rsid w:val="557355CF"/>
    <w:rsid w:val="563B01B4"/>
    <w:rsid w:val="56604927"/>
    <w:rsid w:val="590F0BE0"/>
    <w:rsid w:val="5C4A315B"/>
    <w:rsid w:val="661D3074"/>
    <w:rsid w:val="68D00A0D"/>
    <w:rsid w:val="6B1C1E0E"/>
    <w:rsid w:val="6BDE7164"/>
    <w:rsid w:val="6BEC721C"/>
    <w:rsid w:val="6D7B1167"/>
    <w:rsid w:val="71BD3105"/>
    <w:rsid w:val="720535FB"/>
    <w:rsid w:val="75414630"/>
    <w:rsid w:val="765B56D5"/>
    <w:rsid w:val="7BA03C4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ody Text"/>
    <w:basedOn w:val="1"/>
    <w:qFormat/>
    <w:uiPriority w:val="0"/>
    <w:rPr>
      <w:rFonts w:ascii="仿宋_GB2312" w:hAnsi="仿宋_GB2312" w:eastAsia="仿宋_GB2312" w:cs="仿宋_GB2312"/>
      <w:sz w:val="32"/>
      <w:szCs w:val="32"/>
      <w:lang w:val="zh-CN"/>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 w:type="paragraph" w:customStyle="1" w:styleId="9">
    <w:name w:val="p0"/>
    <w:basedOn w:val="1"/>
    <w:autoRedefine/>
    <w:qFormat/>
    <w:uiPriority w:val="0"/>
    <w:pPr>
      <w:widowControl/>
    </w:pPr>
    <w:rPr>
      <w:rFonts w:hint="eastAsia"/>
    </w:rPr>
  </w:style>
  <w:style w:type="paragraph" w:customStyle="1" w:styleId="10">
    <w:name w:val="p"/>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11">
    <w:name w:val="15"/>
    <w:basedOn w:val="6"/>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8</Pages>
  <Words>3386</Words>
  <Characters>3524</Characters>
  <Lines>3</Lines>
  <Paragraphs>1</Paragraphs>
  <TotalTime>10</TotalTime>
  <ScaleCrop>false</ScaleCrop>
  <LinksUpToDate>false</LinksUpToDate>
  <CharactersWithSpaces>3536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2025-04-24T03:05:00Z</cp:lastPrinted>
  <dcterms:modified xsi:type="dcterms:W3CDTF">2025-05-07T06:33:29Z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28C64EFCB758481798A31117B3E7B5E3</vt:lpwstr>
  </property>
  <property fmtid="{D5CDD505-2E9C-101B-9397-08002B2CF9AE}" pid="4" name="KSOTemplateDocerSaveRecord">
    <vt:lpwstr>eyJoZGlkIjoiMWNkMjJhZjg2MzEyYjE2NmU0OWE2ODk0M2JlNWY4MjkiLCJ1c2VySWQiOiIxNTUwMjQwMDk2In0=</vt:lpwstr>
  </property>
</Properties>
</file>