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5A55A7">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14:paraId="5CA769EC">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p>
    <w:p w14:paraId="3F1855F9">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rPr>
      </w:pPr>
      <w:r>
        <w:rPr>
          <w:rFonts w:hint="eastAsia" w:ascii="方正小标宋简体" w:hAnsi="方正小标宋简体" w:eastAsia="方正小标宋简体" w:cs="方正小标宋简体"/>
          <w:b w:val="0"/>
          <w:bCs w:val="0"/>
          <w:kern w:val="0"/>
          <w:sz w:val="44"/>
          <w:szCs w:val="44"/>
          <w:lang w:val="en-US" w:eastAsia="zh-CN"/>
        </w:rPr>
        <w:t>藁城区工商联</w:t>
      </w:r>
    </w:p>
    <w:p w14:paraId="1CE3A7BA">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rPr>
        <w:t>2024年度整体支出绩效自评报告</w:t>
      </w:r>
    </w:p>
    <w:p w14:paraId="24C9CB43">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3E61A24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w:t>
      </w:r>
      <w:r>
        <w:rPr>
          <w:rFonts w:ascii="仿宋_GB2312" w:hAnsi="仿宋_GB2312" w:eastAsia="仿宋_GB2312" w:cs="仿宋_GB2312"/>
          <w:sz w:val="32"/>
          <w:szCs w:val="32"/>
          <w:highlight w:val="none"/>
          <w:lang w:eastAsia="zh-CN"/>
        </w:rPr>
        <w:t>藁城区工商联</w:t>
      </w:r>
      <w:r>
        <w:rPr>
          <w:rFonts w:hint="eastAsia" w:ascii="仿宋_GB2312" w:hAnsi="仿宋_GB2312" w:eastAsia="仿宋_GB2312" w:cs="仿宋_GB2312"/>
          <w:sz w:val="32"/>
          <w:szCs w:val="32"/>
          <w:highlight w:val="none"/>
          <w:lang w:eastAsia="zh-CN"/>
        </w:rPr>
        <w:t>部门202</w:t>
      </w:r>
      <w:r>
        <w:rPr>
          <w:rFonts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lang w:eastAsia="zh-CN"/>
        </w:rPr>
        <w:t>年度整体支出情况实施了财政支出绩效自评价，形成本评价报告。</w:t>
      </w:r>
    </w:p>
    <w:p w14:paraId="7FEF3C48">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0E4A3EF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41749057">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部门职能：</w:t>
      </w:r>
    </w:p>
    <w:p w14:paraId="2E06BE09">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团结、服务、引导、教育非公有制经济人士爱国、敬业、诚信、守法、贡献，培养拥护党的领导、走中国特色社会主义道路的非公有制经济人士队伍。</w:t>
      </w:r>
    </w:p>
    <w:p w14:paraId="479543A3">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做好非公有制经济代表人士政治安排的推荐工作。参与政治协商，发挥民主监督作用，积极参政议政。</w:t>
      </w:r>
    </w:p>
    <w:p w14:paraId="44C39E11">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参与政府相关的经济活动，广泛联系各地工商界人士，开展民间外交，推动经贸交流和协作，促进经济社会发展。</w:t>
      </w:r>
    </w:p>
    <w:p w14:paraId="6E184EEA">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参与协调劳动关系，促进和谐社会建设。</w:t>
      </w:r>
    </w:p>
    <w:p w14:paraId="275F2E50">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rPr>
        <w:t>指导本会直属商会工作，积极参与社会组织建设工作，促进行业协会商会改革发展。</w:t>
      </w:r>
    </w:p>
    <w:p w14:paraId="347DB30B">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6.</w:t>
      </w:r>
      <w:r>
        <w:rPr>
          <w:rFonts w:hint="eastAsia" w:ascii="仿宋_GB2312" w:hAnsi="仿宋_GB2312" w:eastAsia="仿宋_GB2312" w:cs="仿宋_GB2312"/>
          <w:b w:val="0"/>
          <w:bCs w:val="0"/>
          <w:sz w:val="32"/>
          <w:szCs w:val="32"/>
        </w:rPr>
        <w:t>反映非公有制企业和非公有制经济人士利益诉求维护其合法权益。</w:t>
      </w:r>
    </w:p>
    <w:p w14:paraId="3C070148">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7.</w:t>
      </w:r>
      <w:r>
        <w:rPr>
          <w:rFonts w:hint="eastAsia" w:ascii="仿宋_GB2312" w:hAnsi="仿宋_GB2312" w:eastAsia="仿宋_GB2312" w:cs="仿宋_GB2312"/>
          <w:b w:val="0"/>
          <w:bCs w:val="0"/>
          <w:sz w:val="32"/>
          <w:szCs w:val="32"/>
        </w:rPr>
        <w:t>为会员提供政策信息、人才交流培训等服务。组织会员企业参加各类经贸活动，外出参观考察，帮助会员企业拓展市场。</w:t>
      </w:r>
    </w:p>
    <w:p w14:paraId="27DF5A9E">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8.</w:t>
      </w:r>
      <w:r>
        <w:rPr>
          <w:rFonts w:hint="eastAsia" w:ascii="仿宋_GB2312" w:hAnsi="仿宋_GB2312" w:eastAsia="仿宋_GB2312" w:cs="仿宋_GB2312"/>
          <w:b w:val="0"/>
          <w:bCs w:val="0"/>
          <w:sz w:val="32"/>
          <w:szCs w:val="32"/>
        </w:rPr>
        <w:t>配合有关部门开展非公有制会员企业党建工作。</w:t>
      </w:r>
    </w:p>
    <w:p w14:paraId="77F4FB83">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9.</w:t>
      </w:r>
      <w:r>
        <w:rPr>
          <w:rFonts w:hint="eastAsia" w:ascii="仿宋_GB2312" w:hAnsi="仿宋_GB2312" w:eastAsia="仿宋_GB2312" w:cs="仿宋_GB2312"/>
          <w:b w:val="0"/>
          <w:bCs w:val="0"/>
          <w:sz w:val="32"/>
          <w:szCs w:val="32"/>
        </w:rPr>
        <w:t>积极引导非公有制企业及其非公有制经济人士承担社会责任，大力支持慈善公益事业发展，积极投身光彩事业。</w:t>
      </w:r>
    </w:p>
    <w:p w14:paraId="0A8B8455">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rPr>
        <w:t>承办区委、区政府和上级工商联交办的其它任务。</w:t>
      </w:r>
    </w:p>
    <w:p w14:paraId="0F0064F7">
      <w:pPr>
        <w:keepNext w:val="0"/>
        <w:keepLines w:val="0"/>
        <w:pageBreakBefore w:val="0"/>
        <w:widowControl w:val="0"/>
        <w:kinsoku/>
        <w:wordWrap/>
        <w:overflowPunct/>
        <w:topLinePunct w:val="0"/>
        <w:autoSpaceDE/>
        <w:autoSpaceDN/>
        <w:adjustRightInd w:val="0"/>
        <w:snapToGrid w:val="0"/>
        <w:spacing w:before="0" w:after="0" w:line="560" w:lineRule="exact"/>
        <w:ind w:left="0" w:firstLine="640" w:firstLineChars="200"/>
        <w:jc w:val="left"/>
        <w:rPr>
          <w:rFonts w:ascii="仿宋_GB2312" w:hAnsi="仿宋_GB2312" w:eastAsia="仿宋_GB2312" w:cs="仿宋_GB2312"/>
          <w:b w:val="0"/>
          <w:bCs w:val="0"/>
          <w:sz w:val="32"/>
          <w:szCs w:val="32"/>
          <w:lang w:val="en-US"/>
        </w:rPr>
      </w:pPr>
      <w:r>
        <w:rPr>
          <w:rFonts w:hint="eastAsia" w:ascii="仿宋_GB2312" w:hAnsi="仿宋_GB2312" w:eastAsia="仿宋_GB2312" w:cs="仿宋_GB2312"/>
          <w:b w:val="0"/>
          <w:bCs w:val="0"/>
          <w:sz w:val="32"/>
          <w:szCs w:val="32"/>
          <w:lang w:eastAsia="zh-CN"/>
        </w:rPr>
        <w:t>组织机构</w:t>
      </w:r>
    </w:p>
    <w:p w14:paraId="1D63972E">
      <w:pPr>
        <w:keepNext w:val="0"/>
        <w:keepLines w:val="0"/>
        <w:pageBreakBefore w:val="0"/>
        <w:widowControl w:val="0"/>
        <w:kinsoku/>
        <w:wordWrap/>
        <w:overflowPunct/>
        <w:topLinePunct w:val="0"/>
        <w:autoSpaceDE/>
        <w:autoSpaceDN/>
        <w:adjustRightInd w:val="0"/>
        <w:snapToGrid w:val="0"/>
        <w:spacing w:before="0" w:after="0" w:line="560" w:lineRule="exact"/>
        <w:ind w:left="0" w:firstLine="640" w:firstLineChars="200"/>
        <w:jc w:val="center"/>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部门机构设置情况</w:t>
      </w:r>
    </w:p>
    <w:tbl>
      <w:tblPr>
        <w:tblStyle w:val="7"/>
        <w:tblW w:w="9042" w:type="dxa"/>
        <w:tblInd w:w="1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1900"/>
        <w:gridCol w:w="2283"/>
        <w:gridCol w:w="2356"/>
      </w:tblGrid>
      <w:tr w14:paraId="6EBB1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trPr>
        <w:tc>
          <w:tcPr>
            <w:tcW w:w="2503" w:type="dxa"/>
            <w:vAlign w:val="center"/>
          </w:tcPr>
          <w:p w14:paraId="1BE869F8">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单位名称</w:t>
            </w:r>
          </w:p>
        </w:tc>
        <w:tc>
          <w:tcPr>
            <w:tcW w:w="1900" w:type="dxa"/>
            <w:vAlign w:val="center"/>
          </w:tcPr>
          <w:p w14:paraId="5E69CD7A">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单位性质</w:t>
            </w:r>
          </w:p>
        </w:tc>
        <w:tc>
          <w:tcPr>
            <w:tcW w:w="2283" w:type="dxa"/>
            <w:vAlign w:val="center"/>
          </w:tcPr>
          <w:p w14:paraId="4BE9036C">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单位规格</w:t>
            </w:r>
          </w:p>
        </w:tc>
        <w:tc>
          <w:tcPr>
            <w:tcW w:w="2356" w:type="dxa"/>
            <w:vAlign w:val="center"/>
          </w:tcPr>
          <w:p w14:paraId="43F6A2A1">
            <w:pPr>
              <w:pStyle w:val="13"/>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经费保障形式</w:t>
            </w:r>
          </w:p>
        </w:tc>
      </w:tr>
      <w:tr w14:paraId="2DFC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605" w:hRule="atLeast"/>
        </w:trPr>
        <w:tc>
          <w:tcPr>
            <w:tcW w:w="2503" w:type="dxa"/>
            <w:vAlign w:val="center"/>
          </w:tcPr>
          <w:p w14:paraId="1B3384BE">
            <w:pPr>
              <w:pStyle w:val="14"/>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石家庄市藁城区工商业联合会本级</w:t>
            </w:r>
          </w:p>
        </w:tc>
        <w:tc>
          <w:tcPr>
            <w:tcW w:w="1900" w:type="dxa"/>
            <w:tcBorders>
              <w:left w:val="single" w:color="000000" w:sz="6" w:space="0"/>
            </w:tcBorders>
            <w:vAlign w:val="center"/>
          </w:tcPr>
          <w:p w14:paraId="34F94C7D">
            <w:pPr>
              <w:pStyle w:val="15"/>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行政</w:t>
            </w:r>
          </w:p>
        </w:tc>
        <w:tc>
          <w:tcPr>
            <w:tcW w:w="2283" w:type="dxa"/>
            <w:tcBorders>
              <w:left w:val="single" w:color="000000" w:sz="6" w:space="0"/>
            </w:tcBorders>
            <w:vAlign w:val="center"/>
          </w:tcPr>
          <w:p w14:paraId="12FBDD46">
            <w:pPr>
              <w:pStyle w:val="15"/>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正科级</w:t>
            </w:r>
          </w:p>
        </w:tc>
        <w:tc>
          <w:tcPr>
            <w:tcW w:w="2356" w:type="dxa"/>
            <w:tcBorders>
              <w:left w:val="single" w:color="000000" w:sz="6" w:space="0"/>
            </w:tcBorders>
            <w:vAlign w:val="center"/>
          </w:tcPr>
          <w:p w14:paraId="5B1BC3C4">
            <w:pPr>
              <w:pStyle w:val="15"/>
              <w:keepNext w:val="0"/>
              <w:keepLines w:val="0"/>
              <w:pageBreakBefore w:val="0"/>
              <w:widowControl w:val="0"/>
              <w:kinsoku/>
              <w:wordWrap/>
              <w:overflowPunct/>
              <w:topLinePunct w:val="0"/>
              <w:autoSpaceDE/>
              <w:autoSpaceDN/>
              <w:bidi w:val="0"/>
              <w:adjustRightInd w:val="0"/>
              <w:snapToGrid w:val="0"/>
              <w:spacing w:line="560" w:lineRule="exact"/>
              <w:ind w:left="0" w:firstLine="0"/>
              <w:textAlignment w:val="auto"/>
              <w:rPr>
                <w:rFonts w:hint="eastAsia" w:ascii="仿宋_GB2312" w:hAnsi="仿宋_GB2312" w:eastAsia="仿宋_GB2312" w:cs="仿宋_GB2312"/>
                <w:b w:val="0"/>
                <w:bCs w:val="0"/>
                <w:sz w:val="28"/>
                <w:szCs w:val="28"/>
              </w:rPr>
            </w:pPr>
            <w:r>
              <w:rPr>
                <w:rFonts w:hint="eastAsia" w:ascii="仿宋_GB2312" w:hAnsi="仿宋_GB2312" w:eastAsia="仿宋_GB2312" w:cs="仿宋_GB2312"/>
                <w:b w:val="0"/>
                <w:bCs w:val="0"/>
                <w:sz w:val="28"/>
                <w:szCs w:val="28"/>
              </w:rPr>
              <w:t>财政拨款</w:t>
            </w:r>
          </w:p>
        </w:tc>
      </w:tr>
    </w:tbl>
    <w:p w14:paraId="2B4659D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23F7127D">
      <w:pPr>
        <w:pStyle w:val="12"/>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yellow"/>
        </w:rPr>
      </w:pPr>
      <w:r>
        <w:rPr>
          <w:rFonts w:hint="eastAsia" w:ascii="仿宋_GB2312" w:hAnsi="Times New Roman" w:eastAsia="仿宋_GB2312" w:cs="DengXian-Regular"/>
          <w:sz w:val="32"/>
          <w:szCs w:val="32"/>
        </w:rPr>
        <w:t>本部门202</w:t>
      </w:r>
      <w:r>
        <w:rPr>
          <w:rFonts w:ascii="仿宋_GB2312" w:eastAsia="仿宋_GB2312" w:cs="DengXian-Regular"/>
          <w:sz w:val="32"/>
          <w:szCs w:val="32"/>
          <w:lang w:val="en-US" w:eastAsia="zh-CN"/>
        </w:rPr>
        <w:t>4</w:t>
      </w:r>
      <w:r>
        <w:rPr>
          <w:rFonts w:hint="eastAsia" w:ascii="仿宋_GB2312" w:hAnsi="Times New Roman" w:eastAsia="仿宋_GB2312" w:cs="DengXian-Regular"/>
          <w:sz w:val="32"/>
          <w:szCs w:val="32"/>
        </w:rPr>
        <w:t>年度财政拨款本年收入</w:t>
      </w:r>
      <w:r>
        <w:rPr>
          <w:rFonts w:ascii="仿宋_GB2312" w:eastAsia="仿宋_GB2312" w:cs="DengXian-Regular"/>
          <w:sz w:val="32"/>
          <w:szCs w:val="32"/>
          <w:highlight w:val="none"/>
          <w:lang w:val="en-US" w:eastAsia="zh-CN"/>
        </w:rPr>
        <w:t>118.48</w:t>
      </w:r>
      <w:r>
        <w:rPr>
          <w:rFonts w:hint="eastAsia" w:ascii="仿宋_GB2312" w:hAnsi="Times New Roman" w:eastAsia="仿宋_GB2312" w:cs="DengXian-Regular"/>
          <w:sz w:val="32"/>
          <w:szCs w:val="32"/>
        </w:rPr>
        <w:t>万元，比年初预算</w:t>
      </w:r>
      <w:r>
        <w:rPr>
          <w:rFonts w:hint="eastAsia" w:ascii="仿宋_GB2312" w:eastAsia="仿宋_GB2312" w:cs="DengXian-Regular"/>
          <w:sz w:val="32"/>
          <w:szCs w:val="32"/>
          <w:lang w:val="en-US" w:eastAsia="zh-CN"/>
        </w:rPr>
        <w:t>减少</w:t>
      </w:r>
      <w:r>
        <w:rPr>
          <w:rFonts w:ascii="仿宋_GB2312" w:eastAsia="仿宋_GB2312" w:cs="DengXian-Regular"/>
          <w:sz w:val="32"/>
          <w:szCs w:val="32"/>
          <w:lang w:val="en-US" w:eastAsia="zh-CN"/>
        </w:rPr>
        <w:t>19.5</w:t>
      </w:r>
      <w:r>
        <w:rPr>
          <w:rFonts w:hint="eastAsia" w:ascii="仿宋_GB2312" w:hAnsi="Times New Roman" w:eastAsia="仿宋_GB2312" w:cs="DengXian-Regular"/>
          <w:sz w:val="32"/>
          <w:szCs w:val="32"/>
        </w:rPr>
        <w:t>万元，主要原因是</w:t>
      </w:r>
      <w:r>
        <w:rPr>
          <w:rFonts w:ascii="仿宋_GB2312" w:eastAsia="仿宋_GB2312" w:cs="DengXian-Regular"/>
          <w:sz w:val="32"/>
          <w:szCs w:val="32"/>
          <w:lang w:val="en-US" w:eastAsia="zh-CN"/>
        </w:rPr>
        <w:t>人员减少</w:t>
      </w:r>
      <w:r>
        <w:rPr>
          <w:rFonts w:hint="eastAsia" w:ascii="仿宋_GB2312" w:hAnsi="Times New Roman" w:eastAsia="仿宋_GB2312" w:cs="DengXian-Regular"/>
          <w:sz w:val="32"/>
          <w:szCs w:val="32"/>
        </w:rPr>
        <w:t>；本年支出</w:t>
      </w:r>
      <w:r>
        <w:rPr>
          <w:rFonts w:ascii="仿宋_GB2312" w:eastAsia="仿宋_GB2312" w:cs="DengXian-Regular"/>
          <w:sz w:val="32"/>
          <w:szCs w:val="32"/>
          <w:highlight w:val="none"/>
          <w:lang w:val="en-US" w:eastAsia="zh-CN"/>
        </w:rPr>
        <w:t>118.48</w:t>
      </w:r>
      <w:r>
        <w:rPr>
          <w:rFonts w:hint="eastAsia" w:ascii="仿宋_GB2312" w:hAnsi="Times New Roman" w:eastAsia="仿宋_GB2312" w:cs="DengXian-Regular"/>
          <w:sz w:val="32"/>
          <w:szCs w:val="32"/>
        </w:rPr>
        <w:t>万元，比年初预算</w:t>
      </w:r>
      <w:r>
        <w:rPr>
          <w:rFonts w:hint="eastAsia" w:ascii="仿宋_GB2312" w:eastAsia="仿宋_GB2312" w:cs="DengXian-Regular"/>
          <w:sz w:val="32"/>
          <w:szCs w:val="32"/>
          <w:lang w:val="en-US" w:eastAsia="zh-CN"/>
        </w:rPr>
        <w:t>减少</w:t>
      </w:r>
      <w:r>
        <w:rPr>
          <w:rFonts w:ascii="仿宋_GB2312" w:eastAsia="仿宋_GB2312" w:cs="DengXian-Regular"/>
          <w:sz w:val="32"/>
          <w:szCs w:val="32"/>
          <w:lang w:val="en-US" w:eastAsia="zh-CN"/>
        </w:rPr>
        <w:t>19.5</w:t>
      </w:r>
      <w:r>
        <w:rPr>
          <w:rFonts w:hint="eastAsia" w:ascii="仿宋_GB2312" w:hAnsi="Times New Roman" w:eastAsia="仿宋_GB2312" w:cs="DengXian-Regular"/>
          <w:sz w:val="32"/>
          <w:szCs w:val="32"/>
        </w:rPr>
        <w:t>万元，主要原因</w:t>
      </w:r>
      <w:bookmarkStart w:id="0" w:name="_GoBack"/>
      <w:bookmarkEnd w:id="0"/>
      <w:r>
        <w:rPr>
          <w:rFonts w:hint="eastAsia" w:ascii="仿宋_GB2312" w:hAnsi="Times New Roman" w:eastAsia="仿宋_GB2312" w:cs="DengXian-Regular"/>
          <w:sz w:val="32"/>
          <w:szCs w:val="32"/>
        </w:rPr>
        <w:t>是</w:t>
      </w:r>
      <w:r>
        <w:rPr>
          <w:rFonts w:ascii="仿宋_GB2312" w:eastAsia="仿宋_GB2312" w:cs="DengXian-Regular"/>
          <w:sz w:val="32"/>
          <w:szCs w:val="32"/>
          <w:lang w:val="en-US" w:eastAsia="zh-CN"/>
        </w:rPr>
        <w:t>人员减少</w:t>
      </w:r>
      <w:r>
        <w:rPr>
          <w:rFonts w:hint="eastAsia" w:ascii="仿宋_GB2312" w:hAnsi="Times New Roman" w:eastAsia="仿宋_GB2312" w:cs="DengXian-Regular"/>
          <w:sz w:val="32"/>
          <w:szCs w:val="32"/>
        </w:rPr>
        <w:t>。</w:t>
      </w:r>
    </w:p>
    <w:p w14:paraId="691FFA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25B1FB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51D97635">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03FF5A66">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成立预算绩效评价小组。为保证绩效评价工作顺利开展，</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成立了绩效评价小组，负责绩效评价的组织管理等工作。</w:t>
      </w:r>
    </w:p>
    <w:p w14:paraId="59D49F6F">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二</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组织开展自评。</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按照要求整理相关数据和资料，对部门综合绩效情况进行自我评价，由绩效评价领导小组牵头，对20</w:t>
      </w:r>
      <w:r>
        <w:rPr>
          <w:rFonts w:hint="eastAsia" w:ascii="仿宋_GB2312" w:hAnsi="仿宋_GB2312" w:eastAsia="仿宋_GB2312" w:cs="仿宋_GB2312"/>
          <w:b w:val="0"/>
          <w:bCs w:val="0"/>
          <w:sz w:val="32"/>
          <w:szCs w:val="32"/>
          <w:lang w:val="en-US" w:eastAsia="zh-CN"/>
        </w:rPr>
        <w:t>2</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年财政支出项目开展了自评，逐个项目填报了《预算项目自评表》，并撰写《20</w:t>
      </w:r>
      <w:r>
        <w:rPr>
          <w:rFonts w:hint="eastAsia" w:ascii="仿宋_GB2312" w:hAnsi="仿宋_GB2312" w:eastAsia="仿宋_GB2312" w:cs="仿宋_GB2312"/>
          <w:b w:val="0"/>
          <w:bCs w:val="0"/>
          <w:sz w:val="32"/>
          <w:szCs w:val="32"/>
          <w:lang w:val="en-US" w:eastAsia="zh-CN"/>
        </w:rPr>
        <w:t>2</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年度</w:t>
      </w:r>
      <w:r>
        <w:rPr>
          <w:rFonts w:hint="eastAsia" w:ascii="仿宋_GB2312" w:hAnsi="仿宋_GB2312" w:eastAsia="仿宋_GB2312" w:cs="仿宋_GB2312"/>
          <w:b w:val="0"/>
          <w:bCs w:val="0"/>
          <w:sz w:val="32"/>
          <w:szCs w:val="32"/>
          <w:lang w:eastAsia="zh-CN"/>
        </w:rPr>
        <w:t>部门整体</w:t>
      </w:r>
      <w:r>
        <w:rPr>
          <w:rFonts w:hint="eastAsia" w:ascii="仿宋_GB2312" w:hAnsi="仿宋_GB2312" w:eastAsia="仿宋_GB2312" w:cs="仿宋_GB2312"/>
          <w:b w:val="0"/>
          <w:bCs w:val="0"/>
          <w:sz w:val="32"/>
          <w:szCs w:val="32"/>
        </w:rPr>
        <w:t>绩效自评工作报告》。</w:t>
      </w:r>
    </w:p>
    <w:p w14:paraId="072D34D2">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）藁城区</w:t>
      </w:r>
      <w:r>
        <w:rPr>
          <w:rFonts w:hint="eastAsia" w:ascii="仿宋_GB2312" w:hAnsi="仿宋_GB2312" w:eastAsia="仿宋_GB2312" w:cs="仿宋_GB2312"/>
          <w:b w:val="0"/>
          <w:bCs w:val="0"/>
          <w:sz w:val="32"/>
          <w:szCs w:val="32"/>
          <w:lang w:val="en-US" w:eastAsia="zh-CN"/>
        </w:rPr>
        <w:t>工商联</w:t>
      </w:r>
      <w:r>
        <w:rPr>
          <w:rFonts w:hint="eastAsia" w:ascii="仿宋_GB2312" w:hAnsi="仿宋_GB2312" w:eastAsia="仿宋_GB2312" w:cs="仿宋_GB2312"/>
          <w:b w:val="0"/>
          <w:bCs w:val="0"/>
          <w:sz w:val="32"/>
          <w:szCs w:val="32"/>
        </w:rPr>
        <w:t>执行</w:t>
      </w:r>
      <w:r>
        <w:rPr>
          <w:rFonts w:hint="eastAsia" w:ascii="仿宋_GB2312" w:hAnsi="仿宋_GB2312" w:eastAsia="仿宋_GB2312" w:cs="仿宋_GB2312"/>
          <w:b w:val="0"/>
          <w:bCs w:val="0"/>
          <w:sz w:val="32"/>
          <w:szCs w:val="32"/>
          <w:lang w:eastAsia="zh-CN"/>
        </w:rPr>
        <w:t>财务</w:t>
      </w:r>
      <w:r>
        <w:rPr>
          <w:rFonts w:hint="eastAsia" w:ascii="仿宋_GB2312" w:hAnsi="仿宋_GB2312" w:eastAsia="仿宋_GB2312" w:cs="仿宋_GB2312"/>
          <w:b w:val="0"/>
          <w:bCs w:val="0"/>
          <w:sz w:val="32"/>
          <w:szCs w:val="32"/>
        </w:rPr>
        <w:t>制度和管理规定，按时完成预算执行进度，严格控制、合理利用各项经费，按要求进行预算管理。</w:t>
      </w:r>
    </w:p>
    <w:p w14:paraId="21B5A67F">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08D0CBC7">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56247D6">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b w:val="0"/>
          <w:bCs w:val="0"/>
          <w:sz w:val="32"/>
          <w:szCs w:val="32"/>
        </w:rPr>
        <w:t>藁城区工商联坚持以习近平新时代中国特色社会主义思想为指导，认真学习贯彻党的</w:t>
      </w:r>
      <w:r>
        <w:rPr>
          <w:rFonts w:hint="eastAsia" w:ascii="仿宋_GB2312" w:hAnsi="仿宋_GB2312" w:eastAsia="仿宋_GB2312" w:cs="仿宋_GB2312"/>
          <w:b w:val="0"/>
          <w:bCs w:val="0"/>
          <w:sz w:val="32"/>
          <w:szCs w:val="32"/>
          <w:lang w:val="en-US" w:eastAsia="zh-CN"/>
        </w:rPr>
        <w:t>二十大</w:t>
      </w:r>
      <w:r>
        <w:rPr>
          <w:rFonts w:hint="eastAsia" w:ascii="仿宋_GB2312" w:hAnsi="仿宋_GB2312" w:eastAsia="仿宋_GB2312" w:cs="仿宋_GB2312"/>
          <w:b w:val="0"/>
          <w:bCs w:val="0"/>
          <w:sz w:val="32"/>
          <w:szCs w:val="32"/>
        </w:rPr>
        <w:t>精神，深入学习贯彻习近平总书记关于新时代民营经济统战工作和工商联工作重要指示精神，坚持以区委、区政府的中心工作为指导，紧紧围绕区工商联的中心工作，立足服务民营企业，服务地方经济发展大局，积极发挥桥梁纽带和助手作用，优化服务机制，不断拓展工商联工作领域，以积极拼搏的精神状态、昂扬向上的工作作风、奋发有为的工作举措，在促进我区民营经济健康发展、民营经济人士健康成长等方面开展一系列服务活动，使工商联的凝聚力、号召力，社会影响力显著提高，实现为我区的经济建设和社会发展服务的目标。</w:t>
      </w:r>
    </w:p>
    <w:p w14:paraId="3438E4B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 w:hAnsi="楷体" w:eastAsia="楷体"/>
          <w:bCs/>
          <w:sz w:val="32"/>
          <w:szCs w:val="32"/>
        </w:rPr>
      </w:pPr>
      <w:r>
        <w:rPr>
          <w:rFonts w:hint="eastAsia" w:ascii="楷体_GB2312" w:hAnsi="楷体_GB2312" w:eastAsia="楷体_GB2312" w:cs="楷体_GB2312"/>
          <w:bCs/>
          <w:sz w:val="32"/>
          <w:szCs w:val="32"/>
        </w:rPr>
        <w:t>（二）分项绩效目标实现情况及指标分析</w:t>
      </w:r>
    </w:p>
    <w:p w14:paraId="4BAE1697">
      <w:pPr>
        <w:pStyle w:val="17"/>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为民营企业提供各种培训和服务。</w:t>
      </w:r>
    </w:p>
    <w:p w14:paraId="3DC3E5E1">
      <w:pPr>
        <w:pStyle w:val="17"/>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结合民营经济发展需要，举办研修班和各种类型的培训活动，采取多种途径为企业发展提供法律、金融、经贸、科技等服务，引导企业履行社会责任。</w:t>
      </w:r>
      <w:r>
        <w:rPr>
          <w:rFonts w:hint="eastAsia" w:ascii="仿宋_GB2312" w:hAnsi="仿宋_GB2312" w:eastAsia="仿宋_GB2312" w:cs="仿宋_GB2312"/>
          <w:b w:val="0"/>
          <w:bCs w:val="0"/>
          <w:sz w:val="32"/>
          <w:szCs w:val="32"/>
          <w:lang w:val="en-US" w:eastAsia="zh-CN"/>
        </w:rPr>
        <w:t>202</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val="en-US" w:eastAsia="zh-CN"/>
        </w:rPr>
        <w:t>年</w:t>
      </w:r>
      <w:r>
        <w:rPr>
          <w:rFonts w:hint="eastAsia" w:ascii="仿宋_GB2312" w:hAnsi="仿宋_GB2312" w:eastAsia="仿宋_GB2312" w:cs="仿宋_GB2312"/>
          <w:b w:val="0"/>
          <w:bCs w:val="0"/>
          <w:sz w:val="32"/>
          <w:szCs w:val="32"/>
        </w:rPr>
        <w:t>组织各类培训、服务</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rPr>
        <w:t>次。</w:t>
      </w:r>
    </w:p>
    <w:p w14:paraId="02965CE5">
      <w:pPr>
        <w:pStyle w:val="17"/>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深入企业调研了解民营企业发展状况。</w:t>
      </w:r>
    </w:p>
    <w:p w14:paraId="31FDCB60">
      <w:pPr>
        <w:pStyle w:val="17"/>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开展民企大走访活动，通过对民企集中走访座谈调研，切实为企业解决生产、经营中遇到的各类问题。</w:t>
      </w:r>
      <w:r>
        <w:rPr>
          <w:rFonts w:hint="eastAsia" w:ascii="仿宋_GB2312" w:hAnsi="仿宋_GB2312" w:eastAsia="仿宋_GB2312" w:cs="仿宋_GB2312"/>
          <w:b w:val="0"/>
          <w:bCs w:val="0"/>
          <w:sz w:val="32"/>
          <w:szCs w:val="32"/>
          <w:lang w:val="en-US" w:eastAsia="zh-CN"/>
        </w:rPr>
        <w:t>202</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val="en-US" w:eastAsia="zh-CN"/>
        </w:rPr>
        <w:t>年</w:t>
      </w:r>
      <w:r>
        <w:rPr>
          <w:rFonts w:hint="eastAsia" w:ascii="仿宋_GB2312" w:hAnsi="仿宋_GB2312" w:eastAsia="仿宋_GB2312" w:cs="仿宋_GB2312"/>
          <w:b w:val="0"/>
          <w:bCs w:val="0"/>
          <w:sz w:val="32"/>
          <w:szCs w:val="32"/>
        </w:rPr>
        <w:t>深入企业</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商会</w:t>
      </w:r>
      <w:r>
        <w:rPr>
          <w:rFonts w:hint="eastAsia" w:ascii="仿宋_GB2312" w:hAnsi="仿宋_GB2312" w:eastAsia="仿宋_GB2312" w:cs="仿宋_GB2312"/>
          <w:b w:val="0"/>
          <w:bCs w:val="0"/>
          <w:sz w:val="32"/>
          <w:szCs w:val="32"/>
        </w:rPr>
        <w:t>调研不少于</w:t>
      </w:r>
      <w:r>
        <w:rPr>
          <w:rFonts w:ascii="仿宋_GB2312" w:hAnsi="仿宋_GB2312" w:eastAsia="仿宋_GB2312" w:cs="仿宋_GB2312"/>
          <w:b w:val="0"/>
          <w:bCs w:val="0"/>
          <w:sz w:val="32"/>
          <w:szCs w:val="32"/>
          <w:lang w:val="en-US" w:eastAsia="zh-CN"/>
        </w:rPr>
        <w:t>13</w:t>
      </w:r>
      <w:r>
        <w:rPr>
          <w:rFonts w:hint="eastAsia" w:ascii="仿宋_GB2312" w:hAnsi="仿宋_GB2312" w:eastAsia="仿宋_GB2312" w:cs="仿宋_GB2312"/>
          <w:b w:val="0"/>
          <w:bCs w:val="0"/>
          <w:sz w:val="32"/>
          <w:szCs w:val="32"/>
        </w:rPr>
        <w:t>次。</w:t>
      </w:r>
    </w:p>
    <w:p w14:paraId="6E4F2F24">
      <w:pPr>
        <w:pStyle w:val="17"/>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做好非公有制经济人士理想信念教育工作。</w:t>
      </w:r>
    </w:p>
    <w:p w14:paraId="2C47C4FB">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深化民营经济人士理想信念实践教育，加大对民营经济人士特别是新生代民营经济人士的理想信念实践教育，提高思想政治觉悟。</w:t>
      </w:r>
      <w:r>
        <w:rPr>
          <w:rFonts w:hint="eastAsia" w:ascii="仿宋_GB2312" w:hAnsi="仿宋_GB2312" w:eastAsia="仿宋_GB2312" w:cs="仿宋_GB2312"/>
          <w:b w:val="0"/>
          <w:bCs w:val="0"/>
          <w:sz w:val="32"/>
          <w:szCs w:val="32"/>
          <w:lang w:val="en-US" w:eastAsia="zh-CN"/>
        </w:rPr>
        <w:t>202</w:t>
      </w:r>
      <w:r>
        <w:rPr>
          <w:rFonts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val="en-US" w:eastAsia="zh-CN"/>
        </w:rPr>
        <w:t>年</w:t>
      </w:r>
      <w:r>
        <w:rPr>
          <w:rFonts w:hint="eastAsia" w:ascii="仿宋_GB2312" w:hAnsi="仿宋_GB2312" w:eastAsia="仿宋_GB2312" w:cs="仿宋_GB2312"/>
          <w:b w:val="0"/>
          <w:bCs w:val="0"/>
          <w:sz w:val="32"/>
          <w:szCs w:val="32"/>
        </w:rPr>
        <w:t>开展理想信念教育活动</w:t>
      </w:r>
      <w:r>
        <w:rPr>
          <w:rFonts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次。</w:t>
      </w:r>
    </w:p>
    <w:p w14:paraId="02979623">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5640A1E9">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ascii="仿宋_GB2312" w:hAnsi="仿宋_GB2312" w:eastAsia="仿宋_GB2312" w:cs="仿宋_GB2312"/>
          <w:sz w:val="32"/>
          <w:szCs w:val="32"/>
          <w:shd w:val="clear" w:color="auto" w:fill="auto"/>
        </w:rPr>
      </w:pPr>
      <w:r>
        <w:rPr>
          <w:rFonts w:hint="eastAsia" w:ascii="仿宋_GB2312" w:hAnsi="仿宋_GB2312" w:eastAsia="仿宋_GB2312" w:cs="仿宋_GB2312"/>
          <w:sz w:val="32"/>
          <w:szCs w:val="32"/>
          <w:shd w:val="clear" w:color="auto" w:fill="auto"/>
        </w:rPr>
        <w:t>预算执行情况：执委活动经费项目年初预算4万元，实际支出3.7275万元，预算执行率93.19%。根据指标体系评分9.3分。</w:t>
      </w:r>
    </w:p>
    <w:p w14:paraId="567709A1">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shd w:val="clear" w:color="auto" w:fill="auto"/>
        </w:rPr>
      </w:pPr>
      <w:r>
        <w:rPr>
          <w:rFonts w:hint="eastAsia" w:ascii="仿宋_GB2312" w:hAnsi="仿宋_GB2312" w:eastAsia="仿宋_GB2312" w:cs="仿宋_GB2312"/>
          <w:sz w:val="32"/>
          <w:szCs w:val="32"/>
          <w:shd w:val="clear" w:color="auto" w:fill="auto"/>
        </w:rPr>
        <w:t>项目产出：202</w:t>
      </w:r>
      <w:r>
        <w:rPr>
          <w:rFonts w:hint="eastAsia" w:ascii="仿宋_GB2312" w:hAnsi="仿宋_GB2312" w:eastAsia="仿宋_GB2312" w:cs="仿宋_GB2312"/>
          <w:sz w:val="32"/>
          <w:szCs w:val="32"/>
          <w:shd w:val="clear" w:color="auto" w:fill="auto"/>
          <w:lang w:val="en-US" w:eastAsia="zh-CN"/>
        </w:rPr>
        <w:t>4</w:t>
      </w:r>
      <w:r>
        <w:rPr>
          <w:rFonts w:hint="eastAsia" w:ascii="仿宋_GB2312" w:hAnsi="仿宋_GB2312" w:eastAsia="仿宋_GB2312" w:cs="仿宋_GB2312"/>
          <w:sz w:val="32"/>
          <w:szCs w:val="32"/>
          <w:shd w:val="clear" w:color="auto" w:fill="auto"/>
        </w:rPr>
        <w:t>年度执委活动经费项目已全部完成，实际完成率100%；执委活动工作稳定，达标率100%。根据指标体系评分40分。</w:t>
      </w:r>
    </w:p>
    <w:p w14:paraId="402ADA9C">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shd w:val="clear" w:color="auto" w:fill="auto"/>
        </w:rPr>
      </w:pPr>
      <w:r>
        <w:rPr>
          <w:rFonts w:hint="eastAsia" w:ascii="仿宋_GB2312" w:hAnsi="仿宋_GB2312" w:eastAsia="仿宋_GB2312" w:cs="仿宋_GB2312"/>
          <w:sz w:val="32"/>
          <w:szCs w:val="32"/>
          <w:shd w:val="clear" w:color="auto" w:fill="auto"/>
        </w:rPr>
        <w:t>项目效益：加强对民营经济人士的思想政治引领，提升民营企业家综合素质，促进民营企业发展。根据指标体系评分40分。</w:t>
      </w:r>
    </w:p>
    <w:p w14:paraId="50EF7DAD">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shd w:val="clear" w:color="auto" w:fill="auto"/>
        </w:rPr>
      </w:pPr>
      <w:r>
        <w:rPr>
          <w:rFonts w:hint="eastAsia" w:ascii="仿宋_GB2312" w:hAnsi="仿宋_GB2312" w:eastAsia="仿宋_GB2312" w:cs="仿宋_GB2312"/>
          <w:sz w:val="32"/>
          <w:szCs w:val="32"/>
          <w:shd w:val="clear" w:color="auto" w:fill="auto"/>
        </w:rPr>
        <w:t>满意度：</w:t>
      </w:r>
      <w:r>
        <w:rPr>
          <w:rFonts w:hint="eastAsia" w:ascii="仿宋_GB2312" w:hAnsi="仿宋_GB2312" w:eastAsia="仿宋_GB2312" w:cs="仿宋_GB2312"/>
          <w:sz w:val="32"/>
          <w:szCs w:val="32"/>
          <w:shd w:val="clear" w:color="auto" w:fill="auto"/>
          <w:lang w:val="en-US" w:eastAsia="zh-CN"/>
        </w:rPr>
        <w:t>满意率100%，</w:t>
      </w:r>
      <w:r>
        <w:rPr>
          <w:rFonts w:hint="eastAsia" w:ascii="仿宋_GB2312" w:hAnsi="仿宋_GB2312" w:eastAsia="仿宋_GB2312" w:cs="仿宋_GB2312"/>
          <w:sz w:val="32"/>
          <w:szCs w:val="32"/>
          <w:shd w:val="clear" w:color="auto" w:fill="auto"/>
        </w:rPr>
        <w:t>根据指标体系评分</w:t>
      </w:r>
      <w:r>
        <w:rPr>
          <w:rFonts w:hint="eastAsia" w:ascii="仿宋_GB2312" w:hAnsi="仿宋_GB2312" w:eastAsia="仿宋_GB2312" w:cs="仿宋_GB2312"/>
          <w:sz w:val="32"/>
          <w:szCs w:val="32"/>
          <w:shd w:val="clear" w:color="auto" w:fill="auto"/>
          <w:lang w:val="en-US" w:eastAsia="zh-CN"/>
        </w:rPr>
        <w:t>10</w:t>
      </w:r>
      <w:r>
        <w:rPr>
          <w:rFonts w:hint="eastAsia" w:ascii="仿宋_GB2312" w:hAnsi="仿宋_GB2312" w:eastAsia="仿宋_GB2312" w:cs="仿宋_GB2312"/>
          <w:sz w:val="32"/>
          <w:szCs w:val="32"/>
          <w:shd w:val="clear" w:color="auto" w:fill="auto"/>
        </w:rPr>
        <w:t>分。</w:t>
      </w:r>
    </w:p>
    <w:p w14:paraId="09AF70F5">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highlight w:val="none"/>
          <w:shd w:val="clear" w:color="auto" w:fill="auto"/>
          <w:lang w:eastAsia="zh-CN"/>
        </w:rPr>
      </w:pPr>
      <w:r>
        <w:rPr>
          <w:rFonts w:hint="eastAsia" w:ascii="仿宋_GB2312" w:hAnsi="仿宋_GB2312" w:eastAsia="仿宋_GB2312" w:cs="仿宋_GB2312"/>
          <w:sz w:val="32"/>
          <w:szCs w:val="32"/>
          <w:shd w:val="clear" w:color="auto" w:fill="auto"/>
        </w:rPr>
        <w:t>根据项目执行情况和项目绩效情况，给出总得分，指标体系设定满分100分，得出综合评价结论和项目综合绩效评价等级。总得分</w:t>
      </w:r>
      <w:r>
        <w:rPr>
          <w:rFonts w:hint="eastAsia" w:ascii="仿宋_GB2312" w:hAnsi="仿宋_GB2312" w:eastAsia="仿宋_GB2312" w:cs="仿宋_GB2312"/>
          <w:sz w:val="32"/>
          <w:szCs w:val="32"/>
          <w:shd w:val="clear" w:color="auto" w:fill="auto"/>
          <w:lang w:val="en-US" w:eastAsia="zh-CN"/>
        </w:rPr>
        <w:t>99.3</w:t>
      </w:r>
      <w:r>
        <w:rPr>
          <w:rFonts w:hint="eastAsia" w:ascii="仿宋_GB2312" w:hAnsi="仿宋_GB2312" w:eastAsia="仿宋_GB2312" w:cs="仿宋_GB2312"/>
          <w:sz w:val="32"/>
          <w:szCs w:val="32"/>
          <w:shd w:val="clear" w:color="auto" w:fill="auto"/>
        </w:rPr>
        <w:t>≥85分</w:t>
      </w:r>
      <w:r>
        <w:rPr>
          <w:rFonts w:hint="eastAsia" w:ascii="仿宋_GB2312" w:hAnsi="仿宋_GB2312" w:eastAsia="仿宋_GB2312" w:cs="仿宋_GB2312"/>
          <w:sz w:val="32"/>
          <w:szCs w:val="32"/>
          <w:shd w:val="clear" w:color="auto" w:fill="auto"/>
          <w:lang w:eastAsia="zh-CN"/>
        </w:rPr>
        <w:t>，</w:t>
      </w:r>
      <w:r>
        <w:rPr>
          <w:rFonts w:hint="eastAsia" w:ascii="仿宋_GB2312" w:hAnsi="仿宋_GB2312" w:eastAsia="仿宋_GB2312" w:cs="仿宋_GB2312"/>
          <w:sz w:val="32"/>
          <w:szCs w:val="32"/>
          <w:shd w:val="clear" w:color="auto" w:fill="auto"/>
        </w:rPr>
        <w:t>综合评价结论和项目综合绩效评价等级为优秀。</w:t>
      </w:r>
    </w:p>
    <w:p w14:paraId="53C4061F">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E822897">
      <w:pPr>
        <w:keepNext w:val="0"/>
        <w:keepLines w:val="0"/>
        <w:pageBreakBefore w:val="0"/>
        <w:widowControl w:val="0"/>
        <w:numPr>
          <w:ilvl w:val="0"/>
          <w:numId w:val="3"/>
        </w:numPr>
        <w:kinsoku/>
        <w:wordWrap/>
        <w:overflowPunct/>
        <w:topLinePunct w:val="0"/>
        <w:autoSpaceDE/>
        <w:autoSpaceDN/>
        <w:bidi w:val="0"/>
        <w:spacing w:line="560" w:lineRule="exact"/>
        <w:ind w:left="0"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存在的主要问题</w:t>
      </w:r>
    </w:p>
    <w:p w14:paraId="69F8A23D">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项目预算比较薄弱，预算的科学性不强，消弱了预算的约束控制力。</w:t>
      </w:r>
    </w:p>
    <w:p w14:paraId="32B91B2D">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ascii="楷体_GB2312" w:hAnsi="楷体_GB2312" w:eastAsia="楷体_GB2312" w:cs="楷体_GB2312"/>
          <w:bCs/>
          <w:sz w:val="32"/>
          <w:szCs w:val="32"/>
        </w:rPr>
      </w:pPr>
      <w:r>
        <w:rPr>
          <w:rFonts w:hint="eastAsia" w:ascii="楷体_GB2312" w:hAnsi="楷体_GB2312" w:eastAsia="楷体_GB2312" w:cs="楷体_GB2312"/>
          <w:bCs/>
          <w:sz w:val="32"/>
          <w:szCs w:val="32"/>
        </w:rPr>
        <w:t>（二）针对问题提出具体的改进措施或建议</w:t>
      </w:r>
    </w:p>
    <w:p w14:paraId="66A694F3">
      <w:pPr>
        <w:keepNext w:val="0"/>
        <w:keepLines w:val="0"/>
        <w:pageBreakBefore w:val="0"/>
        <w:widowControl w:val="0"/>
        <w:numPr>
          <w:ilvl w:val="0"/>
          <w:numId w:val="4"/>
        </w:numPr>
        <w:kinsoku/>
        <w:wordWrap/>
        <w:overflowPunct/>
        <w:topLinePunct w:val="0"/>
        <w:autoSpaceDE/>
        <w:autoSpaceDN/>
        <w:adjustRightInd w:val="0"/>
        <w:snapToGrid w:val="0"/>
        <w:spacing w:line="560" w:lineRule="exact"/>
        <w:ind w:left="0" w:firstLine="640" w:firstLineChars="200"/>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严格预算管理标准，提高预算绩效指标。2、认真做好前期预算执行准备工作，加强项目跟踪及项目支出执行管理，提高预算资金使用效率。</w:t>
      </w:r>
    </w:p>
    <w:p w14:paraId="000B7DE2">
      <w:pPr>
        <w:keepNext w:val="0"/>
        <w:keepLines w:val="0"/>
        <w:pageBreakBefore w:val="0"/>
        <w:widowControl w:val="0"/>
        <w:kinsoku/>
        <w:wordWrap/>
        <w:overflowPunct/>
        <w:topLinePunct w:val="0"/>
        <w:autoSpaceDE/>
        <w:autoSpaceDN/>
        <w:adjustRightInd w:val="0"/>
        <w:snapToGrid w:val="0"/>
        <w:spacing w:line="560" w:lineRule="exact"/>
        <w:ind w:left="640"/>
        <w:rPr>
          <w:rFonts w:hint="eastAsia" w:ascii="仿宋" w:hAnsi="仿宋" w:eastAsia="仿宋" w:cs="仿宋"/>
          <w:sz w:val="32"/>
          <w:szCs w:val="32"/>
        </w:rPr>
      </w:pPr>
    </w:p>
    <w:p w14:paraId="7A7FCCA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p w14:paraId="444A8BAD">
      <w:pPr>
        <w:keepNext w:val="0"/>
        <w:keepLines w:val="0"/>
        <w:pageBreakBefore w:val="0"/>
        <w:widowControl w:val="0"/>
        <w:kinsoku/>
        <w:wordWrap/>
        <w:overflowPunct/>
        <w:topLinePunct w:val="0"/>
        <w:autoSpaceDE/>
        <w:autoSpaceDN/>
        <w:adjustRightInd w:val="0"/>
        <w:snapToGrid w:val="0"/>
        <w:spacing w:line="560" w:lineRule="exact"/>
        <w:ind w:left="0" w:firstLine="640" w:firstLineChars="200"/>
        <w:rPr>
          <w:rFonts w:hint="eastAsia" w:ascii="黑体" w:hAnsi="黑体" w:eastAsia="黑体" w:cs="黑体"/>
          <w:sz w:val="32"/>
          <w:szCs w:val="32"/>
        </w:rPr>
      </w:pP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589"/>
        <w:gridCol w:w="2265"/>
        <w:gridCol w:w="2867"/>
      </w:tblGrid>
      <w:tr w14:paraId="0680A3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tcBorders>
              <w:top w:val="single" w:color="auto" w:sz="4" w:space="0"/>
              <w:left w:val="single" w:color="auto" w:sz="4" w:space="0"/>
              <w:bottom w:val="single" w:color="auto" w:sz="4" w:space="0"/>
              <w:right w:val="single" w:color="auto" w:sz="4" w:space="0"/>
            </w:tcBorders>
          </w:tcPr>
          <w:p w14:paraId="7FEB18BF">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工作单位</w:t>
            </w:r>
          </w:p>
        </w:tc>
        <w:tc>
          <w:tcPr>
            <w:tcW w:w="2265" w:type="dxa"/>
            <w:tcBorders>
              <w:top w:val="single" w:color="auto" w:sz="4" w:space="0"/>
              <w:left w:val="single" w:color="auto" w:sz="4" w:space="0"/>
              <w:bottom w:val="single" w:color="auto" w:sz="4" w:space="0"/>
              <w:right w:val="single" w:color="auto" w:sz="4" w:space="0"/>
            </w:tcBorders>
          </w:tcPr>
          <w:p w14:paraId="0D9A1C4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lang w:val="en-US" w:eastAsia="zh-CN"/>
              </w:rPr>
            </w:pPr>
            <w:r>
              <w:rPr>
                <w:rFonts w:hint="eastAsia" w:ascii="仿宋_GB2312" w:hAnsi="仿宋" w:eastAsia="仿宋_GB2312" w:cs="仿宋_GB2312"/>
                <w:sz w:val="32"/>
                <w:szCs w:val="32"/>
              </w:rPr>
              <w:t>职务</w:t>
            </w:r>
            <w:r>
              <w:rPr>
                <w:rFonts w:hint="eastAsia" w:ascii="仿宋_GB2312" w:hAnsi="仿宋" w:eastAsia="仿宋_GB2312" w:cs="仿宋_GB2312"/>
                <w:sz w:val="32"/>
                <w:szCs w:val="32"/>
                <w:lang w:val="en-US" w:eastAsia="zh-CN"/>
              </w:rPr>
              <w:t>/职称</w:t>
            </w:r>
          </w:p>
        </w:tc>
        <w:tc>
          <w:tcPr>
            <w:tcW w:w="2867" w:type="dxa"/>
            <w:tcBorders>
              <w:top w:val="single" w:color="auto" w:sz="4" w:space="0"/>
              <w:left w:val="single" w:color="auto" w:sz="4" w:space="0"/>
              <w:bottom w:val="single" w:color="auto" w:sz="4" w:space="0"/>
              <w:right w:val="single" w:color="auto" w:sz="4" w:space="0"/>
            </w:tcBorders>
          </w:tcPr>
          <w:p w14:paraId="143587B9">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姓名</w:t>
            </w:r>
          </w:p>
        </w:tc>
      </w:tr>
      <w:tr w14:paraId="7F6AE2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restart"/>
            <w:tcBorders>
              <w:top w:val="single" w:color="auto" w:sz="4" w:space="0"/>
              <w:left w:val="single" w:color="auto" w:sz="4" w:space="0"/>
              <w:right w:val="single" w:color="auto" w:sz="4" w:space="0"/>
            </w:tcBorders>
            <w:vAlign w:val="center"/>
          </w:tcPr>
          <w:p w14:paraId="49B1D6B9">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ascii="仿宋_GB2312" w:hAnsi="仿宋" w:eastAsia="仿宋_GB2312" w:cs="仿宋_GB2312"/>
                <w:sz w:val="32"/>
                <w:szCs w:val="32"/>
              </w:rPr>
              <w:t>区工商联</w:t>
            </w:r>
          </w:p>
        </w:tc>
        <w:tc>
          <w:tcPr>
            <w:tcW w:w="2265" w:type="dxa"/>
            <w:tcBorders>
              <w:top w:val="single" w:color="auto" w:sz="4" w:space="0"/>
              <w:left w:val="single" w:color="auto" w:sz="4" w:space="0"/>
              <w:bottom w:val="single" w:color="auto" w:sz="4" w:space="0"/>
              <w:right w:val="single" w:color="auto" w:sz="4" w:space="0"/>
            </w:tcBorders>
            <w:vAlign w:val="center"/>
          </w:tcPr>
          <w:p w14:paraId="716A66F3">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
                <w:sz w:val="24"/>
                <w:szCs w:val="24"/>
              </w:rPr>
              <w:t>党组书记、常务副主席</w:t>
            </w:r>
          </w:p>
        </w:tc>
        <w:tc>
          <w:tcPr>
            <w:tcW w:w="2867" w:type="dxa"/>
            <w:tcBorders>
              <w:top w:val="single" w:color="auto" w:sz="4" w:space="0"/>
              <w:left w:val="single" w:color="auto" w:sz="4" w:space="0"/>
              <w:bottom w:val="single" w:color="auto" w:sz="4" w:space="0"/>
              <w:right w:val="single" w:color="auto" w:sz="4" w:space="0"/>
            </w:tcBorders>
            <w:vAlign w:val="center"/>
          </w:tcPr>
          <w:p w14:paraId="211A5A29">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ascii="仿宋_GB2312" w:hAnsi="仿宋" w:eastAsia="仿宋_GB2312" w:cs="仿宋_GB2312"/>
                <w:sz w:val="32"/>
                <w:szCs w:val="32"/>
              </w:rPr>
              <w:t>程彦辉</w:t>
            </w:r>
          </w:p>
        </w:tc>
      </w:tr>
      <w:tr w14:paraId="132C4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89" w:type="dxa"/>
            <w:vMerge w:val="continue"/>
            <w:tcBorders>
              <w:top w:val="single" w:color="auto" w:sz="4" w:space="0"/>
              <w:left w:val="single" w:color="auto" w:sz="4" w:space="0"/>
              <w:bottom w:val="single" w:color="auto" w:sz="4" w:space="0"/>
              <w:right w:val="single" w:color="auto" w:sz="4" w:space="0"/>
            </w:tcBorders>
          </w:tcPr>
          <w:p w14:paraId="4A977E39"/>
        </w:tc>
        <w:tc>
          <w:tcPr>
            <w:tcW w:w="2265" w:type="dxa"/>
            <w:tcBorders>
              <w:top w:val="single" w:color="auto" w:sz="4" w:space="0"/>
              <w:left w:val="single" w:color="auto" w:sz="4" w:space="0"/>
              <w:bottom w:val="single" w:color="auto" w:sz="4" w:space="0"/>
              <w:right w:val="single" w:color="auto" w:sz="4" w:space="0"/>
            </w:tcBorders>
            <w:vAlign w:val="center"/>
          </w:tcPr>
          <w:p w14:paraId="0847FA2F">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hint="eastAsia" w:ascii="仿宋_GB2312" w:hAnsi="仿宋" w:eastAsia="仿宋_GB2312" w:cs="仿宋"/>
                <w:sz w:val="24"/>
                <w:szCs w:val="24"/>
              </w:rPr>
              <w:t>党组成员、</w:t>
            </w:r>
            <w:r>
              <w:rPr>
                <w:rFonts w:hint="eastAsia" w:ascii="仿宋_GB2312" w:hAnsi="仿宋" w:eastAsia="仿宋_GB2312" w:cs="仿宋"/>
                <w:sz w:val="24"/>
                <w:szCs w:val="24"/>
                <w:lang w:val="en-US" w:eastAsia="zh-CN"/>
              </w:rPr>
              <w:t>办公室主任</w:t>
            </w:r>
          </w:p>
        </w:tc>
        <w:tc>
          <w:tcPr>
            <w:tcW w:w="2867" w:type="dxa"/>
            <w:tcBorders>
              <w:top w:val="single" w:color="auto" w:sz="4" w:space="0"/>
              <w:left w:val="single" w:color="auto" w:sz="4" w:space="0"/>
              <w:bottom w:val="single" w:color="auto" w:sz="4" w:space="0"/>
              <w:right w:val="single" w:color="auto" w:sz="4" w:space="0"/>
            </w:tcBorders>
            <w:vAlign w:val="center"/>
          </w:tcPr>
          <w:p w14:paraId="072E6392">
            <w:pPr>
              <w:pBdr>
                <w:top w:val="none" w:color="auto" w:sz="0" w:space="0"/>
                <w:left w:val="none" w:color="auto" w:sz="0" w:space="0"/>
                <w:bottom w:val="none" w:color="auto" w:sz="0" w:space="0"/>
                <w:right w:val="none" w:color="auto" w:sz="0" w:space="0"/>
              </w:pBdr>
              <w:wordWrap/>
              <w:spacing w:line="560" w:lineRule="exact"/>
              <w:ind w:left="0"/>
              <w:jc w:val="center"/>
              <w:rPr>
                <w:rFonts w:hint="eastAsia" w:ascii="仿宋_GB2312" w:hAnsi="仿宋" w:eastAsia="仿宋_GB2312" w:cs="仿宋_GB2312"/>
                <w:sz w:val="32"/>
                <w:szCs w:val="32"/>
              </w:rPr>
            </w:pPr>
            <w:r>
              <w:rPr>
                <w:rFonts w:ascii="仿宋_GB2312" w:hAnsi="仿宋" w:eastAsia="仿宋_GB2312" w:cs="仿宋_GB2312"/>
                <w:sz w:val="32"/>
                <w:szCs w:val="32"/>
              </w:rPr>
              <w:t>李中力</w:t>
            </w:r>
          </w:p>
        </w:tc>
      </w:tr>
    </w:tbl>
    <w:p w14:paraId="66654942">
      <w:pPr>
        <w:keepNext w:val="0"/>
        <w:keepLines w:val="0"/>
        <w:pageBreakBefore w:val="0"/>
        <w:widowControl w:val="0"/>
        <w:kinsoku/>
        <w:wordWrap/>
        <w:overflowPunct/>
        <w:topLinePunct w:val="0"/>
        <w:autoSpaceDE/>
        <w:autoSpaceDN/>
        <w:bidi w:val="0"/>
        <w:adjustRightInd/>
        <w:snapToGrid w:val="0"/>
        <w:spacing w:line="560" w:lineRule="exact"/>
        <w:ind w:right="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简体">
    <w:altName w:val="方正舒体"/>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DengXian-Regular">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舒体">
    <w:panose1 w:val="02010601030101010101"/>
    <w:charset w:val="86"/>
    <w:family w:val="auto"/>
    <w:pitch w:val="default"/>
    <w:sig w:usb0="00000003"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75DFE">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222250" cy="153035"/>
              <wp:effectExtent l="0" t="0" r="0" b="0"/>
              <wp:wrapNone/>
              <wp:docPr id="1" name="Quad Arrow 3073"/>
              <wp:cNvGraphicFramePr/>
              <a:graphic xmlns:a="http://schemas.openxmlformats.org/drawingml/2006/main">
                <a:graphicData uri="http://schemas.microsoft.com/office/word/2010/wordprocessingShape">
                  <wps:wsp>
                    <wps:cNvSpPr/>
                    <wps:spPr>
                      <a:xfrm>
                        <a:off x="0" y="0"/>
                        <a:ext cx="222250" cy="153339"/>
                      </a:xfrm>
                      <a:prstGeom prst="rect">
                        <a:avLst/>
                      </a:prstGeom>
                      <a:noFill/>
                      <a:ln cap="flat" cmpd="sng">
                        <a:noFill/>
                        <a:prstDash val="solid"/>
                        <a:round/>
                      </a:ln>
                    </wps:spPr>
                    <wps:txbx>
                      <w:txbxContent>
                        <w:p w14:paraId="42A9556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05pt;width:17.5pt;mso-position-horizontal:center;mso-position-horizontal-relative:margin;mso-wrap-style:none;z-index:251659264;mso-width-relative:page;mso-height-relative:page;" filled="f" stroked="f" coordsize="21600,21600" o:gfxdata="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2&#10;F62z0QAAAAMBAAAPAAAAAAAAAAEAIAAAACIAAABkcnMvZG93bnJldi54bWxQSwECFAAUAAAACACH&#10;TuJA0KAS5/IBAADvAwAADgAAAAAAAAABACAAAAAgAQAAZHJzL2Uyb0RvYy54bWxQSwUGAAAAAAYA&#10;BgBZAQAAhAUAAAAA&#10;">
              <v:fill on="f" focussize="0,0"/>
              <v:stroke on="f" joinstyle="round"/>
              <v:imagedata o:title=""/>
              <o:lock v:ext="edit" aspectratio="f"/>
              <v:textbox inset="0mm,0mm,0mm,0mm" style="mso-fit-shape-to-text:t;">
                <w:txbxContent>
                  <w:p w14:paraId="42A95566">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288BE">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7098AC"/>
    <w:multiLevelType w:val="multilevel"/>
    <w:tmpl w:val="907098AC"/>
    <w:lvl w:ilvl="0" w:tentative="0">
      <w:start w:val="1"/>
      <w:numFmt w:val="decimal"/>
      <w:suff w:val="nothing"/>
      <w:lvlText w:val="%1、"/>
      <w:lvlJc w:val="left"/>
      <w:pPr>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98E0822F"/>
    <w:multiLevelType w:val="singleLevel"/>
    <w:tmpl w:val="98E0822F"/>
    <w:lvl w:ilvl="0" w:tentative="0">
      <w:start w:val="2"/>
      <w:numFmt w:val="chineseCounting"/>
      <w:suff w:val="nothing"/>
      <w:lvlText w:val="%1、"/>
      <w:lvlJc w:val="left"/>
      <w:rPr>
        <w:rFonts w:hint="eastAsia"/>
      </w:rPr>
    </w:lvl>
  </w:abstractNum>
  <w:abstractNum w:abstractNumId="2">
    <w:nsid w:val="330718AF"/>
    <w:multiLevelType w:val="singleLevel"/>
    <w:tmpl w:val="330718AF"/>
    <w:lvl w:ilvl="0" w:tentative="0">
      <w:start w:val="5"/>
      <w:numFmt w:val="chineseCounting"/>
      <w:suff w:val="nothing"/>
      <w:lvlText w:val="%1、"/>
      <w:lvlJc w:val="left"/>
      <w:rPr>
        <w:rFonts w:hint="eastAsia"/>
      </w:rPr>
    </w:lvl>
  </w:abstractNum>
  <w:abstractNum w:abstractNumId="3">
    <w:nsid w:val="4F81BF19"/>
    <w:multiLevelType w:val="multilevel"/>
    <w:tmpl w:val="4F81BF19"/>
    <w:lvl w:ilvl="0" w:tentative="0">
      <w:start w:val="1"/>
      <w:numFmt w:val="chineseCountingThousand"/>
      <w:lvlText w:val="（%1）"/>
      <w:lvlJc w:val="left"/>
      <w:pPr>
        <w:tabs>
          <w:tab w:val="left" w:pos="0"/>
        </w:tabs>
        <w:ind w:left="0" w:firstLine="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2B9B68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uiPriority w:val="0"/>
    <w:rPr>
      <w:rFonts w:ascii="Times New Roman" w:hAnsi="Times New Roman" w:eastAsia="宋体" w:cs="Times New Roman"/>
      <w:b/>
      <w:bCs/>
      <w:kern w:val="2"/>
      <w:sz w:val="32"/>
      <w:szCs w:val="32"/>
      <w:lang w:val="en-US" w:eastAsia="zh-CN" w:bidi="ar-SA"/>
    </w:rPr>
  </w:style>
  <w:style w:type="paragraph" w:customStyle="1" w:styleId="1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678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B4CBC1-D74E-418A-95A0-138037BB6DAE}">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6</Pages>
  <Words>2275</Words>
  <Characters>2366</Characters>
  <Lines>0</Lines>
  <Paragraphs>56</Paragraphs>
  <TotalTime>22</TotalTime>
  <ScaleCrop>false</ScaleCrop>
  <LinksUpToDate>false</LinksUpToDate>
  <CharactersWithSpaces>2366</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13323011735</cp:lastModifiedBy>
  <cp:lastPrinted>2021-02-24T05:43:00Z</cp:lastPrinted>
  <dcterms:modified xsi:type="dcterms:W3CDTF">2025-05-16T08:47:18Z</dcterms:modified>
  <dc:title>附件2： </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eyJoZGlkIjoiZWFiZDA5ODMyMjczYmM0MDUyYjk1NDhmMzg4ZjdmODkiLCJ1c2VySWQiOiIxNTUwMjQwMDk2In0=</vt:lpwstr>
  </property>
</Properties>
</file>