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60" w:lineRule="exact"/>
        <w:rPr>
          <w:rFonts w:ascii="仿宋" w:hAnsi="仿宋" w:eastAsia="仿宋" w:cs="仿宋"/>
          <w:kern w:val="0"/>
          <w:sz w:val="32"/>
          <w:szCs w:val="32"/>
        </w:rPr>
      </w:pPr>
    </w:p>
    <w:p>
      <w:pPr>
        <w:snapToGrid w:val="0"/>
        <w:spacing w:line="560" w:lineRule="exact"/>
        <w:jc w:val="center"/>
        <w:rPr>
          <w:rFonts w:ascii="宋体" w:hAnsi="宋体" w:cs="宋体"/>
          <w:b/>
          <w:bCs/>
          <w:kern w:val="0"/>
          <w:sz w:val="44"/>
          <w:szCs w:val="44"/>
        </w:rPr>
      </w:pPr>
      <w:r>
        <w:rPr>
          <w:rFonts w:hint="eastAsia" w:ascii="宋体" w:hAnsi="宋体" w:cs="宋体"/>
          <w:b/>
          <w:bCs/>
          <w:kern w:val="0"/>
          <w:sz w:val="44"/>
          <w:szCs w:val="44"/>
        </w:rPr>
        <w:t>石家庄市藁城区统计局</w:t>
      </w:r>
    </w:p>
    <w:p>
      <w:pPr>
        <w:snapToGrid w:val="0"/>
        <w:spacing w:line="560" w:lineRule="exact"/>
        <w:jc w:val="center"/>
        <w:rPr>
          <w:rFonts w:ascii="宋体" w:hAnsi="宋体" w:cs="宋体"/>
          <w:b/>
          <w:bCs/>
          <w:sz w:val="44"/>
          <w:szCs w:val="44"/>
        </w:rPr>
      </w:pPr>
      <w:r>
        <w:rPr>
          <w:rFonts w:hint="eastAsia" w:ascii="宋体" w:hAnsi="宋体" w:cs="宋体"/>
          <w:b/>
          <w:bCs/>
          <w:kern w:val="0"/>
          <w:sz w:val="44"/>
          <w:szCs w:val="44"/>
        </w:rPr>
        <w:t>202</w:t>
      </w:r>
      <w:r>
        <w:rPr>
          <w:rFonts w:hint="eastAsia" w:ascii="宋体" w:hAnsi="宋体" w:cs="宋体"/>
          <w:b/>
          <w:bCs/>
          <w:kern w:val="0"/>
          <w:sz w:val="44"/>
          <w:szCs w:val="44"/>
          <w:lang w:val="en-US" w:eastAsia="zh-CN"/>
        </w:rPr>
        <w:t>4</w:t>
      </w:r>
      <w:r>
        <w:rPr>
          <w:rFonts w:hint="eastAsia" w:ascii="宋体" w:hAnsi="宋体" w:cs="宋体"/>
          <w:b/>
          <w:bCs/>
          <w:kern w:val="0"/>
          <w:sz w:val="44"/>
          <w:szCs w:val="44"/>
        </w:rPr>
        <w:t>年度整体支出</w:t>
      </w:r>
      <w:r>
        <w:rPr>
          <w:rFonts w:hint="eastAsia" w:ascii="宋体" w:hAnsi="宋体" w:cs="宋体"/>
          <w:b/>
          <w:bCs/>
          <w:sz w:val="44"/>
          <w:szCs w:val="44"/>
        </w:rPr>
        <w:t>绩效自评工作报告</w:t>
      </w:r>
    </w:p>
    <w:p>
      <w:pPr>
        <w:snapToGrid w:val="0"/>
        <w:spacing w:line="560" w:lineRule="exact"/>
        <w:ind w:firstLine="640" w:firstLineChars="200"/>
        <w:rPr>
          <w:rFonts w:ascii="宋体" w:hAnsi="宋体" w:cs="宋体"/>
          <w:b/>
          <w:bCs/>
          <w:sz w:val="44"/>
          <w:szCs w:val="44"/>
        </w:rPr>
      </w:pPr>
      <w:r>
        <w:rPr>
          <w:rFonts w:hint="eastAsia" w:ascii="仿宋" w:hAnsi="仿宋" w:eastAsia="仿宋" w:cs="宋体"/>
          <w:sz w:val="32"/>
          <w:szCs w:val="32"/>
        </w:rPr>
        <w:t>为</w:t>
      </w:r>
      <w:r>
        <w:rPr>
          <w:rFonts w:hint="eastAsia" w:ascii="仿宋" w:hAnsi="仿宋" w:eastAsia="仿宋" w:cs="仿宋_GB2312"/>
          <w:sz w:val="32"/>
          <w:szCs w:val="32"/>
        </w:rPr>
        <w:t>进一步推进我区绩效预算管理工作，提高财政资金使用效益和财政管理科学化、精细化水平</w:t>
      </w:r>
      <w:r>
        <w:rPr>
          <w:rFonts w:hint="eastAsia" w:ascii="仿宋" w:hAnsi="仿宋" w:eastAsia="仿宋" w:cs="宋体"/>
          <w:sz w:val="32"/>
          <w:szCs w:val="32"/>
        </w:rPr>
        <w:t>，</w:t>
      </w:r>
      <w:r>
        <w:rPr>
          <w:rFonts w:hint="eastAsia" w:ascii="仿宋" w:hAnsi="仿宋" w:eastAsia="仿宋" w:cs="仿宋_GB2312"/>
          <w:sz w:val="32"/>
          <w:szCs w:val="32"/>
        </w:rPr>
        <w:t>根据</w:t>
      </w:r>
      <w:r>
        <w:rPr>
          <w:rFonts w:hint="eastAsia" w:ascii="仿宋" w:hAnsi="仿宋" w:eastAsia="仿宋" w:cs="宋体"/>
          <w:sz w:val="32"/>
          <w:szCs w:val="32"/>
        </w:rPr>
        <w:t>《石家庄市藁城区区级部门预算项目绩效自评管理办法》（藁财字</w:t>
      </w:r>
      <w:r>
        <w:rPr>
          <w:rFonts w:hint="eastAsia" w:ascii="仿宋" w:hAnsi="仿宋" w:eastAsia="仿宋" w:cs="仿宋"/>
          <w:sz w:val="32"/>
          <w:szCs w:val="32"/>
        </w:rPr>
        <w:t>〔2020〕23号</w:t>
      </w:r>
      <w:r>
        <w:rPr>
          <w:rFonts w:hint="eastAsia" w:ascii="仿宋" w:hAnsi="仿宋" w:eastAsia="仿宋" w:cs="宋体"/>
          <w:sz w:val="32"/>
          <w:szCs w:val="32"/>
        </w:rPr>
        <w:t>）要求</w:t>
      </w:r>
      <w:r>
        <w:rPr>
          <w:rFonts w:hint="eastAsia" w:ascii="仿宋" w:hAnsi="仿宋" w:eastAsia="仿宋"/>
          <w:sz w:val="32"/>
          <w:szCs w:val="32"/>
        </w:rPr>
        <w:t>，遵循“科学性、规范性、客观性和公正性”的原则，</w:t>
      </w:r>
      <w:r>
        <w:rPr>
          <w:rFonts w:hint="eastAsia" w:ascii="仿宋" w:hAnsi="仿宋" w:eastAsia="仿宋" w:cs="仿宋"/>
          <w:sz w:val="32"/>
          <w:szCs w:val="32"/>
        </w:rPr>
        <w:t>我部门认真开展了202</w:t>
      </w:r>
      <w:r>
        <w:rPr>
          <w:rFonts w:hint="eastAsia" w:ascii="仿宋" w:hAnsi="仿宋" w:eastAsia="仿宋" w:cs="仿宋"/>
          <w:sz w:val="32"/>
          <w:szCs w:val="32"/>
          <w:lang w:val="en-US" w:eastAsia="zh-CN"/>
        </w:rPr>
        <w:t>4</w:t>
      </w:r>
      <w:r>
        <w:rPr>
          <w:rFonts w:hint="eastAsia" w:ascii="仿宋" w:hAnsi="仿宋" w:eastAsia="仿宋" w:cs="仿宋"/>
          <w:sz w:val="32"/>
          <w:szCs w:val="32"/>
        </w:rPr>
        <w:t>年度预算绩效自评工作，形成本评价报告。</w:t>
      </w:r>
    </w:p>
    <w:p>
      <w:pPr>
        <w:numPr>
          <w:ilvl w:val="0"/>
          <w:numId w:val="1"/>
        </w:num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部门基本情况</w:t>
      </w:r>
    </w:p>
    <w:p>
      <w:pPr>
        <w:pStyle w:val="10"/>
        <w:ind w:firstLine="64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、部门概况</w:t>
      </w:r>
    </w:p>
    <w:p>
      <w:pPr>
        <w:pStyle w:val="10"/>
        <w:ind w:firstLine="640"/>
        <w:rPr>
          <w:rFonts w:ascii="仿宋" w:hAnsi="仿宋" w:eastAsia="仿宋" w:cs="仿宋"/>
          <w:sz w:val="32"/>
          <w:szCs w:val="32"/>
        </w:rPr>
      </w:pPr>
      <w:r>
        <w:rPr>
          <w:rFonts w:hint="eastAsia" w:ascii="仿宋" w:hAnsi="仿宋" w:eastAsia="仿宋" w:cs="仿宋"/>
          <w:sz w:val="32"/>
          <w:szCs w:val="32"/>
        </w:rPr>
        <w:t>藁城区统计局市藁城区人民政府工作部门，为正科级，承单组织和协调全区统计工作。主要职能是组织实施全区人口、经济、农业等重大区情区力普查，各项抽样调查，对国民经济和社会发展进行统计分析、统计预测和统计监督，承办区委、区政府和是统计局交办的其他任务等。</w:t>
      </w:r>
    </w:p>
    <w:p>
      <w:pPr>
        <w:pStyle w:val="10"/>
        <w:ind w:firstLine="64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、部门基本职责</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（1）承担组织领导和协调管理全区统计工作，确保统计数据真实、准确、及时的责任。</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（2）拟订统计工作方面的地方性法规、政府规章草案，制定全区统计改革、统计现代化建设规划、统计调查计划和地方统计调查标准、统计调查制度，监督检查统计法律、法规实施情况，指导全区统计工作。</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（3）组织完成国家、省、市部署的国情国力普查及重要调查任务；研究提出重大区情区力普查和抽样调查计划并组织实施，汇总、整理和提供有关区情区力方面的统计数据。</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组织实施农林牧渔业、农业产值、农产品产量、农业产业化、工业、能源、社会、人口、工资、科技、消费、城镇劳动力、城镇就业、建筑业、固定资产投资、房地产开发、高新技术产业、省级工业园区主要经济指标、批发和零售业、住宿和餐饮业、运输邮电业、其他服务业、服务业个体户、对外经济和旅游、民营经济、乡村社会经济、资源环境、境外来中国大陆工作专家、服务业财务、农村住户、经济社会重点问题等统计调查，收集、汇总、整理和提供统计数据。</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（5）组织实施社会发展水平、县域经济发展、节能降耗、城镇化发展、全面小康及农村小康建设进程、资源循环利用、妇女儿童等统计监测，收集、整理和提供统计数据。</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（6）组织实施城乡住户一体化、产粮大县（市）和生猪大县（市）等抽样调查工作，收集、整理和提供 统计数据。</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（7）综合整理和提供财政、金融、个体、私营以及混合经济税收、出口、地质勘察、文化教育、卫生、社会保障、公用事业、房屋、对外贸易、对内经济技术合作及引进内资等基本统计数据。</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（8）统一核实、管理、公布全市性基本统计资料，定期发布全市国民经济和社会发展情况的统计信息，组织建设统计住处共享制度和发布制度。</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（9）对国民经济、社会发展、科技进步等情况进行统计分析、统计预测和统计监督，向区委、区政府及有关部门提供统计信息和咨询建议。</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组织管理全市统计登记工作；指导专业统计基础工作、统计基层业务和规范化建设；组织建立统计信息管理制度，建立健全统计数据质量审核、监控和评估制度，开展对重要统计数据的审核、监控和评估；依法监督管理涉外调查活动。</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）贯彻执行国家、省、市统计信息库和网络的基本标准和运行规则；管理全区统计信息自动化系统和统计数据库体系；管理全区统计数据库网络；指导全区统计信息化系统建设。</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ascii="仿宋_GB2312" w:hAnsi="仿宋_GB2312" w:eastAsia="仿宋_GB2312" w:cs="仿宋_GB2312"/>
          <w:sz w:val="32"/>
          <w:szCs w:val="32"/>
        </w:rPr>
        <w:t>2</w:t>
      </w:r>
      <w:r>
        <w:rPr>
          <w:rFonts w:hint="eastAsia" w:ascii="仿宋_GB2312" w:hAnsi="仿宋_GB2312" w:eastAsia="仿宋_GB2312" w:cs="仿宋_GB2312"/>
          <w:sz w:val="32"/>
          <w:szCs w:val="32"/>
        </w:rPr>
        <w:t>）指导全市统计专业技术队伍建设，配合省、市统计局组织管理统计从业资格认定和持证上岗工作，协助有关部门组织管理统计专业技术资格考试、职务评聘工作。</w:t>
      </w:r>
    </w:p>
    <w:p>
      <w:pPr>
        <w:pStyle w:val="13"/>
        <w:numPr>
          <w:ilvl w:val="0"/>
          <w:numId w:val="2"/>
        </w:numPr>
        <w:ind w:firstLineChars="0"/>
        <w:rPr>
          <w:rFonts w:ascii="仿宋" w:hAnsi="仿宋" w:eastAsia="仿宋"/>
          <w:sz w:val="32"/>
          <w:szCs w:val="32"/>
        </w:rPr>
      </w:pPr>
      <w:r>
        <w:rPr>
          <w:rFonts w:hint="eastAsia" w:ascii="仿宋_GB2312" w:hAnsi="仿宋_GB2312" w:eastAsia="仿宋_GB2312" w:cs="仿宋_GB2312"/>
          <w:sz w:val="32"/>
          <w:szCs w:val="32"/>
        </w:rPr>
        <w:t>承办市政府交办的其他事项。</w:t>
      </w:r>
    </w:p>
    <w:p>
      <w:pPr>
        <w:pStyle w:val="10"/>
        <w:ind w:firstLine="640"/>
        <w:rPr>
          <w:rFonts w:ascii="仿宋" w:hAnsi="仿宋" w:eastAsia="仿宋" w:cs="仿宋"/>
          <w:sz w:val="32"/>
          <w:szCs w:val="32"/>
        </w:rPr>
      </w:pPr>
      <w:bookmarkStart w:id="0" w:name="_Hlk133158778"/>
      <w:bookmarkStart w:id="1" w:name="_Hlk133156527"/>
      <w:r>
        <w:rPr>
          <w:rFonts w:ascii="仿宋" w:hAnsi="仿宋" w:eastAsia="仿宋" w:cs="仿宋"/>
          <w:sz w:val="32"/>
          <w:szCs w:val="32"/>
        </w:rPr>
        <w:t>3</w:t>
      </w:r>
      <w:r>
        <w:rPr>
          <w:rFonts w:hint="eastAsia" w:ascii="仿宋" w:hAnsi="仿宋" w:eastAsia="仿宋" w:cs="仿宋"/>
          <w:sz w:val="32"/>
          <w:szCs w:val="32"/>
        </w:rPr>
        <w:t>、部门</w:t>
      </w:r>
      <w:bookmarkEnd w:id="0"/>
      <w:r>
        <w:rPr>
          <w:rFonts w:hint="eastAsia" w:ascii="仿宋" w:hAnsi="仿宋" w:eastAsia="仿宋" w:cs="仿宋"/>
          <w:sz w:val="32"/>
          <w:szCs w:val="32"/>
        </w:rPr>
        <w:t>组织机构情况</w:t>
      </w:r>
    </w:p>
    <w:bookmarkEnd w:id="1"/>
    <w:p>
      <w:pPr>
        <w:pStyle w:val="13"/>
        <w:adjustRightInd w:val="0"/>
        <w:snapToGrid w:val="0"/>
        <w:spacing w:line="360" w:lineRule="auto"/>
        <w:ind w:firstLine="640"/>
        <w:rPr>
          <w:rFonts w:ascii="仿宋_GB2312" w:hAnsi="宋体" w:eastAsia="仿宋_GB2312" w:cs="宋体"/>
          <w:kern w:val="0"/>
          <w:sz w:val="32"/>
          <w:szCs w:val="32"/>
        </w:rPr>
      </w:pPr>
      <w:r>
        <w:rPr>
          <w:rFonts w:hint="eastAsia" w:ascii="仿宋_GB2312" w:hAnsi="宋体" w:eastAsia="仿宋_GB2312" w:cs="宋体"/>
          <w:kern w:val="0"/>
          <w:sz w:val="32"/>
          <w:szCs w:val="32"/>
        </w:rPr>
        <w:t>石家庄市藁城区统计局为正科级行政单位，</w:t>
      </w:r>
      <w:r>
        <w:rPr>
          <w:rFonts w:hint="eastAsia" w:ascii="仿宋_GB2312" w:hAnsi="仿宋_GB2312" w:eastAsia="仿宋_GB2312" w:cs="仿宋_GB2312"/>
          <w:sz w:val="32"/>
          <w:szCs w:val="32"/>
        </w:rPr>
        <w:t>下设办公室、农村统计科、工业交通统计科、综合科、城市社会经济调查队、农村社会经济调查队6个科室队和一个副科级事业单位藁城区普查中心。</w:t>
      </w:r>
      <w:r>
        <w:rPr>
          <w:rFonts w:hint="eastAsia" w:ascii="仿宋_GB2312" w:hAnsi="宋体" w:eastAsia="仿宋_GB2312" w:cs="宋体"/>
          <w:kern w:val="0"/>
          <w:sz w:val="32"/>
          <w:szCs w:val="32"/>
        </w:rPr>
        <w:t>一级预算单位，无下属单位。核定行政编制</w:t>
      </w:r>
      <w:r>
        <w:rPr>
          <w:rFonts w:ascii="仿宋_GB2312" w:hAnsi="宋体" w:eastAsia="仿宋_GB2312" w:cs="宋体"/>
          <w:kern w:val="0"/>
          <w:sz w:val="32"/>
          <w:szCs w:val="32"/>
        </w:rPr>
        <w:t>1</w:t>
      </w:r>
      <w:r>
        <w:rPr>
          <w:rFonts w:hint="eastAsia" w:ascii="仿宋_GB2312" w:hAnsi="宋体" w:eastAsia="仿宋_GB2312" w:cs="宋体"/>
          <w:kern w:val="0"/>
          <w:sz w:val="32"/>
          <w:szCs w:val="32"/>
          <w:lang w:val="en-US" w:eastAsia="zh-CN"/>
        </w:rPr>
        <w:t>3</w:t>
      </w:r>
      <w:r>
        <w:rPr>
          <w:rFonts w:hint="eastAsia" w:ascii="仿宋_GB2312" w:hAnsi="宋体" w:eastAsia="仿宋_GB2312" w:cs="宋体"/>
          <w:kern w:val="0"/>
          <w:sz w:val="32"/>
          <w:szCs w:val="32"/>
        </w:rPr>
        <w:t>名，事业编制2</w:t>
      </w:r>
      <w:r>
        <w:rPr>
          <w:rFonts w:hint="eastAsia" w:ascii="仿宋_GB2312" w:hAnsi="宋体" w:eastAsia="仿宋_GB2312" w:cs="宋体"/>
          <w:kern w:val="0"/>
          <w:sz w:val="32"/>
          <w:szCs w:val="32"/>
          <w:lang w:val="en-US" w:eastAsia="zh-CN"/>
        </w:rPr>
        <w:t>5</w:t>
      </w:r>
      <w:r>
        <w:rPr>
          <w:rFonts w:hint="eastAsia" w:ascii="仿宋_GB2312" w:hAnsi="宋体" w:eastAsia="仿宋_GB2312" w:cs="宋体"/>
          <w:kern w:val="0"/>
          <w:sz w:val="32"/>
          <w:szCs w:val="32"/>
        </w:rPr>
        <w:t>名。领导职数1正</w:t>
      </w:r>
      <w:r>
        <w:rPr>
          <w:rFonts w:ascii="仿宋_GB2312" w:hAnsi="宋体" w:eastAsia="仿宋_GB2312" w:cs="宋体"/>
          <w:kern w:val="0"/>
          <w:sz w:val="32"/>
          <w:szCs w:val="32"/>
        </w:rPr>
        <w:t>3</w:t>
      </w:r>
      <w:r>
        <w:rPr>
          <w:rFonts w:hint="eastAsia" w:ascii="仿宋_GB2312" w:hAnsi="宋体" w:eastAsia="仿宋_GB2312" w:cs="宋体"/>
          <w:kern w:val="0"/>
          <w:sz w:val="32"/>
          <w:szCs w:val="32"/>
        </w:rPr>
        <w:t>副，股级领导职数1</w:t>
      </w:r>
      <w:r>
        <w:rPr>
          <w:rFonts w:hint="eastAsia" w:ascii="仿宋_GB2312" w:hAnsi="宋体" w:eastAsia="仿宋_GB2312" w:cs="宋体"/>
          <w:kern w:val="0"/>
          <w:sz w:val="32"/>
          <w:szCs w:val="32"/>
          <w:lang w:val="en-US" w:eastAsia="zh-CN"/>
        </w:rPr>
        <w:t>0</w:t>
      </w:r>
      <w:r>
        <w:rPr>
          <w:rFonts w:hint="eastAsia" w:ascii="仿宋_GB2312" w:hAnsi="宋体" w:eastAsia="仿宋_GB2312" w:cs="宋体"/>
          <w:kern w:val="0"/>
          <w:sz w:val="32"/>
          <w:szCs w:val="32"/>
        </w:rPr>
        <w:t>名。资金保障形式为财政拨款。年末总人数</w:t>
      </w:r>
      <w:r>
        <w:rPr>
          <w:rFonts w:ascii="仿宋_GB2312" w:hAnsi="宋体" w:eastAsia="仿宋_GB2312" w:cs="宋体"/>
          <w:kern w:val="0"/>
          <w:sz w:val="32"/>
          <w:szCs w:val="32"/>
        </w:rPr>
        <w:t>3</w:t>
      </w:r>
      <w:r>
        <w:rPr>
          <w:rFonts w:hint="eastAsia" w:ascii="仿宋_GB2312" w:hAnsi="宋体" w:eastAsia="仿宋_GB2312" w:cs="宋体"/>
          <w:kern w:val="0"/>
          <w:sz w:val="32"/>
          <w:szCs w:val="32"/>
          <w:lang w:val="en-US" w:eastAsia="zh-CN"/>
        </w:rPr>
        <w:t>2</w:t>
      </w:r>
      <w:r>
        <w:rPr>
          <w:rFonts w:hint="eastAsia" w:ascii="仿宋_GB2312" w:hAnsi="宋体" w:eastAsia="仿宋_GB2312" w:cs="宋体"/>
          <w:kern w:val="0"/>
          <w:sz w:val="32"/>
          <w:szCs w:val="32"/>
        </w:rPr>
        <w:t>人。</w:t>
      </w:r>
    </w:p>
    <w:p>
      <w:pPr>
        <w:pStyle w:val="10"/>
        <w:ind w:firstLine="640"/>
        <w:rPr>
          <w:rFonts w:ascii="仿宋_GB2312" w:hAnsi="宋体" w:eastAsia="仿宋_GB2312" w:cs="宋体"/>
          <w:kern w:val="0"/>
          <w:sz w:val="32"/>
          <w:szCs w:val="32"/>
        </w:rPr>
      </w:pPr>
      <w:r>
        <w:rPr>
          <w:rFonts w:ascii="仿宋_GB2312" w:hAnsi="宋体" w:eastAsia="仿宋_GB2312" w:cs="宋体"/>
          <w:kern w:val="0"/>
          <w:sz w:val="32"/>
          <w:szCs w:val="32"/>
        </w:rPr>
        <w:t>4</w:t>
      </w:r>
      <w:r>
        <w:rPr>
          <w:rFonts w:hint="eastAsia" w:ascii="仿宋_GB2312" w:hAnsi="宋体" w:eastAsia="仿宋_GB2312" w:cs="宋体"/>
          <w:kern w:val="0"/>
          <w:sz w:val="32"/>
          <w:szCs w:val="32"/>
        </w:rPr>
        <w:t>、部门收支预决算情况</w:t>
      </w:r>
    </w:p>
    <w:p>
      <w:pPr>
        <w:pStyle w:val="10"/>
        <w:ind w:firstLine="640"/>
        <w:rPr>
          <w:rFonts w:ascii="仿宋_GB2312" w:hAnsi="宋体" w:eastAsia="仿宋_GB2312" w:cs="宋体"/>
          <w:kern w:val="0"/>
          <w:sz w:val="32"/>
          <w:szCs w:val="32"/>
        </w:rPr>
      </w:pPr>
      <w:bookmarkStart w:id="2" w:name="_Hlk133158199"/>
      <w:r>
        <w:rPr>
          <w:rFonts w:hint="eastAsia" w:ascii="仿宋_GB2312" w:hAnsi="宋体" w:eastAsia="仿宋_GB2312" w:cs="宋体"/>
          <w:kern w:val="0"/>
          <w:sz w:val="32"/>
          <w:szCs w:val="32"/>
        </w:rPr>
        <w:t>（1）预算情况</w:t>
      </w:r>
    </w:p>
    <w:bookmarkEnd w:id="2"/>
    <w:p>
      <w:pPr>
        <w:adjustRightInd w:val="0"/>
        <w:snapToGrid w:val="0"/>
        <w:spacing w:line="360" w:lineRule="auto"/>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202</w:t>
      </w:r>
      <w:r>
        <w:rPr>
          <w:rFonts w:hint="eastAsia" w:ascii="仿宋_GB2312" w:hAnsi="宋体" w:eastAsia="仿宋_GB2312" w:cs="宋体"/>
          <w:kern w:val="0"/>
          <w:sz w:val="32"/>
          <w:szCs w:val="32"/>
          <w:lang w:val="en-US" w:eastAsia="zh-CN"/>
        </w:rPr>
        <w:t>4</w:t>
      </w:r>
      <w:r>
        <w:rPr>
          <w:rFonts w:hint="eastAsia" w:ascii="仿宋_GB2312" w:hAnsi="宋体" w:eastAsia="仿宋_GB2312" w:cs="宋体"/>
          <w:kern w:val="0"/>
          <w:sz w:val="32"/>
          <w:szCs w:val="32"/>
        </w:rPr>
        <w:t>年预算收入</w:t>
      </w:r>
      <w:bookmarkStart w:id="3" w:name="OLE_LINK1"/>
      <w:r>
        <w:rPr>
          <w:rFonts w:hint="eastAsia" w:ascii="仿宋_GB2312" w:hAnsi="宋体" w:eastAsia="仿宋_GB2312" w:cs="宋体"/>
          <w:kern w:val="0"/>
          <w:sz w:val="32"/>
          <w:szCs w:val="32"/>
          <w:lang w:val="en-US" w:eastAsia="zh-CN"/>
        </w:rPr>
        <w:t>854.54</w:t>
      </w:r>
      <w:bookmarkEnd w:id="3"/>
      <w:r>
        <w:rPr>
          <w:rFonts w:hint="eastAsia" w:ascii="仿宋_GB2312" w:hAnsi="宋体" w:eastAsia="仿宋_GB2312" w:cs="宋体"/>
          <w:kern w:val="0"/>
          <w:sz w:val="32"/>
          <w:szCs w:val="32"/>
        </w:rPr>
        <w:t>万元，其中：一般公共预算拨款</w:t>
      </w:r>
      <w:r>
        <w:rPr>
          <w:rFonts w:hint="eastAsia" w:ascii="仿宋_GB2312" w:hAnsi="宋体" w:eastAsia="仿宋_GB2312" w:cs="宋体"/>
          <w:kern w:val="0"/>
          <w:sz w:val="32"/>
          <w:szCs w:val="32"/>
          <w:lang w:val="en-US" w:eastAsia="zh-CN"/>
        </w:rPr>
        <w:t>854.54</w:t>
      </w:r>
      <w:r>
        <w:rPr>
          <w:rFonts w:hint="eastAsia" w:ascii="仿宋_GB2312" w:hAnsi="宋体" w:eastAsia="仿宋_GB2312" w:cs="宋体"/>
          <w:kern w:val="0"/>
          <w:sz w:val="32"/>
          <w:szCs w:val="32"/>
        </w:rPr>
        <w:t>万元。202</w:t>
      </w:r>
      <w:r>
        <w:rPr>
          <w:rFonts w:hint="eastAsia" w:ascii="仿宋_GB2312" w:hAnsi="宋体" w:eastAsia="仿宋_GB2312" w:cs="宋体"/>
          <w:kern w:val="0"/>
          <w:sz w:val="32"/>
          <w:szCs w:val="32"/>
          <w:lang w:val="en-US" w:eastAsia="zh-CN"/>
        </w:rPr>
        <w:t>4</w:t>
      </w:r>
      <w:r>
        <w:rPr>
          <w:rFonts w:hint="eastAsia" w:ascii="仿宋_GB2312" w:hAnsi="宋体" w:eastAsia="仿宋_GB2312" w:cs="宋体"/>
          <w:kern w:val="0"/>
          <w:sz w:val="32"/>
          <w:szCs w:val="32"/>
        </w:rPr>
        <w:t>年预算支出为</w:t>
      </w:r>
      <w:r>
        <w:rPr>
          <w:rFonts w:hint="eastAsia" w:ascii="仿宋_GB2312" w:hAnsi="宋体" w:eastAsia="仿宋_GB2312" w:cs="宋体"/>
          <w:kern w:val="0"/>
          <w:sz w:val="32"/>
          <w:szCs w:val="32"/>
          <w:lang w:val="en-US" w:eastAsia="zh-CN"/>
        </w:rPr>
        <w:t>854.54</w:t>
      </w:r>
      <w:r>
        <w:rPr>
          <w:rFonts w:hint="eastAsia" w:ascii="仿宋_GB2312" w:hAnsi="宋体" w:eastAsia="仿宋_GB2312" w:cs="宋体"/>
          <w:kern w:val="0"/>
          <w:sz w:val="32"/>
          <w:szCs w:val="32"/>
        </w:rPr>
        <w:t>万元，其中基本支出</w:t>
      </w:r>
      <w:r>
        <w:rPr>
          <w:rFonts w:hint="eastAsia" w:ascii="仿宋_GB2312" w:hAnsi="宋体" w:eastAsia="仿宋_GB2312" w:cs="宋体"/>
          <w:kern w:val="0"/>
          <w:sz w:val="32"/>
          <w:szCs w:val="32"/>
          <w:lang w:val="en-US" w:eastAsia="zh-CN"/>
        </w:rPr>
        <w:t>797.21</w:t>
      </w:r>
      <w:r>
        <w:rPr>
          <w:rFonts w:hint="eastAsia" w:ascii="仿宋_GB2312" w:hAnsi="宋体" w:eastAsia="仿宋_GB2312" w:cs="宋体"/>
          <w:kern w:val="0"/>
          <w:sz w:val="32"/>
          <w:szCs w:val="32"/>
        </w:rPr>
        <w:t>万元，包括人员经费</w:t>
      </w:r>
      <w:r>
        <w:rPr>
          <w:rFonts w:hint="eastAsia" w:ascii="仿宋_GB2312" w:hAnsi="宋体" w:eastAsia="仿宋_GB2312" w:cs="宋体"/>
          <w:kern w:val="0"/>
          <w:sz w:val="32"/>
          <w:szCs w:val="32"/>
          <w:lang w:val="en-US" w:eastAsia="zh-CN"/>
        </w:rPr>
        <w:t>733.73</w:t>
      </w:r>
      <w:r>
        <w:rPr>
          <w:rFonts w:hint="eastAsia" w:ascii="仿宋_GB2312" w:hAnsi="宋体" w:eastAsia="仿宋_GB2312" w:cs="宋体"/>
          <w:kern w:val="0"/>
          <w:sz w:val="32"/>
          <w:szCs w:val="32"/>
        </w:rPr>
        <w:t>万元和日常公用经费</w:t>
      </w:r>
      <w:r>
        <w:rPr>
          <w:rFonts w:hint="eastAsia" w:ascii="仿宋_GB2312" w:hAnsi="宋体" w:eastAsia="仿宋_GB2312" w:cs="宋体"/>
          <w:kern w:val="0"/>
          <w:sz w:val="32"/>
          <w:szCs w:val="32"/>
          <w:lang w:val="en-US" w:eastAsia="zh-CN"/>
        </w:rPr>
        <w:t>63.48</w:t>
      </w:r>
      <w:r>
        <w:rPr>
          <w:rFonts w:hint="eastAsia" w:ascii="仿宋_GB2312" w:hAnsi="宋体" w:eastAsia="仿宋_GB2312" w:cs="宋体"/>
          <w:kern w:val="0"/>
          <w:sz w:val="32"/>
          <w:szCs w:val="32"/>
        </w:rPr>
        <w:t>万元；项目支出</w:t>
      </w:r>
      <w:r>
        <w:rPr>
          <w:rFonts w:hint="eastAsia" w:ascii="仿宋_GB2312" w:hAnsi="宋体" w:eastAsia="仿宋_GB2312" w:cs="宋体"/>
          <w:kern w:val="0"/>
          <w:sz w:val="32"/>
          <w:szCs w:val="32"/>
          <w:lang w:val="en-US" w:eastAsia="zh-CN"/>
        </w:rPr>
        <w:t>57.34</w:t>
      </w:r>
      <w:r>
        <w:rPr>
          <w:rFonts w:hint="eastAsia" w:ascii="仿宋_GB2312" w:hAnsi="宋体" w:eastAsia="仿宋_GB2312" w:cs="宋体"/>
          <w:kern w:val="0"/>
          <w:sz w:val="32"/>
          <w:szCs w:val="32"/>
        </w:rPr>
        <w:t>万元。其中</w:t>
      </w:r>
      <w:bookmarkStart w:id="4" w:name="_Hlk133158395"/>
      <w:r>
        <w:rPr>
          <w:rFonts w:hint="eastAsia" w:ascii="仿宋_GB2312" w:hAnsi="宋体" w:eastAsia="仿宋_GB2312" w:cs="宋体"/>
          <w:kern w:val="0"/>
          <w:sz w:val="32"/>
          <w:szCs w:val="32"/>
        </w:rPr>
        <w:t>调查队业务经费</w:t>
      </w:r>
      <w:r>
        <w:rPr>
          <w:rFonts w:hint="eastAsia" w:ascii="仿宋_GB2312" w:hAnsi="宋体" w:eastAsia="仿宋_GB2312" w:cs="宋体"/>
          <w:kern w:val="0"/>
          <w:sz w:val="32"/>
          <w:szCs w:val="32"/>
          <w:lang w:val="en-US" w:eastAsia="zh-CN"/>
        </w:rPr>
        <w:t>9.29</w:t>
      </w:r>
      <w:r>
        <w:rPr>
          <w:rFonts w:hint="eastAsia" w:ascii="仿宋_GB2312" w:hAnsi="宋体" w:eastAsia="仿宋_GB2312" w:cs="宋体"/>
          <w:kern w:val="0"/>
          <w:sz w:val="32"/>
          <w:szCs w:val="32"/>
        </w:rPr>
        <w:t>万元；劳务派遣人员经费</w:t>
      </w:r>
      <w:r>
        <w:rPr>
          <w:rFonts w:hint="eastAsia" w:ascii="仿宋_GB2312" w:hAnsi="宋体" w:eastAsia="仿宋_GB2312" w:cs="宋体"/>
          <w:kern w:val="0"/>
          <w:sz w:val="32"/>
          <w:szCs w:val="32"/>
          <w:lang w:val="en-US" w:eastAsia="zh-CN"/>
        </w:rPr>
        <w:t>40.32</w:t>
      </w:r>
      <w:r>
        <w:rPr>
          <w:rFonts w:hint="eastAsia" w:ascii="仿宋_GB2312" w:hAnsi="宋体" w:eastAsia="仿宋_GB2312" w:cs="宋体"/>
          <w:kern w:val="0"/>
          <w:sz w:val="32"/>
          <w:szCs w:val="32"/>
        </w:rPr>
        <w:t>万元；全区三产限上企业统计工作经费</w:t>
      </w:r>
      <w:r>
        <w:rPr>
          <w:rFonts w:hint="eastAsia" w:ascii="仿宋_GB2312" w:hAnsi="宋体" w:eastAsia="仿宋_GB2312" w:cs="宋体"/>
          <w:kern w:val="0"/>
          <w:sz w:val="32"/>
          <w:szCs w:val="32"/>
          <w:lang w:val="en-US" w:eastAsia="zh-CN"/>
        </w:rPr>
        <w:t>1.87</w:t>
      </w:r>
      <w:r>
        <w:rPr>
          <w:rFonts w:hint="eastAsia" w:ascii="仿宋_GB2312" w:hAnsi="宋体" w:eastAsia="仿宋_GB2312" w:cs="宋体"/>
          <w:kern w:val="0"/>
          <w:sz w:val="32"/>
          <w:szCs w:val="32"/>
        </w:rPr>
        <w:t>万元；失业率调查工作经费</w:t>
      </w:r>
      <w:r>
        <w:rPr>
          <w:rFonts w:hint="eastAsia" w:ascii="仿宋_GB2312" w:hAnsi="宋体" w:eastAsia="仿宋_GB2312" w:cs="宋体"/>
          <w:kern w:val="0"/>
          <w:sz w:val="32"/>
          <w:szCs w:val="32"/>
          <w:lang w:val="en-US" w:eastAsia="zh-CN"/>
        </w:rPr>
        <w:t>3</w:t>
      </w:r>
      <w:r>
        <w:rPr>
          <w:rFonts w:hint="eastAsia" w:ascii="仿宋_GB2312" w:hAnsi="宋体" w:eastAsia="仿宋_GB2312" w:cs="宋体"/>
          <w:kern w:val="0"/>
          <w:sz w:val="32"/>
          <w:szCs w:val="32"/>
        </w:rPr>
        <w:t>万元；统计年鉴印刷费1</w:t>
      </w:r>
      <w:r>
        <w:rPr>
          <w:rFonts w:ascii="仿宋_GB2312" w:hAnsi="宋体" w:eastAsia="仿宋_GB2312" w:cs="宋体"/>
          <w:kern w:val="0"/>
          <w:sz w:val="32"/>
          <w:szCs w:val="32"/>
        </w:rPr>
        <w:t>.5</w:t>
      </w:r>
      <w:r>
        <w:rPr>
          <w:rFonts w:hint="eastAsia" w:ascii="仿宋_GB2312" w:hAnsi="宋体" w:eastAsia="仿宋_GB2312" w:cs="宋体"/>
          <w:kern w:val="0"/>
          <w:sz w:val="32"/>
          <w:szCs w:val="32"/>
        </w:rPr>
        <w:t>万元；统计业务经费</w:t>
      </w:r>
      <w:r>
        <w:rPr>
          <w:rFonts w:hint="eastAsia" w:ascii="仿宋_GB2312" w:hAnsi="宋体" w:eastAsia="仿宋_GB2312" w:cs="宋体"/>
          <w:kern w:val="0"/>
          <w:sz w:val="32"/>
          <w:szCs w:val="32"/>
          <w:lang w:val="en-US" w:eastAsia="zh-CN"/>
        </w:rPr>
        <w:t>1.35</w:t>
      </w:r>
      <w:r>
        <w:rPr>
          <w:rFonts w:hint="eastAsia" w:ascii="仿宋_GB2312" w:hAnsi="宋体" w:eastAsia="仿宋_GB2312" w:cs="宋体"/>
          <w:kern w:val="0"/>
          <w:sz w:val="32"/>
          <w:szCs w:val="32"/>
        </w:rPr>
        <w:t>万元。</w:t>
      </w:r>
    </w:p>
    <w:bookmarkEnd w:id="4"/>
    <w:p>
      <w:pPr>
        <w:pStyle w:val="10"/>
        <w:ind w:firstLine="640"/>
        <w:rPr>
          <w:rFonts w:ascii="仿宋_GB2312" w:hAnsi="宋体" w:eastAsia="仿宋_GB2312" w:cs="宋体"/>
          <w:kern w:val="0"/>
          <w:sz w:val="32"/>
          <w:szCs w:val="32"/>
        </w:rPr>
      </w:pPr>
      <w:r>
        <w:rPr>
          <w:rFonts w:hint="eastAsia" w:ascii="仿宋_GB2312" w:hAnsi="宋体" w:eastAsia="仿宋_GB2312" w:cs="宋体"/>
          <w:kern w:val="0"/>
          <w:sz w:val="32"/>
          <w:szCs w:val="32"/>
        </w:rPr>
        <w:t>（</w:t>
      </w:r>
      <w:r>
        <w:rPr>
          <w:rFonts w:ascii="仿宋_GB2312" w:hAnsi="宋体" w:eastAsia="仿宋_GB2312" w:cs="宋体"/>
          <w:kern w:val="0"/>
          <w:sz w:val="32"/>
          <w:szCs w:val="32"/>
        </w:rPr>
        <w:t>2</w:t>
      </w:r>
      <w:r>
        <w:rPr>
          <w:rFonts w:hint="eastAsia" w:ascii="仿宋_GB2312" w:hAnsi="宋体" w:eastAsia="仿宋_GB2312" w:cs="宋体"/>
          <w:kern w:val="0"/>
          <w:sz w:val="32"/>
          <w:szCs w:val="32"/>
        </w:rPr>
        <w:t>）决算情况</w:t>
      </w:r>
    </w:p>
    <w:p>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全年收入为</w:t>
      </w:r>
      <w:r>
        <w:rPr>
          <w:rFonts w:hint="eastAsia" w:ascii="仿宋" w:hAnsi="仿宋" w:eastAsia="仿宋" w:cs="仿宋"/>
          <w:sz w:val="32"/>
          <w:szCs w:val="32"/>
          <w:lang w:val="en-US" w:eastAsia="zh-CN"/>
        </w:rPr>
        <w:t>874.56</w:t>
      </w:r>
      <w:r>
        <w:rPr>
          <w:rFonts w:hint="eastAsia" w:ascii="仿宋" w:hAnsi="仿宋" w:eastAsia="仿宋" w:cs="仿宋"/>
          <w:sz w:val="32"/>
          <w:szCs w:val="32"/>
        </w:rPr>
        <w:t>万元，其中：财政拨款收入</w:t>
      </w:r>
      <w:r>
        <w:rPr>
          <w:rFonts w:hint="eastAsia" w:ascii="仿宋" w:hAnsi="仿宋" w:eastAsia="仿宋" w:cs="仿宋"/>
          <w:sz w:val="32"/>
          <w:szCs w:val="32"/>
          <w:lang w:val="en-US" w:eastAsia="zh-CN"/>
        </w:rPr>
        <w:t>874.56</w:t>
      </w:r>
      <w:r>
        <w:rPr>
          <w:rFonts w:hint="eastAsia" w:ascii="仿宋" w:hAnsi="仿宋" w:eastAsia="仿宋" w:cs="仿宋"/>
          <w:sz w:val="32"/>
          <w:szCs w:val="32"/>
        </w:rPr>
        <w:t>万元。</w:t>
      </w:r>
    </w:p>
    <w:p>
      <w:pPr>
        <w:adjustRightInd w:val="0"/>
        <w:snapToGrid w:val="0"/>
        <w:spacing w:line="360" w:lineRule="auto"/>
        <w:rPr>
          <w:rFonts w:hint="default" w:ascii="仿宋_GB2312" w:hAnsi="宋体" w:eastAsia="仿宋_GB2312" w:cs="宋体"/>
          <w:kern w:val="0"/>
          <w:sz w:val="32"/>
          <w:szCs w:val="32"/>
          <w:lang w:val="en-US" w:eastAsia="zh-CN"/>
        </w:rPr>
      </w:pPr>
      <w:r>
        <w:rPr>
          <w:rFonts w:hint="eastAsia" w:ascii="仿宋" w:hAnsi="仿宋" w:eastAsia="仿宋" w:cs="仿宋"/>
          <w:sz w:val="32"/>
          <w:szCs w:val="32"/>
        </w:rPr>
        <w:t>全年支出为</w:t>
      </w:r>
      <w:r>
        <w:rPr>
          <w:rFonts w:hint="eastAsia" w:ascii="仿宋" w:hAnsi="仿宋" w:eastAsia="仿宋" w:cs="仿宋"/>
          <w:sz w:val="32"/>
          <w:szCs w:val="32"/>
          <w:lang w:val="en-US" w:eastAsia="zh-CN"/>
        </w:rPr>
        <w:t>874.56</w:t>
      </w:r>
      <w:r>
        <w:rPr>
          <w:rFonts w:hint="eastAsia" w:ascii="仿宋" w:hAnsi="仿宋" w:eastAsia="仿宋" w:cs="仿宋"/>
          <w:sz w:val="32"/>
          <w:szCs w:val="32"/>
        </w:rPr>
        <w:t>万</w:t>
      </w:r>
      <w:r>
        <w:rPr>
          <w:rFonts w:hint="eastAsia" w:ascii="仿宋" w:hAnsi="仿宋" w:eastAsia="仿宋"/>
          <w:sz w:val="32"/>
          <w:szCs w:val="32"/>
        </w:rPr>
        <w:t>元，其中：基本支出</w:t>
      </w:r>
      <w:r>
        <w:rPr>
          <w:rFonts w:hint="eastAsia" w:ascii="仿宋" w:hAnsi="仿宋" w:eastAsia="仿宋"/>
          <w:sz w:val="32"/>
          <w:szCs w:val="32"/>
          <w:lang w:val="en-US" w:eastAsia="zh-CN"/>
        </w:rPr>
        <w:t>697.54</w:t>
      </w:r>
      <w:r>
        <w:rPr>
          <w:rFonts w:hint="eastAsia" w:ascii="仿宋" w:hAnsi="仿宋" w:eastAsia="仿宋"/>
          <w:sz w:val="32"/>
          <w:szCs w:val="32"/>
        </w:rPr>
        <w:t>万元，占总支出的79.7</w:t>
      </w:r>
      <w:r>
        <w:rPr>
          <w:rFonts w:hint="eastAsia" w:ascii="仿宋" w:hAnsi="仿宋" w:eastAsia="仿宋"/>
          <w:sz w:val="32"/>
          <w:szCs w:val="32"/>
          <w:lang w:val="en-US" w:eastAsia="zh-CN"/>
        </w:rPr>
        <w:t>6</w:t>
      </w:r>
      <w:r>
        <w:rPr>
          <w:rFonts w:ascii="仿宋" w:hAnsi="仿宋" w:eastAsia="仿宋"/>
          <w:sz w:val="32"/>
          <w:szCs w:val="32"/>
        </w:rPr>
        <w:t>%</w:t>
      </w:r>
      <w:r>
        <w:rPr>
          <w:rFonts w:hint="eastAsia" w:ascii="仿宋" w:hAnsi="仿宋" w:eastAsia="仿宋"/>
          <w:sz w:val="32"/>
          <w:szCs w:val="32"/>
        </w:rPr>
        <w:t>，包括人员经费</w:t>
      </w:r>
      <w:r>
        <w:rPr>
          <w:rFonts w:hint="eastAsia" w:ascii="仿宋" w:hAnsi="仿宋" w:eastAsia="仿宋"/>
          <w:sz w:val="32"/>
          <w:szCs w:val="32"/>
          <w:lang w:val="en-US" w:eastAsia="zh-CN"/>
        </w:rPr>
        <w:t>638.82</w:t>
      </w:r>
      <w:r>
        <w:rPr>
          <w:rFonts w:hint="eastAsia" w:ascii="仿宋" w:hAnsi="仿宋" w:eastAsia="仿宋"/>
          <w:sz w:val="32"/>
          <w:szCs w:val="32"/>
        </w:rPr>
        <w:t>万元，占基本支出的9</w:t>
      </w:r>
      <w:r>
        <w:rPr>
          <w:rFonts w:ascii="仿宋" w:hAnsi="仿宋" w:eastAsia="仿宋"/>
          <w:sz w:val="32"/>
          <w:szCs w:val="32"/>
        </w:rPr>
        <w:t>1.</w:t>
      </w:r>
      <w:r>
        <w:rPr>
          <w:rFonts w:hint="eastAsia" w:ascii="仿宋" w:hAnsi="仿宋" w:eastAsia="仿宋"/>
          <w:sz w:val="32"/>
          <w:szCs w:val="32"/>
          <w:lang w:val="en-US" w:eastAsia="zh-CN"/>
        </w:rPr>
        <w:t>58</w:t>
      </w:r>
      <w:r>
        <w:rPr>
          <w:rFonts w:ascii="仿宋" w:hAnsi="仿宋" w:eastAsia="仿宋"/>
          <w:sz w:val="32"/>
          <w:szCs w:val="32"/>
        </w:rPr>
        <w:t>%</w:t>
      </w:r>
      <w:r>
        <w:rPr>
          <w:rFonts w:hint="eastAsia" w:ascii="仿宋" w:hAnsi="仿宋" w:eastAsia="仿宋"/>
          <w:sz w:val="32"/>
          <w:szCs w:val="32"/>
        </w:rPr>
        <w:t>；日常公用经费</w:t>
      </w:r>
      <w:r>
        <w:rPr>
          <w:rFonts w:hint="eastAsia" w:ascii="仿宋" w:hAnsi="仿宋" w:eastAsia="仿宋"/>
          <w:sz w:val="32"/>
          <w:szCs w:val="32"/>
          <w:lang w:val="en-US" w:eastAsia="zh-CN"/>
        </w:rPr>
        <w:t>58.72</w:t>
      </w:r>
      <w:r>
        <w:rPr>
          <w:rFonts w:hint="eastAsia" w:ascii="仿宋" w:hAnsi="仿宋" w:eastAsia="仿宋"/>
          <w:sz w:val="32"/>
          <w:szCs w:val="32"/>
        </w:rPr>
        <w:t>万元，占基本支出的8</w:t>
      </w:r>
      <w:r>
        <w:rPr>
          <w:rFonts w:ascii="仿宋" w:hAnsi="仿宋" w:eastAsia="仿宋"/>
          <w:sz w:val="32"/>
          <w:szCs w:val="32"/>
        </w:rPr>
        <w:t>.</w:t>
      </w:r>
      <w:r>
        <w:rPr>
          <w:rFonts w:hint="eastAsia" w:ascii="仿宋" w:hAnsi="仿宋" w:eastAsia="仿宋"/>
          <w:sz w:val="32"/>
          <w:szCs w:val="32"/>
          <w:lang w:val="en-US" w:eastAsia="zh-CN"/>
        </w:rPr>
        <w:t>42</w:t>
      </w:r>
      <w:r>
        <w:rPr>
          <w:rFonts w:ascii="仿宋" w:hAnsi="仿宋" w:eastAsia="仿宋"/>
          <w:sz w:val="32"/>
          <w:szCs w:val="32"/>
        </w:rPr>
        <w:t>%</w:t>
      </w:r>
      <w:r>
        <w:rPr>
          <w:rFonts w:hint="eastAsia" w:ascii="仿宋" w:hAnsi="仿宋" w:eastAsia="仿宋"/>
          <w:sz w:val="32"/>
          <w:szCs w:val="32"/>
        </w:rPr>
        <w:t>；项目支出177.</w:t>
      </w:r>
      <w:r>
        <w:rPr>
          <w:rFonts w:hint="eastAsia" w:ascii="仿宋" w:hAnsi="仿宋" w:eastAsia="仿宋"/>
          <w:sz w:val="32"/>
          <w:szCs w:val="32"/>
          <w:lang w:val="en-US" w:eastAsia="zh-CN"/>
        </w:rPr>
        <w:t>02</w:t>
      </w:r>
      <w:r>
        <w:rPr>
          <w:rFonts w:hint="eastAsia" w:ascii="仿宋" w:hAnsi="仿宋" w:eastAsia="仿宋"/>
          <w:sz w:val="32"/>
          <w:szCs w:val="32"/>
        </w:rPr>
        <w:t>万元，占总支出额20.2</w:t>
      </w:r>
      <w:r>
        <w:rPr>
          <w:rFonts w:hint="eastAsia" w:ascii="仿宋" w:hAnsi="仿宋" w:eastAsia="仿宋"/>
          <w:sz w:val="32"/>
          <w:szCs w:val="32"/>
          <w:lang w:val="en-US" w:eastAsia="zh-CN"/>
        </w:rPr>
        <w:t>4</w:t>
      </w:r>
      <w:r>
        <w:rPr>
          <w:rFonts w:ascii="仿宋" w:hAnsi="仿宋" w:eastAsia="仿宋"/>
          <w:sz w:val="32"/>
          <w:szCs w:val="32"/>
        </w:rPr>
        <w:t>%</w:t>
      </w:r>
      <w:r>
        <w:rPr>
          <w:rFonts w:hint="eastAsia" w:ascii="仿宋" w:hAnsi="仿宋" w:eastAsia="仿宋"/>
          <w:sz w:val="32"/>
          <w:szCs w:val="32"/>
        </w:rPr>
        <w:t>。包括</w:t>
      </w:r>
      <w:bookmarkStart w:id="5" w:name="OLE_LINK9"/>
      <w:bookmarkStart w:id="6" w:name="_Hlk133159736"/>
      <w:r>
        <w:rPr>
          <w:rFonts w:hint="eastAsia" w:ascii="仿宋_GB2312" w:hAnsi="宋体" w:eastAsia="仿宋_GB2312" w:cs="宋体"/>
          <w:kern w:val="0"/>
          <w:sz w:val="32"/>
          <w:szCs w:val="32"/>
        </w:rPr>
        <w:t>调查队业务经费</w:t>
      </w:r>
      <w:r>
        <w:rPr>
          <w:rFonts w:hint="eastAsia" w:ascii="仿宋_GB2312" w:hAnsi="宋体" w:eastAsia="仿宋_GB2312" w:cs="宋体"/>
          <w:kern w:val="0"/>
          <w:sz w:val="32"/>
          <w:szCs w:val="32"/>
          <w:lang w:val="en-US" w:eastAsia="zh-CN"/>
        </w:rPr>
        <w:t>7.92</w:t>
      </w:r>
      <w:r>
        <w:rPr>
          <w:rFonts w:hint="eastAsia" w:ascii="仿宋_GB2312" w:hAnsi="宋体" w:eastAsia="仿宋_GB2312" w:cs="宋体"/>
          <w:kern w:val="0"/>
          <w:sz w:val="32"/>
          <w:szCs w:val="32"/>
        </w:rPr>
        <w:t>万元；劳务派遣人员经费35.36万元；全区三产限上企业统计工作经费</w:t>
      </w:r>
      <w:r>
        <w:rPr>
          <w:rFonts w:hint="eastAsia" w:ascii="仿宋_GB2312" w:hAnsi="宋体" w:eastAsia="仿宋_GB2312" w:cs="宋体"/>
          <w:kern w:val="0"/>
          <w:sz w:val="32"/>
          <w:szCs w:val="32"/>
          <w:lang w:val="en-US" w:eastAsia="zh-CN"/>
        </w:rPr>
        <w:t>1.87</w:t>
      </w:r>
      <w:r>
        <w:rPr>
          <w:rFonts w:hint="eastAsia" w:ascii="仿宋_GB2312" w:hAnsi="宋体" w:eastAsia="仿宋_GB2312" w:cs="宋体"/>
          <w:kern w:val="0"/>
          <w:sz w:val="32"/>
          <w:szCs w:val="32"/>
        </w:rPr>
        <w:t>万元；失业率调查工作经费</w:t>
      </w:r>
      <w:r>
        <w:rPr>
          <w:rFonts w:hint="eastAsia" w:ascii="仿宋_GB2312" w:hAnsi="宋体" w:eastAsia="仿宋_GB2312" w:cs="宋体"/>
          <w:kern w:val="0"/>
          <w:sz w:val="32"/>
          <w:szCs w:val="32"/>
          <w:lang w:val="en-US" w:eastAsia="zh-CN"/>
        </w:rPr>
        <w:t>3</w:t>
      </w:r>
      <w:r>
        <w:rPr>
          <w:rFonts w:hint="eastAsia" w:ascii="仿宋_GB2312" w:hAnsi="宋体" w:eastAsia="仿宋_GB2312" w:cs="宋体"/>
          <w:kern w:val="0"/>
          <w:sz w:val="32"/>
          <w:szCs w:val="32"/>
        </w:rPr>
        <w:t>万元；统计年鉴印刷费1</w:t>
      </w:r>
      <w:r>
        <w:rPr>
          <w:rFonts w:ascii="仿宋_GB2312" w:hAnsi="宋体" w:eastAsia="仿宋_GB2312" w:cs="宋体"/>
          <w:kern w:val="0"/>
          <w:sz w:val="32"/>
          <w:szCs w:val="32"/>
        </w:rPr>
        <w:t>.5</w:t>
      </w:r>
      <w:r>
        <w:rPr>
          <w:rFonts w:hint="eastAsia" w:ascii="仿宋_GB2312" w:hAnsi="宋体" w:eastAsia="仿宋_GB2312" w:cs="宋体"/>
          <w:kern w:val="0"/>
          <w:sz w:val="32"/>
          <w:szCs w:val="32"/>
        </w:rPr>
        <w:t>万元；统计业务经费1.</w:t>
      </w:r>
      <w:r>
        <w:rPr>
          <w:rFonts w:hint="eastAsia" w:ascii="仿宋_GB2312" w:hAnsi="宋体" w:eastAsia="仿宋_GB2312" w:cs="宋体"/>
          <w:kern w:val="0"/>
          <w:sz w:val="32"/>
          <w:szCs w:val="32"/>
          <w:lang w:val="en-US" w:eastAsia="zh-CN"/>
        </w:rPr>
        <w:t>35</w:t>
      </w:r>
      <w:r>
        <w:rPr>
          <w:rFonts w:hint="eastAsia" w:ascii="仿宋_GB2312" w:hAnsi="宋体" w:eastAsia="仿宋_GB2312" w:cs="宋体"/>
          <w:kern w:val="0"/>
          <w:sz w:val="32"/>
          <w:szCs w:val="32"/>
        </w:rPr>
        <w:t>万元；第五次全国经济普查经费</w:t>
      </w:r>
      <w:r>
        <w:rPr>
          <w:rFonts w:hint="eastAsia" w:ascii="仿宋_GB2312" w:hAnsi="宋体" w:eastAsia="仿宋_GB2312" w:cs="宋体"/>
          <w:kern w:val="0"/>
          <w:sz w:val="32"/>
          <w:szCs w:val="32"/>
          <w:lang w:val="en-US" w:eastAsia="zh-CN"/>
        </w:rPr>
        <w:t>48.53</w:t>
      </w:r>
      <w:r>
        <w:rPr>
          <w:rFonts w:hint="eastAsia" w:ascii="仿宋_GB2312" w:hAnsi="宋体" w:eastAsia="仿宋_GB2312" w:cs="宋体"/>
          <w:kern w:val="0"/>
          <w:sz w:val="32"/>
          <w:szCs w:val="32"/>
        </w:rPr>
        <w:t>万元；</w:t>
      </w:r>
      <w:bookmarkStart w:id="7" w:name="OLE_LINK2"/>
      <w:r>
        <w:rPr>
          <w:rFonts w:hint="eastAsia" w:ascii="仿宋_GB2312" w:hAnsi="宋体" w:eastAsia="仿宋_GB2312" w:cs="宋体"/>
          <w:kern w:val="0"/>
          <w:sz w:val="32"/>
          <w:szCs w:val="32"/>
        </w:rPr>
        <w:t>配合河北省统计局工作经费</w:t>
      </w:r>
      <w:r>
        <w:rPr>
          <w:rFonts w:hint="eastAsia" w:ascii="仿宋_GB2312" w:hAnsi="宋体" w:eastAsia="仿宋_GB2312" w:cs="宋体"/>
          <w:kern w:val="0"/>
          <w:sz w:val="32"/>
          <w:szCs w:val="32"/>
          <w:lang w:val="en-US" w:eastAsia="zh-CN"/>
        </w:rPr>
        <w:t>9万元；住户调查经费67.12万元；追加失业率调查统计工作经费1.37万元。</w:t>
      </w:r>
    </w:p>
    <w:bookmarkEnd w:id="5"/>
    <w:bookmarkEnd w:id="6"/>
    <w:bookmarkEnd w:id="7"/>
    <w:p>
      <w:pPr>
        <w:snapToGrid w:val="0"/>
        <w:spacing w:line="560" w:lineRule="exact"/>
        <w:rPr>
          <w:rFonts w:ascii="仿宋" w:hAnsi="仿宋" w:eastAsia="仿宋" w:cs="仿宋"/>
          <w:sz w:val="32"/>
          <w:szCs w:val="32"/>
        </w:rPr>
      </w:pPr>
    </w:p>
    <w:p>
      <w:pPr>
        <w:adjustRightInd w:val="0"/>
        <w:snapToGrid w:val="0"/>
        <w:spacing w:line="360" w:lineRule="auto"/>
        <w:ind w:firstLine="640" w:firstLineChars="200"/>
        <w:rPr>
          <w:rFonts w:ascii="仿宋_GB2312" w:hAnsi="宋体" w:eastAsia="仿宋_GB2312" w:cs="宋体"/>
          <w:kern w:val="0"/>
          <w:sz w:val="32"/>
          <w:szCs w:val="32"/>
        </w:rPr>
      </w:pPr>
      <w:r>
        <w:rPr>
          <w:rFonts w:ascii="仿宋" w:hAnsi="仿宋" w:eastAsia="仿宋" w:cs="仿宋"/>
          <w:sz w:val="32"/>
          <w:szCs w:val="32"/>
        </w:rPr>
        <w:t>5</w:t>
      </w:r>
      <w:r>
        <w:rPr>
          <w:rFonts w:hint="eastAsia" w:ascii="仿宋" w:hAnsi="仿宋" w:eastAsia="仿宋" w:cs="仿宋"/>
          <w:sz w:val="32"/>
          <w:szCs w:val="32"/>
        </w:rPr>
        <w:t>、部门</w:t>
      </w:r>
      <w:r>
        <w:rPr>
          <w:rFonts w:hint="eastAsia" w:ascii="仿宋_GB2312" w:hAnsi="宋体" w:eastAsia="仿宋_GB2312" w:cs="宋体"/>
          <w:kern w:val="0"/>
          <w:sz w:val="32"/>
          <w:szCs w:val="32"/>
        </w:rPr>
        <w:t>整体支出绩效目标指标情况</w:t>
      </w:r>
    </w:p>
    <w:p>
      <w:pPr>
        <w:pStyle w:val="13"/>
        <w:autoSpaceDE w:val="0"/>
        <w:autoSpaceDN w:val="0"/>
        <w:adjustRightInd w:val="0"/>
        <w:ind w:firstLine="640"/>
        <w:jc w:val="left"/>
        <w:rPr>
          <w:rFonts w:ascii="仿宋_GB2312" w:hAnsi="仿宋_GB2312" w:eastAsia="仿宋_GB2312" w:cs="仿宋_GB2312"/>
          <w:sz w:val="32"/>
          <w:szCs w:val="32"/>
        </w:rPr>
      </w:pPr>
      <w:r>
        <w:rPr>
          <w:rFonts w:hint="eastAsia" w:eastAsia="仿宋"/>
          <w:sz w:val="32"/>
          <w:szCs w:val="32"/>
        </w:rPr>
        <w:t>202</w:t>
      </w:r>
      <w:r>
        <w:rPr>
          <w:rFonts w:hint="eastAsia" w:eastAsia="仿宋"/>
          <w:sz w:val="32"/>
          <w:szCs w:val="32"/>
          <w:lang w:val="en-US" w:eastAsia="zh-CN"/>
        </w:rPr>
        <w:t>4</w:t>
      </w:r>
      <w:r>
        <w:rPr>
          <w:rFonts w:hint="eastAsia" w:eastAsia="仿宋"/>
          <w:sz w:val="32"/>
          <w:szCs w:val="32"/>
        </w:rPr>
        <w:t>年，继续全面贯彻落实区委、区政府决策部署和国家、省、市统计局工作要求，守好为国调查、为民服务的初心，担好实事求是、不出假数的使命，进一步加强和改进统计工作，不断提高统计能力、数据质量和服务水平，为推动创新发展、绿色发展、高质量发展提供优质统计服务，以统计事业改革进步的实际成效，为全区</w:t>
      </w:r>
      <w:r>
        <w:rPr>
          <w:rFonts w:hint="eastAsia" w:ascii="仿宋_GB2312" w:hAnsi="仿宋_GB2312" w:eastAsia="仿宋_GB2312" w:cs="仿宋_GB2312"/>
          <w:sz w:val="32"/>
          <w:szCs w:val="32"/>
        </w:rPr>
        <w:t>高质量发展贡献统计智慧和力量。一是完成全区年度、季度数据及各乡镇年度数据的测算审核认定工作，统计信息上报量不少于8篇；二是完成第五次全国经济普查工作；三是组织开展农业统计与产业化、企业创新、服务业统计、工业统计、能源统计、投资统计、城乡住户一体化、产粮大县等专项统计调查工作。</w:t>
      </w:r>
    </w:p>
    <w:p>
      <w:pPr>
        <w:numPr>
          <w:ilvl w:val="0"/>
          <w:numId w:val="1"/>
        </w:numPr>
        <w:snapToGrid w:val="0"/>
        <w:spacing w:line="560" w:lineRule="exact"/>
        <w:ind w:firstLine="640" w:firstLineChars="200"/>
        <w:jc w:val="left"/>
        <w:rPr>
          <w:rFonts w:ascii="黑体" w:hAnsi="黑体" w:eastAsia="黑体" w:cs="黑体"/>
          <w:sz w:val="32"/>
          <w:szCs w:val="32"/>
        </w:rPr>
      </w:pPr>
      <w:r>
        <w:rPr>
          <w:rFonts w:hint="eastAsia" w:ascii="黑体" w:hAnsi="黑体" w:eastAsia="黑体" w:cs="黑体"/>
          <w:sz w:val="32"/>
          <w:szCs w:val="32"/>
        </w:rPr>
        <w:t>绩效自评工作开展情况</w:t>
      </w:r>
    </w:p>
    <w:p>
      <w:pPr>
        <w:pStyle w:val="10"/>
        <w:tabs>
          <w:tab w:val="left" w:pos="1357"/>
        </w:tabs>
        <w:ind w:firstLine="640"/>
        <w:jc w:val="left"/>
        <w:rPr>
          <w:rFonts w:ascii="仿宋" w:hAnsi="仿宋" w:eastAsia="仿宋" w:cs="仿宋"/>
          <w:sz w:val="32"/>
          <w:szCs w:val="32"/>
        </w:rPr>
      </w:pPr>
      <w:r>
        <w:rPr>
          <w:rFonts w:hint="eastAsia" w:ascii="仿宋" w:hAnsi="仿宋" w:eastAsia="仿宋" w:cs="仿宋"/>
          <w:sz w:val="32"/>
          <w:szCs w:val="32"/>
        </w:rPr>
        <w:t>（一）自评的组织工作</w:t>
      </w:r>
    </w:p>
    <w:p>
      <w:pPr>
        <w:ind w:firstLine="640" w:firstLineChars="200"/>
        <w:jc w:val="left"/>
        <w:rPr>
          <w:rFonts w:ascii="仿宋" w:hAnsi="仿宋" w:eastAsia="仿宋" w:cs="仿宋"/>
          <w:sz w:val="32"/>
          <w:szCs w:val="32"/>
        </w:rPr>
      </w:pPr>
      <w:r>
        <w:rPr>
          <w:rFonts w:hint="eastAsia" w:ascii="仿宋" w:hAnsi="仿宋" w:eastAsia="仿宋" w:cs="仿宋"/>
          <w:sz w:val="32"/>
          <w:szCs w:val="32"/>
        </w:rPr>
        <w:t>为深入贯彻落实中共中央、国务院《关于全面实施预算绩效管理的意见》文件精神,根据石家庄市财政局《石家庄市市级部门预算绩效管理工作考核办法（试行）》的通知精神，强化预算支出责任，提高财政资金支出绩效，我部门严格对照预算文本中制定的部门整体绩效目标，提早部署、分解任务、压实责任、严肃考评。按照《藁城区财政局关于开展202</w:t>
      </w:r>
      <w:r>
        <w:rPr>
          <w:rFonts w:hint="eastAsia" w:ascii="仿宋" w:hAnsi="仿宋" w:eastAsia="仿宋" w:cs="仿宋"/>
          <w:sz w:val="32"/>
          <w:szCs w:val="32"/>
          <w:lang w:val="en-US" w:eastAsia="zh-CN"/>
        </w:rPr>
        <w:t>5</w:t>
      </w:r>
      <w:r>
        <w:rPr>
          <w:rFonts w:hint="eastAsia" w:ascii="仿宋" w:hAnsi="仿宋" w:eastAsia="仿宋" w:cs="仿宋"/>
          <w:sz w:val="32"/>
          <w:szCs w:val="32"/>
        </w:rPr>
        <w:t>年专项项目绩效自评工作的通知》要求，我部门高度重视绩效自评工作，成立了绩效评估工作小组，由区统计局局长</w:t>
      </w:r>
      <w:r>
        <w:rPr>
          <w:rFonts w:hint="eastAsia" w:ascii="仿宋" w:hAnsi="仿宋" w:eastAsia="仿宋" w:cs="仿宋"/>
          <w:sz w:val="32"/>
          <w:szCs w:val="32"/>
          <w:lang w:val="en-US" w:eastAsia="zh-CN"/>
        </w:rPr>
        <w:t>杨玉霄</w:t>
      </w:r>
      <w:r>
        <w:rPr>
          <w:rFonts w:hint="eastAsia" w:ascii="仿宋" w:hAnsi="仿宋" w:eastAsia="仿宋" w:cs="仿宋"/>
          <w:sz w:val="32"/>
          <w:szCs w:val="32"/>
        </w:rPr>
        <w:t>同志任组长，区统计局副局长</w:t>
      </w:r>
      <w:r>
        <w:rPr>
          <w:rFonts w:hint="eastAsia" w:ascii="仿宋" w:hAnsi="仿宋" w:eastAsia="仿宋" w:cs="仿宋"/>
          <w:sz w:val="32"/>
          <w:szCs w:val="32"/>
          <w:lang w:val="en-US" w:eastAsia="zh-CN"/>
        </w:rPr>
        <w:t>王婷</w:t>
      </w:r>
      <w:r>
        <w:rPr>
          <w:rFonts w:hint="eastAsia" w:ascii="仿宋" w:hAnsi="仿宋" w:eastAsia="仿宋" w:cs="仿宋"/>
          <w:sz w:val="32"/>
          <w:szCs w:val="32"/>
        </w:rPr>
        <w:t>、普查中心主任蒲永坡</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党组成员桑力刚、三</w:t>
      </w:r>
      <w:r>
        <w:rPr>
          <w:rFonts w:hint="eastAsia" w:ascii="仿宋" w:hAnsi="仿宋" w:eastAsia="仿宋" w:cs="仿宋"/>
          <w:sz w:val="32"/>
          <w:szCs w:val="32"/>
        </w:rPr>
        <w:t>级</w:t>
      </w:r>
      <w:r>
        <w:rPr>
          <w:rFonts w:hint="eastAsia" w:ascii="仿宋" w:hAnsi="仿宋" w:eastAsia="仿宋" w:cs="仿宋"/>
          <w:sz w:val="32"/>
          <w:szCs w:val="32"/>
          <w:lang w:val="en-US" w:eastAsia="zh-CN"/>
        </w:rPr>
        <w:t>主任科员郭立军、党组</w:t>
      </w:r>
      <w:r>
        <w:rPr>
          <w:rFonts w:hint="eastAsia" w:ascii="仿宋" w:hAnsi="仿宋" w:eastAsia="仿宋" w:cs="仿宋"/>
          <w:sz w:val="32"/>
          <w:szCs w:val="32"/>
        </w:rPr>
        <w:t>担任副组长，办公室主任</w:t>
      </w:r>
      <w:r>
        <w:rPr>
          <w:rFonts w:hint="eastAsia" w:ascii="仿宋" w:hAnsi="仿宋" w:eastAsia="仿宋" w:cs="仿宋"/>
          <w:sz w:val="32"/>
          <w:szCs w:val="32"/>
          <w:lang w:val="en-US" w:eastAsia="zh-CN"/>
        </w:rPr>
        <w:t>王虎威</w:t>
      </w:r>
      <w:r>
        <w:rPr>
          <w:rFonts w:hint="eastAsia" w:ascii="仿宋" w:hAnsi="仿宋" w:eastAsia="仿宋" w:cs="仿宋"/>
          <w:sz w:val="32"/>
          <w:szCs w:val="32"/>
        </w:rPr>
        <w:t>、项目涉及科室股长和财务人员李秀华为小组成员，对202</w:t>
      </w:r>
      <w:r>
        <w:rPr>
          <w:rFonts w:hint="eastAsia" w:ascii="仿宋" w:hAnsi="仿宋" w:eastAsia="仿宋" w:cs="仿宋"/>
          <w:sz w:val="32"/>
          <w:szCs w:val="32"/>
          <w:lang w:val="en-US" w:eastAsia="zh-CN"/>
        </w:rPr>
        <w:t>4</w:t>
      </w:r>
      <w:r>
        <w:rPr>
          <w:rFonts w:hint="eastAsia" w:ascii="仿宋" w:hAnsi="仿宋" w:eastAsia="仿宋" w:cs="仿宋"/>
          <w:sz w:val="32"/>
          <w:szCs w:val="32"/>
        </w:rPr>
        <w:t>年我部门的1</w:t>
      </w:r>
      <w:r>
        <w:rPr>
          <w:rFonts w:hint="eastAsia" w:ascii="仿宋" w:hAnsi="仿宋" w:eastAsia="仿宋" w:cs="仿宋"/>
          <w:sz w:val="32"/>
          <w:szCs w:val="32"/>
          <w:lang w:val="en-US" w:eastAsia="zh-CN"/>
        </w:rPr>
        <w:t>0</w:t>
      </w:r>
      <w:r>
        <w:rPr>
          <w:rFonts w:hint="eastAsia" w:ascii="仿宋" w:hAnsi="仿宋" w:eastAsia="仿宋" w:cs="仿宋"/>
          <w:sz w:val="32"/>
          <w:szCs w:val="32"/>
        </w:rPr>
        <w:t>个项目进行绩效自评。</w:t>
      </w:r>
    </w:p>
    <w:p>
      <w:pPr>
        <w:pStyle w:val="10"/>
        <w:numPr>
          <w:ilvl w:val="0"/>
          <w:numId w:val="3"/>
        </w:numPr>
        <w:ind w:firstLineChars="0"/>
        <w:rPr>
          <w:rFonts w:ascii="宋体" w:hAnsi="宋体"/>
          <w:sz w:val="24"/>
        </w:rPr>
      </w:pPr>
      <w:r>
        <w:rPr>
          <w:rFonts w:hint="eastAsia" w:ascii="仿宋" w:hAnsi="仿宋" w:eastAsia="仿宋" w:cs="仿宋"/>
          <w:sz w:val="32"/>
          <w:szCs w:val="32"/>
        </w:rPr>
        <w:t>自评的方法和过程</w:t>
      </w:r>
    </w:p>
    <w:p>
      <w:pPr>
        <w:ind w:firstLine="640" w:firstLineChars="200"/>
        <w:jc w:val="left"/>
        <w:rPr>
          <w:rFonts w:ascii="仿宋" w:hAnsi="仿宋" w:eastAsia="仿宋" w:cs="仿宋"/>
          <w:sz w:val="32"/>
          <w:szCs w:val="32"/>
        </w:rPr>
      </w:pPr>
      <w:r>
        <w:rPr>
          <w:rFonts w:hint="eastAsia" w:ascii="仿宋" w:hAnsi="仿宋" w:eastAsia="仿宋" w:cs="仿宋"/>
          <w:sz w:val="32"/>
          <w:szCs w:val="32"/>
        </w:rPr>
        <w:t>我部门自评小组在自评工作开展过程中多次召开专题会议，认真学习，掌握评价内容及方法，对照各实施项目的内容逐条逐项自评，将年度绩效指标分解到具体完成的工作中进行评价。通过对收集、整理项目实施材料，财务提交的真实、准确的各种报表，由项目负责人介绍项目预期绩效目标及具体实施取得的实际效果，评价小组成员集中实地检查、核实佐证材料进行评价，绩效自评覆盖率达到了100% 。在评价过程中科学制定指标体系，绩效指标权重按照各个评价对象的实际情况确定，总分设定为100分。原则上一级指标权重统一设置为:产出指标40分（包含数量、质量、时效、成本)、预算执行率指标10分、效益指标40分（包含经济效益、社会效益、生态效益、可持续影响)、满意度指标10 分，若被评价项目不涉及服务对象满意度内容或因服务对象满意度获取难度较大、成本较高而未能获取，则服务对象满意度的10分调入绩效考核事项。二、三级指标所占权重应当根据指标重要程度、项目实施阶段等因素综合确定，准确反映预算项目的产出和效果。同类评价对象的指标权重设置应当基本一致，便于评价结果相互比较。通过部门项目绩效自评小组集中评审，我部门开展的项目评价等级均达到优。</w:t>
      </w:r>
    </w:p>
    <w:p>
      <w:pPr>
        <w:numPr>
          <w:ilvl w:val="0"/>
          <w:numId w:val="4"/>
        </w:numPr>
        <w:snapToGrid w:val="0"/>
        <w:spacing w:line="560" w:lineRule="exact"/>
        <w:ind w:firstLine="640"/>
        <w:jc w:val="left"/>
        <w:rPr>
          <w:rFonts w:ascii="黑体" w:hAnsi="黑体" w:eastAsia="黑体" w:cs="黑体"/>
          <w:sz w:val="32"/>
          <w:szCs w:val="32"/>
        </w:rPr>
      </w:pPr>
      <w:r>
        <w:rPr>
          <w:rFonts w:hint="eastAsia" w:ascii="黑体" w:hAnsi="黑体" w:eastAsia="黑体" w:cs="黑体"/>
          <w:sz w:val="32"/>
          <w:szCs w:val="32"/>
        </w:rPr>
        <w:t>部门整体支出绩效目标实现情况及指标分析</w:t>
      </w:r>
    </w:p>
    <w:p>
      <w:pPr>
        <w:pStyle w:val="10"/>
        <w:numPr>
          <w:ilvl w:val="0"/>
          <w:numId w:val="5"/>
        </w:numPr>
        <w:ind w:firstLine="640"/>
        <w:rPr>
          <w:rFonts w:ascii="仿宋" w:hAnsi="仿宋" w:eastAsia="仿宋" w:cs="仿宋"/>
          <w:sz w:val="32"/>
          <w:szCs w:val="32"/>
        </w:rPr>
      </w:pPr>
      <w:r>
        <w:rPr>
          <w:rFonts w:hint="eastAsia" w:ascii="仿宋" w:hAnsi="仿宋" w:eastAsia="仿宋" w:cs="仿宋"/>
          <w:sz w:val="32"/>
          <w:szCs w:val="32"/>
        </w:rPr>
        <w:t>总体绩效目标实现情况</w:t>
      </w:r>
    </w:p>
    <w:p>
      <w:pPr>
        <w:adjustRightInd w:val="0"/>
        <w:snapToGrid w:val="0"/>
        <w:spacing w:line="360" w:lineRule="auto"/>
        <w:rPr>
          <w:rFonts w:ascii="仿宋_GB2312" w:hAnsi="宋体" w:eastAsia="仿宋_GB2312" w:cs="宋体"/>
          <w:kern w:val="0"/>
          <w:sz w:val="32"/>
          <w:szCs w:val="32"/>
        </w:rPr>
      </w:pPr>
      <w:r>
        <w:rPr>
          <w:rFonts w:hint="eastAsia" w:ascii="仿宋_GB2312" w:hAnsi="仿宋_GB2312" w:eastAsia="仿宋_GB2312" w:cs="宋体"/>
          <w:sz w:val="32"/>
          <w:szCs w:val="32"/>
        </w:rPr>
        <w:t>202</w:t>
      </w:r>
      <w:r>
        <w:rPr>
          <w:rFonts w:hint="eastAsia" w:ascii="仿宋_GB2312" w:hAnsi="仿宋_GB2312" w:eastAsia="仿宋_GB2312" w:cs="宋体"/>
          <w:sz w:val="32"/>
          <w:szCs w:val="32"/>
          <w:lang w:val="en-US" w:eastAsia="zh-CN"/>
        </w:rPr>
        <w:t>4</w:t>
      </w:r>
      <w:r>
        <w:rPr>
          <w:rFonts w:hint="eastAsia" w:ascii="仿宋_GB2312" w:hAnsi="仿宋_GB2312" w:eastAsia="仿宋_GB2312" w:cs="宋体"/>
          <w:sz w:val="32"/>
          <w:szCs w:val="32"/>
        </w:rPr>
        <w:t>年度我部门共有1</w:t>
      </w:r>
      <w:r>
        <w:rPr>
          <w:rFonts w:hint="eastAsia" w:ascii="仿宋_GB2312" w:hAnsi="仿宋_GB2312" w:eastAsia="仿宋_GB2312" w:cs="宋体"/>
          <w:sz w:val="32"/>
          <w:szCs w:val="32"/>
          <w:lang w:val="en-US" w:eastAsia="zh-CN"/>
        </w:rPr>
        <w:t>0</w:t>
      </w:r>
      <w:r>
        <w:rPr>
          <w:rFonts w:hint="eastAsia" w:ascii="仿宋_GB2312" w:hAnsi="仿宋_GB2312" w:eastAsia="仿宋_GB2312" w:cs="宋体"/>
          <w:sz w:val="32"/>
          <w:szCs w:val="32"/>
        </w:rPr>
        <w:t>个项目</w:t>
      </w:r>
      <w:r>
        <w:rPr>
          <w:rFonts w:ascii="仿宋_GB2312" w:hAnsi="仿宋_GB2312" w:eastAsia="仿宋_GB2312" w:cs="宋体"/>
          <w:sz w:val="32"/>
          <w:szCs w:val="32"/>
        </w:rPr>
        <w:t>，具体为：</w:t>
      </w:r>
      <w:r>
        <w:rPr>
          <w:rFonts w:hint="eastAsia" w:ascii="仿宋_GB2312" w:hAnsi="宋体" w:eastAsia="仿宋_GB2312" w:cs="宋体"/>
          <w:kern w:val="0"/>
          <w:sz w:val="32"/>
          <w:szCs w:val="32"/>
        </w:rPr>
        <w:t>调查队业务经费</w:t>
      </w:r>
      <w:r>
        <w:rPr>
          <w:rFonts w:hint="eastAsia" w:ascii="仿宋_GB2312" w:hAnsi="宋体" w:eastAsia="仿宋_GB2312" w:cs="宋体"/>
          <w:kern w:val="0"/>
          <w:sz w:val="32"/>
          <w:szCs w:val="32"/>
          <w:lang w:val="en-US" w:eastAsia="zh-CN"/>
        </w:rPr>
        <w:t>7.92</w:t>
      </w:r>
      <w:r>
        <w:rPr>
          <w:rFonts w:hint="eastAsia" w:ascii="仿宋_GB2312" w:hAnsi="宋体" w:eastAsia="仿宋_GB2312" w:cs="宋体"/>
          <w:kern w:val="0"/>
          <w:sz w:val="32"/>
          <w:szCs w:val="32"/>
        </w:rPr>
        <w:t>万元；劳务派遣人员经费</w:t>
      </w:r>
      <w:r>
        <w:rPr>
          <w:rFonts w:hint="eastAsia" w:ascii="仿宋_GB2312" w:hAnsi="宋体" w:eastAsia="仿宋_GB2312" w:cs="宋体"/>
          <w:kern w:val="0"/>
          <w:sz w:val="32"/>
          <w:szCs w:val="32"/>
          <w:lang w:val="en-US" w:eastAsia="zh-CN"/>
        </w:rPr>
        <w:t>35.36</w:t>
      </w:r>
      <w:r>
        <w:rPr>
          <w:rFonts w:hint="eastAsia" w:ascii="仿宋_GB2312" w:hAnsi="宋体" w:eastAsia="仿宋_GB2312" w:cs="宋体"/>
          <w:kern w:val="0"/>
          <w:sz w:val="32"/>
          <w:szCs w:val="32"/>
        </w:rPr>
        <w:t>万元；全区三产限上企业统计工作经费</w:t>
      </w:r>
      <w:r>
        <w:rPr>
          <w:rFonts w:hint="eastAsia" w:ascii="仿宋_GB2312" w:hAnsi="宋体" w:eastAsia="仿宋_GB2312" w:cs="宋体"/>
          <w:kern w:val="0"/>
          <w:sz w:val="32"/>
          <w:szCs w:val="32"/>
          <w:lang w:val="en-US" w:eastAsia="zh-CN"/>
        </w:rPr>
        <w:t>1.87</w:t>
      </w:r>
      <w:r>
        <w:rPr>
          <w:rFonts w:hint="eastAsia" w:ascii="仿宋_GB2312" w:hAnsi="宋体" w:eastAsia="仿宋_GB2312" w:cs="宋体"/>
          <w:kern w:val="0"/>
          <w:sz w:val="32"/>
          <w:szCs w:val="32"/>
        </w:rPr>
        <w:t>万元；失业率调查工作经费</w:t>
      </w:r>
      <w:r>
        <w:rPr>
          <w:rFonts w:hint="eastAsia" w:ascii="仿宋_GB2312" w:hAnsi="宋体" w:eastAsia="仿宋_GB2312" w:cs="宋体"/>
          <w:kern w:val="0"/>
          <w:sz w:val="32"/>
          <w:szCs w:val="32"/>
          <w:lang w:val="en-US" w:eastAsia="zh-CN"/>
        </w:rPr>
        <w:t>3</w:t>
      </w:r>
      <w:r>
        <w:rPr>
          <w:rFonts w:hint="eastAsia" w:ascii="仿宋_GB2312" w:hAnsi="宋体" w:eastAsia="仿宋_GB2312" w:cs="宋体"/>
          <w:kern w:val="0"/>
          <w:sz w:val="32"/>
          <w:szCs w:val="32"/>
        </w:rPr>
        <w:t>万元；统计年鉴印刷费1</w:t>
      </w:r>
      <w:r>
        <w:rPr>
          <w:rFonts w:ascii="仿宋_GB2312" w:hAnsi="宋体" w:eastAsia="仿宋_GB2312" w:cs="宋体"/>
          <w:kern w:val="0"/>
          <w:sz w:val="32"/>
          <w:szCs w:val="32"/>
        </w:rPr>
        <w:t>.5</w:t>
      </w:r>
      <w:r>
        <w:rPr>
          <w:rFonts w:hint="eastAsia" w:ascii="仿宋_GB2312" w:hAnsi="宋体" w:eastAsia="仿宋_GB2312" w:cs="宋体"/>
          <w:kern w:val="0"/>
          <w:sz w:val="32"/>
          <w:szCs w:val="32"/>
        </w:rPr>
        <w:t>万元；统计业务经费1.</w:t>
      </w:r>
      <w:r>
        <w:rPr>
          <w:rFonts w:hint="eastAsia" w:ascii="仿宋_GB2312" w:hAnsi="宋体" w:eastAsia="仿宋_GB2312" w:cs="宋体"/>
          <w:kern w:val="0"/>
          <w:sz w:val="32"/>
          <w:szCs w:val="32"/>
          <w:lang w:val="en-US" w:eastAsia="zh-CN"/>
        </w:rPr>
        <w:t>35</w:t>
      </w:r>
      <w:r>
        <w:rPr>
          <w:rFonts w:hint="eastAsia" w:ascii="仿宋_GB2312" w:hAnsi="宋体" w:eastAsia="仿宋_GB2312" w:cs="宋体"/>
          <w:kern w:val="0"/>
          <w:sz w:val="32"/>
          <w:szCs w:val="32"/>
        </w:rPr>
        <w:t>万元；第五次全国经济普查经费</w:t>
      </w:r>
      <w:r>
        <w:rPr>
          <w:rFonts w:hint="eastAsia" w:ascii="仿宋_GB2312" w:hAnsi="宋体" w:eastAsia="仿宋_GB2312" w:cs="宋体"/>
          <w:kern w:val="0"/>
          <w:sz w:val="32"/>
          <w:szCs w:val="32"/>
          <w:lang w:val="en-US" w:eastAsia="zh-CN"/>
        </w:rPr>
        <w:t>48.53</w:t>
      </w:r>
      <w:r>
        <w:rPr>
          <w:rFonts w:hint="eastAsia" w:ascii="仿宋_GB2312" w:hAnsi="宋体" w:eastAsia="仿宋_GB2312" w:cs="宋体"/>
          <w:kern w:val="0"/>
          <w:sz w:val="32"/>
          <w:szCs w:val="32"/>
        </w:rPr>
        <w:t>万元；</w:t>
      </w:r>
      <w:bookmarkStart w:id="8" w:name="OLE_LINK4"/>
      <w:r>
        <w:rPr>
          <w:rFonts w:hint="eastAsia" w:ascii="仿宋_GB2312" w:hAnsi="宋体" w:eastAsia="仿宋_GB2312" w:cs="宋体"/>
          <w:kern w:val="0"/>
          <w:sz w:val="32"/>
          <w:szCs w:val="32"/>
        </w:rPr>
        <w:t>配合河北省统计局工作经费</w:t>
      </w:r>
      <w:bookmarkEnd w:id="8"/>
      <w:r>
        <w:rPr>
          <w:rFonts w:hint="eastAsia" w:ascii="仿宋_GB2312" w:hAnsi="宋体" w:eastAsia="仿宋_GB2312" w:cs="宋体"/>
          <w:kern w:val="0"/>
          <w:sz w:val="32"/>
          <w:szCs w:val="32"/>
          <w:lang w:val="en-US" w:eastAsia="zh-CN"/>
        </w:rPr>
        <w:t>9万元；</w:t>
      </w:r>
      <w:bookmarkStart w:id="9" w:name="OLE_LINK5"/>
      <w:r>
        <w:rPr>
          <w:rFonts w:hint="eastAsia" w:ascii="仿宋_GB2312" w:hAnsi="宋体" w:eastAsia="仿宋_GB2312" w:cs="宋体"/>
          <w:kern w:val="0"/>
          <w:sz w:val="32"/>
          <w:szCs w:val="32"/>
          <w:lang w:val="en-US" w:eastAsia="zh-CN"/>
        </w:rPr>
        <w:t>住户调查经费</w:t>
      </w:r>
      <w:bookmarkEnd w:id="9"/>
      <w:r>
        <w:rPr>
          <w:rFonts w:hint="eastAsia" w:ascii="仿宋_GB2312" w:hAnsi="宋体" w:eastAsia="仿宋_GB2312" w:cs="宋体"/>
          <w:kern w:val="0"/>
          <w:sz w:val="32"/>
          <w:szCs w:val="32"/>
          <w:lang w:val="en-US" w:eastAsia="zh-CN"/>
        </w:rPr>
        <w:t>67.12万元；追加失业率调查统计工作经费1.37万元。</w:t>
      </w:r>
      <w:r>
        <w:rPr>
          <w:rFonts w:ascii="仿宋_GB2312" w:hAnsi="仿宋_GB2312" w:eastAsia="仿宋_GB2312" w:cs="宋体"/>
          <w:sz w:val="32"/>
          <w:szCs w:val="32"/>
        </w:rPr>
        <w:t>每个项目目标完成情况的总体完成率均为</w:t>
      </w:r>
      <w:r>
        <w:rPr>
          <w:rFonts w:hint="eastAsia" w:ascii="仿宋_GB2312" w:hAnsi="仿宋_GB2312" w:eastAsia="仿宋_GB2312" w:cs="宋体"/>
          <w:sz w:val="32"/>
          <w:szCs w:val="32"/>
        </w:rPr>
        <w:t>100%；根据项目产出指标、效益指标、满意度指标的平分结果，评价等级均为优。</w:t>
      </w:r>
    </w:p>
    <w:p>
      <w:pPr>
        <w:pStyle w:val="10"/>
        <w:numPr>
          <w:ilvl w:val="0"/>
          <w:numId w:val="5"/>
        </w:num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分项绩效目标实现情况</w:t>
      </w:r>
    </w:p>
    <w:p>
      <w:pPr>
        <w:pStyle w:val="3"/>
        <w:keepNext w:val="0"/>
        <w:keepLines w:val="0"/>
        <w:pageBreakBefore w:val="0"/>
        <w:widowControl w:val="0"/>
        <w:kinsoku/>
        <w:wordWrap/>
        <w:overflowPunct/>
        <w:topLinePunct/>
        <w:autoSpaceDE w:val="0"/>
        <w:autoSpaceDN w:val="0"/>
        <w:bidi w:val="0"/>
        <w:adjustRightInd w:val="0"/>
        <w:snapToGrid w:val="0"/>
        <w:spacing w:line="560" w:lineRule="exact"/>
        <w:ind w:left="0" w:right="0" w:firstLine="640" w:firstLineChars="200"/>
        <w:jc w:val="both"/>
        <w:textAlignment w:val="baseline"/>
        <w:outlineLvl w:val="0"/>
        <w:rPr>
          <w:rFonts w:hint="default" w:ascii="楷体_GB2312" w:hAnsi="楷体_GB2312" w:eastAsia="楷体_GB2312" w:cs="楷体_GB2312"/>
          <w:b w:val="0"/>
          <w:bCs w:val="0"/>
          <w:color w:val="auto"/>
          <w:kern w:val="2"/>
          <w:sz w:val="32"/>
          <w:szCs w:val="32"/>
          <w:shd w:val="clear" w:color="auto" w:fill="auto"/>
          <w:lang w:val="en-US" w:eastAsia="zh-CN" w:bidi="ar-SA"/>
        </w:rPr>
      </w:pPr>
      <w:r>
        <w:rPr>
          <w:rFonts w:hint="eastAsia" w:ascii="楷体_GB2312" w:hAnsi="楷体_GB2312" w:eastAsia="楷体_GB2312" w:cs="楷体_GB2312"/>
          <w:b w:val="0"/>
          <w:bCs w:val="0"/>
          <w:color w:val="auto"/>
          <w:kern w:val="2"/>
          <w:sz w:val="32"/>
          <w:szCs w:val="32"/>
          <w:shd w:val="clear" w:color="auto" w:fill="auto"/>
          <w:lang w:val="en-US" w:eastAsia="zh-CN" w:bidi="ar-SA"/>
        </w:rPr>
        <w:t>1、主</w:t>
      </w:r>
      <w:bookmarkStart w:id="10" w:name="OLE_LINK3"/>
      <w:r>
        <w:rPr>
          <w:rFonts w:hint="eastAsia" w:ascii="楷体_GB2312" w:hAnsi="楷体_GB2312" w:eastAsia="楷体_GB2312" w:cs="楷体_GB2312"/>
          <w:b w:val="0"/>
          <w:bCs w:val="0"/>
          <w:color w:val="auto"/>
          <w:kern w:val="2"/>
          <w:sz w:val="32"/>
          <w:szCs w:val="32"/>
          <w:shd w:val="clear" w:color="auto" w:fill="auto"/>
          <w:lang w:val="en-US" w:eastAsia="zh-CN" w:bidi="ar-SA"/>
        </w:rPr>
        <w:t>要经济指标完成情况</w:t>
      </w:r>
      <w:bookmarkEnd w:id="10"/>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前三季度，</w:t>
      </w:r>
      <w:r>
        <w:rPr>
          <w:rFonts w:hint="eastAsia" w:ascii="仿宋_GB2312" w:hAnsi="仿宋_GB2312" w:eastAsia="仿宋_GB2312" w:cs="仿宋_GB2312"/>
          <w:color w:val="auto"/>
          <w:kern w:val="0"/>
          <w:sz w:val="32"/>
          <w:szCs w:val="32"/>
          <w:shd w:val="clear" w:color="auto" w:fill="auto"/>
          <w:lang w:val="en-US" w:eastAsia="zh-CN"/>
        </w:rPr>
        <w:t>全区地区生产总值完成180.4亿元，同比增长5.4%；</w:t>
      </w:r>
      <w:r>
        <w:rPr>
          <w:rFonts w:hint="eastAsia" w:ascii="仿宋_GB2312" w:hAnsi="仿宋_GB2312" w:eastAsia="仿宋_GB2312" w:cs="仿宋_GB2312"/>
          <w:color w:val="auto"/>
          <w:sz w:val="32"/>
          <w:szCs w:val="32"/>
          <w:lang w:val="en-US" w:eastAsia="zh-CN"/>
        </w:rPr>
        <w:t>社会消费品零售总额完成68.9亿元，同比增长0.8%。1-10月份，规模以上工业增加值完成15.5亿元，同比增长7.5％；固定资产投资完成37.7亿元，同比增长8.7%；限上企业消费品零售额完成14.0亿元，同比下降11.3%。</w:t>
      </w:r>
    </w:p>
    <w:p>
      <w:pPr>
        <w:pStyle w:val="3"/>
        <w:keepNext w:val="0"/>
        <w:keepLines w:val="0"/>
        <w:pageBreakBefore w:val="0"/>
        <w:widowControl w:val="0"/>
        <w:kinsoku/>
        <w:wordWrap/>
        <w:overflowPunct/>
        <w:topLinePunct/>
        <w:autoSpaceDE w:val="0"/>
        <w:autoSpaceDN w:val="0"/>
        <w:bidi w:val="0"/>
        <w:adjustRightInd w:val="0"/>
        <w:snapToGrid w:val="0"/>
        <w:spacing w:line="560" w:lineRule="exact"/>
        <w:ind w:left="0" w:right="0" w:firstLine="640" w:firstLineChars="200"/>
        <w:jc w:val="both"/>
        <w:textAlignment w:val="baseline"/>
        <w:outlineLvl w:val="0"/>
        <w:rPr>
          <w:rFonts w:hint="eastAsia" w:ascii="楷体_GB2312" w:hAnsi="楷体_GB2312" w:eastAsia="楷体_GB2312" w:cs="楷体_GB2312"/>
          <w:color w:val="auto"/>
          <w:kern w:val="2"/>
          <w:sz w:val="32"/>
          <w:szCs w:val="32"/>
          <w:shd w:val="clear" w:color="auto" w:fill="auto"/>
          <w:lang w:val="en-US" w:eastAsia="zh-CN" w:bidi="ar-SA"/>
        </w:rPr>
      </w:pPr>
      <w:r>
        <w:rPr>
          <w:rFonts w:hint="eastAsia" w:ascii="楷体_GB2312" w:hAnsi="楷体_GB2312" w:eastAsia="楷体_GB2312" w:cs="楷体_GB2312"/>
          <w:color w:val="auto"/>
          <w:kern w:val="2"/>
          <w:sz w:val="32"/>
          <w:szCs w:val="32"/>
          <w:shd w:val="clear" w:color="auto" w:fill="auto"/>
          <w:lang w:val="en-US" w:eastAsia="zh-CN" w:bidi="ar-SA"/>
        </w:rPr>
        <w:t>2、守正创新强实效，统计服务提标提质</w:t>
      </w:r>
    </w:p>
    <w:p>
      <w:pPr>
        <w:pStyle w:val="16"/>
        <w:keepNext w:val="0"/>
        <w:keepLines w:val="0"/>
        <w:pageBreakBefore w:val="0"/>
        <w:widowControl w:val="0"/>
        <w:numPr>
          <w:ilvl w:val="0"/>
          <w:numId w:val="0"/>
        </w:numPr>
        <w:kinsoku/>
        <w:wordWrap/>
        <w:overflowPunct/>
        <w:topLinePunct w:val="0"/>
        <w:autoSpaceDE/>
        <w:autoSpaceDN/>
        <w:bidi w:val="0"/>
        <w:spacing w:line="560" w:lineRule="exact"/>
        <w:ind w:firstLine="643"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val="en-US" w:eastAsia="zh-CN"/>
        </w:rPr>
        <w:t>一是</w:t>
      </w:r>
      <w:r>
        <w:rPr>
          <w:rFonts w:hint="eastAsia" w:ascii="仿宋_GB2312" w:hAnsi="仿宋_GB2312" w:eastAsia="仿宋_GB2312" w:cs="仿宋_GB2312"/>
          <w:color w:val="auto"/>
          <w:sz w:val="32"/>
          <w:szCs w:val="32"/>
          <w:lang w:val="en-US" w:eastAsia="zh-CN"/>
        </w:rPr>
        <w:t>围绕工业、投资、农业、贸易等专业，加强运行监测，积极开展调研，强化GDP核算和支撑性指标预测分析，着力加强对重点行业、主导产业、龙头企业的动态监测和预警分析，及时联系相关部门分析研究，为全区经济发展保持稳进提质态势提供有力统计支撑，撰写统计分析13篇，为区委、区政府精准研判、精准施策提供坚实的统计支撑。</w:t>
      </w:r>
      <w:r>
        <w:rPr>
          <w:rFonts w:hint="eastAsia" w:ascii="仿宋_GB2312" w:hAnsi="仿宋_GB2312" w:eastAsia="仿宋_GB2312" w:cs="仿宋_GB2312"/>
          <w:b/>
          <w:bCs/>
          <w:color w:val="auto"/>
          <w:sz w:val="32"/>
          <w:szCs w:val="32"/>
          <w:lang w:val="en-US" w:eastAsia="zh-CN"/>
        </w:rPr>
        <w:t>二是</w:t>
      </w:r>
      <w:r>
        <w:rPr>
          <w:rFonts w:hint="eastAsia" w:ascii="仿宋_GB2312" w:hAnsi="仿宋_GB2312" w:eastAsia="仿宋_GB2312" w:cs="仿宋_GB2312"/>
          <w:color w:val="auto"/>
          <w:sz w:val="32"/>
          <w:szCs w:val="32"/>
          <w:lang w:val="en-US" w:eastAsia="zh-CN"/>
        </w:rPr>
        <w:t>开展统计分析报告评议活动2次，对各专业撰写的分析报告进行传阅点评，针对统计分析报告不会写、不能写的问题开展研讨，切实提高了统计分析撰写能力。</w:t>
      </w:r>
      <w:r>
        <w:rPr>
          <w:rFonts w:hint="eastAsia" w:ascii="仿宋_GB2312" w:hAnsi="仿宋_GB2312" w:eastAsia="仿宋_GB2312" w:cs="仿宋_GB2312"/>
          <w:b/>
          <w:bCs/>
          <w:color w:val="auto"/>
          <w:sz w:val="32"/>
          <w:szCs w:val="32"/>
          <w:lang w:val="en-US" w:eastAsia="zh-CN"/>
        </w:rPr>
        <w:t>三是</w:t>
      </w:r>
      <w:r>
        <w:rPr>
          <w:rFonts w:hint="eastAsia" w:ascii="仿宋_GB2312" w:hAnsi="仿宋_GB2312" w:eastAsia="仿宋_GB2312" w:cs="仿宋_GB2312"/>
          <w:color w:val="auto"/>
          <w:sz w:val="32"/>
          <w:szCs w:val="32"/>
          <w:lang w:val="en-US" w:eastAsia="zh-CN"/>
        </w:rPr>
        <w:t>强化重点行业发展分析，针对新民居项目入库规定、待入库投资项目进展、贸易线上企业发展情况、工业企业发展情况等重点行业进行细致分析，形成了“事前预警，事中跟踪、事后分析”服务模式，协调联动，更加精准发力，及时就全区经济运行趋势、拐点、苗头性问题，与各相关单位定期、不定期开展会商研讨9次，查找原因，进行系统性、准确性的分析，给出前瞻性、建设性建议，确保各项指标平稳运行，及时撰写统计经济运行分析，正确引导发展预期。</w:t>
      </w:r>
    </w:p>
    <w:p>
      <w:pPr>
        <w:pStyle w:val="3"/>
        <w:keepNext w:val="0"/>
        <w:keepLines w:val="0"/>
        <w:pageBreakBefore w:val="0"/>
        <w:widowControl w:val="0"/>
        <w:kinsoku/>
        <w:wordWrap/>
        <w:overflowPunct/>
        <w:topLinePunct/>
        <w:autoSpaceDE w:val="0"/>
        <w:autoSpaceDN w:val="0"/>
        <w:bidi w:val="0"/>
        <w:adjustRightInd w:val="0"/>
        <w:snapToGrid w:val="0"/>
        <w:spacing w:line="560" w:lineRule="exact"/>
        <w:ind w:left="0" w:right="0" w:firstLine="640" w:firstLineChars="200"/>
        <w:jc w:val="both"/>
        <w:textAlignment w:val="baseline"/>
        <w:outlineLvl w:val="0"/>
        <w:rPr>
          <w:rFonts w:hint="default" w:ascii="楷体_GB2312" w:hAnsi="楷体_GB2312" w:eastAsia="楷体_GB2312" w:cs="楷体_GB2312"/>
          <w:color w:val="auto"/>
          <w:kern w:val="2"/>
          <w:sz w:val="32"/>
          <w:szCs w:val="32"/>
          <w:shd w:val="clear" w:color="auto" w:fill="auto"/>
          <w:lang w:val="en-US" w:eastAsia="zh-CN" w:bidi="ar-SA"/>
        </w:rPr>
      </w:pPr>
      <w:r>
        <w:rPr>
          <w:rFonts w:hint="eastAsia" w:ascii="楷体_GB2312" w:hAnsi="楷体_GB2312" w:eastAsia="楷体_GB2312" w:cs="楷体_GB2312"/>
          <w:color w:val="auto"/>
          <w:kern w:val="2"/>
          <w:sz w:val="32"/>
          <w:szCs w:val="32"/>
          <w:shd w:val="clear" w:color="auto" w:fill="auto"/>
          <w:lang w:val="en-US" w:eastAsia="zh-CN" w:bidi="ar-SA"/>
        </w:rPr>
        <w:t>3、务实笃行强落实，数据质量提高提升</w:t>
      </w:r>
    </w:p>
    <w:p>
      <w:pPr>
        <w:pStyle w:val="16"/>
        <w:keepNext w:val="0"/>
        <w:keepLines w:val="0"/>
        <w:pageBreakBefore w:val="0"/>
        <w:widowControl w:val="0"/>
        <w:numPr>
          <w:ilvl w:val="0"/>
          <w:numId w:val="0"/>
        </w:numPr>
        <w:kinsoku/>
        <w:wordWrap/>
        <w:overflowPunct/>
        <w:topLinePunct w:val="0"/>
        <w:autoSpaceDE/>
        <w:autoSpaceDN/>
        <w:bidi w:val="0"/>
        <w:spacing w:line="560" w:lineRule="exact"/>
        <w:ind w:firstLine="643"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val="en-US" w:eastAsia="zh-CN"/>
        </w:rPr>
        <w:t>一是</w:t>
      </w:r>
      <w:r>
        <w:rPr>
          <w:rFonts w:hint="eastAsia" w:ascii="仿宋_GB2312" w:hAnsi="仿宋_GB2312" w:eastAsia="仿宋_GB2312" w:cs="仿宋_GB2312"/>
          <w:color w:val="auto"/>
          <w:sz w:val="32"/>
          <w:szCs w:val="32"/>
          <w:lang w:val="en-US" w:eastAsia="zh-CN"/>
        </w:rPr>
        <w:t>组织精干力量，开展基层统计工作培训，进一步强调“企业一套表”平台操作步骤及审核注意事项，分批次开展了全区常态化统计工作培训会两轮共13场。</w:t>
      </w:r>
      <w:r>
        <w:rPr>
          <w:rFonts w:hint="eastAsia" w:ascii="仿宋_GB2312" w:hAnsi="仿宋_GB2312" w:eastAsia="仿宋_GB2312" w:cs="仿宋_GB2312"/>
          <w:b/>
          <w:bCs/>
          <w:color w:val="auto"/>
          <w:sz w:val="32"/>
          <w:szCs w:val="32"/>
          <w:lang w:val="en-US" w:eastAsia="zh-CN"/>
        </w:rPr>
        <w:t>二是</w:t>
      </w:r>
      <w:r>
        <w:rPr>
          <w:rFonts w:hint="eastAsia" w:ascii="仿宋_GB2312" w:hAnsi="仿宋_GB2312" w:eastAsia="仿宋_GB2312" w:cs="仿宋_GB2312"/>
          <w:color w:val="auto"/>
          <w:sz w:val="32"/>
          <w:szCs w:val="32"/>
          <w:lang w:val="en-US" w:eastAsia="zh-CN"/>
        </w:rPr>
        <w:t>在数据上报期间，严格审核，利用审核模板每天对上报企业进行“即报即审”，要求实地核查，让企业在规定时限内做出合理说明反馈。各专业共查询企业316家，审核数据和材料凭证企业201家，实地核查企业78家，切实提高了源头数据质量。三</w:t>
      </w:r>
      <w:r>
        <w:rPr>
          <w:rFonts w:hint="eastAsia" w:ascii="仿宋_GB2312" w:hAnsi="仿宋_GB2312" w:eastAsia="仿宋_GB2312" w:cs="仿宋_GB2312"/>
          <w:b/>
          <w:bCs/>
          <w:color w:val="auto"/>
          <w:sz w:val="32"/>
          <w:szCs w:val="32"/>
          <w:lang w:val="en-US" w:eastAsia="zh-CN"/>
        </w:rPr>
        <w:t>是</w:t>
      </w:r>
      <w:r>
        <w:rPr>
          <w:rFonts w:hint="eastAsia" w:ascii="仿宋_GB2312" w:hAnsi="仿宋_GB2312" w:eastAsia="仿宋_GB2312" w:cs="仿宋_GB2312"/>
          <w:color w:val="auto"/>
          <w:sz w:val="32"/>
          <w:szCs w:val="32"/>
          <w:lang w:val="en-US" w:eastAsia="zh-CN"/>
        </w:rPr>
        <w:t>严格按照入库审核标准和要求，对符合入库条件的企业，逐户审核，做到有理有据、真实可靠。紧盯时间节点，深入项目现场察看项目进展情况，找准找实项目入统中存在的难点、堵点，高效做好与职能部门和乡镇区的对接工作，及时“消化”问题存量，促进了项目入库工作。截至12月，固投新入库项目44个（建设项目43个，房地产项目1个），规上工业新入库企业8家，服务业新入统企业1家，贸易业新入统企业3家。</w:t>
      </w:r>
    </w:p>
    <w:p>
      <w:pPr>
        <w:pStyle w:val="3"/>
        <w:keepNext w:val="0"/>
        <w:keepLines w:val="0"/>
        <w:pageBreakBefore w:val="0"/>
        <w:widowControl w:val="0"/>
        <w:kinsoku/>
        <w:wordWrap/>
        <w:overflowPunct/>
        <w:topLinePunct/>
        <w:autoSpaceDE w:val="0"/>
        <w:autoSpaceDN w:val="0"/>
        <w:bidi w:val="0"/>
        <w:adjustRightInd w:val="0"/>
        <w:snapToGrid w:val="0"/>
        <w:spacing w:line="560" w:lineRule="exact"/>
        <w:ind w:left="0" w:right="0" w:firstLine="640" w:firstLineChars="200"/>
        <w:jc w:val="both"/>
        <w:textAlignment w:val="baseline"/>
        <w:outlineLvl w:val="0"/>
        <w:rPr>
          <w:rFonts w:hint="default" w:ascii="楷体_GB2312" w:hAnsi="楷体_GB2312" w:eastAsia="楷体_GB2312" w:cs="楷体_GB2312"/>
          <w:color w:val="auto"/>
          <w:kern w:val="2"/>
          <w:sz w:val="32"/>
          <w:szCs w:val="32"/>
          <w:shd w:val="clear" w:color="auto" w:fill="auto"/>
          <w:lang w:val="en-US" w:eastAsia="zh-CN" w:bidi="ar-SA"/>
        </w:rPr>
      </w:pPr>
      <w:r>
        <w:rPr>
          <w:rFonts w:hint="eastAsia" w:ascii="楷体_GB2312" w:hAnsi="楷体_GB2312" w:eastAsia="楷体_GB2312" w:cs="楷体_GB2312"/>
          <w:color w:val="auto"/>
          <w:kern w:val="2"/>
          <w:sz w:val="32"/>
          <w:szCs w:val="32"/>
          <w:shd w:val="clear" w:color="auto" w:fill="auto"/>
          <w:lang w:val="en-US" w:eastAsia="zh-CN" w:bidi="ar-SA"/>
        </w:rPr>
        <w:t>4、持之以恒强监督，执法检查做深做细</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3" w:firstLineChars="200"/>
        <w:jc w:val="lef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val="en-US" w:eastAsia="zh-CN"/>
        </w:rPr>
        <w:t>一是</w:t>
      </w:r>
      <w:r>
        <w:rPr>
          <w:rFonts w:hint="eastAsia" w:ascii="仿宋_GB2312" w:hAnsi="仿宋_GB2312" w:eastAsia="仿宋_GB2312" w:cs="仿宋_GB2312"/>
          <w:color w:val="auto"/>
          <w:sz w:val="32"/>
          <w:szCs w:val="32"/>
          <w:lang w:val="en-US" w:eastAsia="zh-CN"/>
        </w:rPr>
        <w:t>加强统计法规学习，提高思想认识。组织全体干部集中学习《意见》《办法》《规定》等有关统计法规文件精神3次。先后6次对各乡镇统计员和“四上”企业统计人员开展了统计法规学习培训，统计法治意识明显增强。二</w:t>
      </w:r>
      <w:r>
        <w:rPr>
          <w:rFonts w:hint="eastAsia" w:ascii="仿宋_GB2312" w:hAnsi="仿宋_GB2312" w:eastAsia="仿宋_GB2312" w:cs="仿宋_GB2312"/>
          <w:b/>
          <w:bCs/>
          <w:color w:val="auto"/>
          <w:sz w:val="32"/>
          <w:szCs w:val="32"/>
          <w:lang w:val="en-US" w:eastAsia="zh-CN"/>
        </w:rPr>
        <w:t>是</w:t>
      </w:r>
      <w:r>
        <w:rPr>
          <w:rFonts w:hint="eastAsia" w:ascii="仿宋_GB2312" w:hAnsi="仿宋_GB2312" w:eastAsia="仿宋_GB2312" w:cs="仿宋_GB2312"/>
          <w:color w:val="auto"/>
          <w:sz w:val="32"/>
          <w:szCs w:val="32"/>
          <w:lang w:val="en-US" w:eastAsia="zh-CN"/>
        </w:rPr>
        <w:t>持续开展统计执法监督检查。按照区双随机办要求，今年随机抽选了共14家“四上”企业（项目）开展“双随机”执法检查，已全部按要求完成执法检查，规范了企业统计基础工作。</w:t>
      </w:r>
      <w:r>
        <w:rPr>
          <w:rFonts w:hint="eastAsia" w:ascii="仿宋_GB2312" w:hAnsi="仿宋_GB2312" w:eastAsia="仿宋_GB2312" w:cs="仿宋_GB2312"/>
          <w:b/>
          <w:bCs/>
          <w:color w:val="auto"/>
          <w:sz w:val="32"/>
          <w:szCs w:val="32"/>
          <w:lang w:val="en-US" w:eastAsia="zh-CN"/>
        </w:rPr>
        <w:t>三是</w:t>
      </w:r>
      <w:r>
        <w:rPr>
          <w:rFonts w:hint="default" w:ascii="仿宋_GB2312" w:hAnsi="仿宋_GB2312" w:eastAsia="仿宋_GB2312" w:cs="仿宋_GB2312"/>
          <w:color w:val="auto"/>
          <w:sz w:val="32"/>
          <w:szCs w:val="32"/>
          <w:lang w:val="en-US" w:eastAsia="zh-CN"/>
        </w:rPr>
        <w:t>与纪检监察、</w:t>
      </w:r>
      <w:r>
        <w:rPr>
          <w:rFonts w:hint="eastAsia" w:ascii="仿宋_GB2312" w:hAnsi="仿宋_GB2312" w:eastAsia="仿宋_GB2312" w:cs="仿宋_GB2312"/>
          <w:color w:val="auto"/>
          <w:sz w:val="32"/>
          <w:szCs w:val="32"/>
          <w:lang w:val="en-US" w:eastAsia="zh-CN"/>
        </w:rPr>
        <w:t>区委组织部</w:t>
      </w:r>
      <w:r>
        <w:rPr>
          <w:rFonts w:hint="default"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val="en-US" w:eastAsia="zh-CN"/>
        </w:rPr>
        <w:t>区审计局等部门联合发文</w:t>
      </w:r>
      <w:r>
        <w:rPr>
          <w:rFonts w:hint="default" w:ascii="仿宋_GB2312" w:hAnsi="仿宋_GB2312" w:eastAsia="仿宋_GB2312" w:cs="仿宋_GB2312"/>
          <w:color w:val="auto"/>
          <w:sz w:val="32"/>
          <w:szCs w:val="32"/>
          <w:lang w:val="en-US" w:eastAsia="zh-CN"/>
        </w:rPr>
        <w:t>，建立统计监督与纪检监察监督、组织部门职能监督、审计监督</w:t>
      </w:r>
      <w:r>
        <w:rPr>
          <w:rFonts w:hint="eastAsia" w:ascii="仿宋_GB2312" w:hAnsi="仿宋_GB2312" w:eastAsia="仿宋_GB2312" w:cs="仿宋_GB2312"/>
          <w:color w:val="auto"/>
          <w:sz w:val="32"/>
          <w:szCs w:val="32"/>
          <w:lang w:val="en-US" w:eastAsia="zh-CN"/>
        </w:rPr>
        <w:t>等</w:t>
      </w:r>
      <w:r>
        <w:rPr>
          <w:rFonts w:hint="default" w:ascii="仿宋_GB2312" w:hAnsi="仿宋_GB2312" w:eastAsia="仿宋_GB2312" w:cs="仿宋_GB2312"/>
          <w:color w:val="auto"/>
          <w:sz w:val="32"/>
          <w:szCs w:val="32"/>
          <w:lang w:val="en-US" w:eastAsia="zh-CN"/>
        </w:rPr>
        <w:t>贯通协调的工作机制，切实增强监督实效，形成</w:t>
      </w:r>
      <w:r>
        <w:rPr>
          <w:rFonts w:hint="eastAsia" w:ascii="仿宋_GB2312" w:hAnsi="仿宋_GB2312" w:eastAsia="仿宋_GB2312" w:cs="仿宋_GB2312"/>
          <w:color w:val="auto"/>
          <w:sz w:val="32"/>
          <w:szCs w:val="32"/>
          <w:lang w:val="en-US" w:eastAsia="zh-CN"/>
        </w:rPr>
        <w:t>了</w:t>
      </w:r>
      <w:r>
        <w:rPr>
          <w:rFonts w:hint="default" w:ascii="仿宋_GB2312" w:hAnsi="仿宋_GB2312" w:eastAsia="仿宋_GB2312" w:cs="仿宋_GB2312"/>
          <w:color w:val="auto"/>
          <w:sz w:val="32"/>
          <w:szCs w:val="32"/>
          <w:lang w:val="en-US" w:eastAsia="zh-CN"/>
        </w:rPr>
        <w:t>监督合力。</w:t>
      </w:r>
      <w:r>
        <w:rPr>
          <w:rFonts w:hint="eastAsia" w:ascii="仿宋_GB2312" w:hAnsi="仿宋_GB2312" w:eastAsia="仿宋_GB2312" w:cs="仿宋_GB2312"/>
          <w:b/>
          <w:bCs/>
          <w:color w:val="auto"/>
          <w:sz w:val="32"/>
          <w:szCs w:val="32"/>
          <w:lang w:val="en-US" w:eastAsia="zh-CN"/>
        </w:rPr>
        <w:t>四是</w:t>
      </w:r>
      <w:r>
        <w:rPr>
          <w:rFonts w:hint="eastAsia" w:ascii="仿宋_GB2312" w:hAnsi="仿宋_GB2312" w:eastAsia="仿宋_GB2312" w:cs="仿宋_GB2312"/>
          <w:color w:val="auto"/>
          <w:sz w:val="32"/>
          <w:szCs w:val="32"/>
          <w:lang w:val="en-US" w:eastAsia="zh-CN"/>
        </w:rPr>
        <w:t>顺利迎接了国家省市执法检查。2024年以来，在各乡镇、各部门统计人员和项目单位的全力配合下，顺利完成迎接执法检查任务，各督察组高度肯定了我区统计工作取得的成效。</w:t>
      </w:r>
    </w:p>
    <w:p>
      <w:pPr>
        <w:pStyle w:val="3"/>
        <w:keepNext w:val="0"/>
        <w:keepLines w:val="0"/>
        <w:pageBreakBefore w:val="0"/>
        <w:widowControl w:val="0"/>
        <w:kinsoku/>
        <w:wordWrap/>
        <w:overflowPunct/>
        <w:topLinePunct/>
        <w:autoSpaceDE w:val="0"/>
        <w:autoSpaceDN w:val="0"/>
        <w:bidi w:val="0"/>
        <w:adjustRightInd w:val="0"/>
        <w:snapToGrid w:val="0"/>
        <w:spacing w:line="560" w:lineRule="exact"/>
        <w:ind w:left="0" w:right="0" w:firstLine="640" w:firstLineChars="200"/>
        <w:jc w:val="both"/>
        <w:textAlignment w:val="baseline"/>
        <w:outlineLvl w:val="0"/>
        <w:rPr>
          <w:rFonts w:hint="default" w:ascii="楷体_GB2312" w:hAnsi="楷体_GB2312" w:eastAsia="楷体_GB2312" w:cs="楷体_GB2312"/>
          <w:color w:val="auto"/>
          <w:kern w:val="2"/>
          <w:sz w:val="32"/>
          <w:szCs w:val="32"/>
          <w:shd w:val="clear" w:color="auto" w:fill="auto"/>
          <w:lang w:val="en-US" w:eastAsia="zh-CN" w:bidi="ar-SA"/>
        </w:rPr>
      </w:pPr>
      <w:r>
        <w:rPr>
          <w:rFonts w:hint="eastAsia" w:ascii="楷体_GB2312" w:hAnsi="楷体_GB2312" w:eastAsia="楷体_GB2312" w:cs="楷体_GB2312"/>
          <w:color w:val="auto"/>
          <w:kern w:val="2"/>
          <w:sz w:val="32"/>
          <w:szCs w:val="32"/>
          <w:shd w:val="clear" w:color="auto" w:fill="auto"/>
          <w:lang w:val="en-US" w:eastAsia="zh-CN" w:bidi="ar-SA"/>
        </w:rPr>
        <w:t>5、把准脉搏强担当，经济普查摸准摸全</w:t>
      </w:r>
    </w:p>
    <w:p>
      <w:pPr>
        <w:pStyle w:val="3"/>
        <w:keepNext w:val="0"/>
        <w:keepLines w:val="0"/>
        <w:pageBreakBefore w:val="0"/>
        <w:widowControl w:val="0"/>
        <w:kinsoku/>
        <w:wordWrap/>
        <w:overflowPunct/>
        <w:topLinePunct/>
        <w:autoSpaceDE w:val="0"/>
        <w:autoSpaceDN w:val="0"/>
        <w:bidi w:val="0"/>
        <w:adjustRightInd w:val="0"/>
        <w:snapToGrid w:val="0"/>
        <w:spacing w:line="560" w:lineRule="exact"/>
        <w:ind w:left="0" w:right="0" w:firstLine="643" w:firstLineChars="200"/>
        <w:jc w:val="both"/>
        <w:textAlignment w:val="baseline"/>
        <w:outlineLvl w:val="9"/>
        <w:rPr>
          <w:rFonts w:hint="eastAsia" w:ascii="仿宋_GB2312" w:hAnsi="仿宋_GB2312" w:eastAsia="仿宋_GB2312" w:cs="仿宋_GB2312"/>
          <w:color w:val="auto"/>
          <w:lang w:eastAsia="zh-CN"/>
        </w:rPr>
      </w:pPr>
      <w:r>
        <w:rPr>
          <w:rFonts w:hint="eastAsia" w:ascii="仿宋_GB2312" w:hAnsi="仿宋_GB2312" w:eastAsia="仿宋_GB2312" w:cs="仿宋_GB2312"/>
          <w:b/>
          <w:bCs/>
          <w:color w:val="auto"/>
          <w:lang w:eastAsia="zh-CN"/>
        </w:rPr>
        <w:t>一是</w:t>
      </w:r>
      <w:r>
        <w:rPr>
          <w:rFonts w:hint="eastAsia" w:ascii="仿宋_GB2312" w:hAnsi="仿宋_GB2312" w:eastAsia="仿宋_GB2312" w:cs="仿宋_GB2312"/>
          <w:color w:val="auto"/>
          <w:lang w:eastAsia="zh-CN"/>
        </w:rPr>
        <w:t>建立领导包联制度。全局工作人员分为5个包联小组，局领导带头，带领乡镇普查骨干实地入户督导6次，进行现场讲解指导，“点对点”攻坚克难。</w:t>
      </w:r>
      <w:r>
        <w:rPr>
          <w:rFonts w:hint="eastAsia" w:ascii="仿宋_GB2312" w:hAnsi="仿宋_GB2312" w:eastAsia="仿宋_GB2312" w:cs="仿宋_GB2312"/>
          <w:b/>
          <w:bCs/>
          <w:color w:val="auto"/>
          <w:lang w:eastAsia="zh-CN"/>
        </w:rPr>
        <w:t>二是</w:t>
      </w:r>
      <w:r>
        <w:rPr>
          <w:rFonts w:hint="eastAsia" w:ascii="仿宋_GB2312" w:hAnsi="仿宋_GB2312" w:eastAsia="仿宋_GB2312" w:cs="仿宋_GB2312"/>
          <w:color w:val="auto"/>
          <w:lang w:eastAsia="zh-CN"/>
        </w:rPr>
        <w:t>严格数据审核。要求各专业进行重点项、奇异值监测，实时纠偏，区经普办汇总当日进度，并将进度表发至各相关专业，日报日审日清，组织各专业开展研判7次。</w:t>
      </w:r>
      <w:r>
        <w:rPr>
          <w:rFonts w:hint="eastAsia" w:ascii="仿宋_GB2312" w:hAnsi="仿宋_GB2312" w:eastAsia="仿宋_GB2312" w:cs="仿宋_GB2312"/>
          <w:b/>
          <w:bCs/>
          <w:color w:val="auto"/>
          <w:lang w:eastAsia="zh-CN"/>
        </w:rPr>
        <w:t>三是</w:t>
      </w:r>
      <w:r>
        <w:rPr>
          <w:rFonts w:hint="eastAsia" w:ascii="仿宋_GB2312" w:hAnsi="仿宋_GB2312" w:eastAsia="仿宋_GB2312" w:cs="仿宋_GB2312"/>
          <w:color w:val="auto"/>
          <w:lang w:eastAsia="zh-CN"/>
        </w:rPr>
        <w:t>规范化集中办公。为进一步保证经普数据质量，对平台数据审核监测方法进行培训。自5月18日开始，协调各乡镇统计员集中办公，开展数据查遗补漏和审核验收等收尾工作，严把源头数据质量关，对错误较多、任务量大、进展较慢乡镇进行一对一指导，做到“当日事当日毕”，顺利完成了经普审核验收工作。</w:t>
      </w:r>
      <w:r>
        <w:rPr>
          <w:rFonts w:hint="eastAsia" w:ascii="仿宋_GB2312" w:hAnsi="仿宋_GB2312" w:eastAsia="仿宋_GB2312" w:cs="仿宋_GB2312"/>
          <w:b/>
          <w:bCs/>
          <w:color w:val="auto"/>
          <w:lang w:eastAsia="zh-CN"/>
        </w:rPr>
        <w:t>四是</w:t>
      </w:r>
      <w:r>
        <w:rPr>
          <w:rFonts w:hint="eastAsia" w:ascii="仿宋_GB2312" w:hAnsi="仿宋_GB2312" w:eastAsia="仿宋_GB2312" w:cs="仿宋_GB2312"/>
          <w:color w:val="auto"/>
          <w:lang w:eastAsia="zh-CN"/>
        </w:rPr>
        <w:t>加强乡镇级审核。6月份，在国家局开展五经普事后质量抽查工作之前，我局进行五经普事后质量抽查工作模拟，分别赴南营镇杨家寨村和梅花镇梅花村对企业实地走访，检查数据资料凭证，确保数据真实、准确。</w:t>
      </w:r>
    </w:p>
    <w:p>
      <w:pPr>
        <w:pStyle w:val="3"/>
        <w:keepNext w:val="0"/>
        <w:keepLines w:val="0"/>
        <w:pageBreakBefore w:val="0"/>
        <w:widowControl w:val="0"/>
        <w:kinsoku/>
        <w:wordWrap/>
        <w:overflowPunct/>
        <w:topLinePunct/>
        <w:autoSpaceDE w:val="0"/>
        <w:autoSpaceDN w:val="0"/>
        <w:bidi w:val="0"/>
        <w:adjustRightInd w:val="0"/>
        <w:snapToGrid w:val="0"/>
        <w:spacing w:line="560" w:lineRule="exact"/>
        <w:ind w:left="0" w:right="0" w:firstLine="640" w:firstLineChars="200"/>
        <w:jc w:val="both"/>
        <w:textAlignment w:val="baseline"/>
        <w:outlineLvl w:val="9"/>
        <w:rPr>
          <w:rFonts w:hint="eastAsia" w:ascii="仿宋_GB2312" w:hAnsi="仿宋_GB2312" w:eastAsia="仿宋_GB2312" w:cs="仿宋_GB2312"/>
          <w:color w:val="auto"/>
          <w:lang w:eastAsia="zh-CN"/>
        </w:rPr>
      </w:pPr>
      <w:r>
        <w:rPr>
          <w:rFonts w:hint="eastAsia" w:ascii="仿宋_GB2312" w:hAnsi="仿宋_GB2312" w:eastAsia="仿宋_GB2312" w:cs="仿宋_GB2312"/>
          <w:color w:val="auto"/>
          <w:lang w:val="en-US" w:eastAsia="zh-CN"/>
        </w:rPr>
        <w:t>目前</w:t>
      </w:r>
      <w:r>
        <w:rPr>
          <w:rFonts w:hint="eastAsia" w:ascii="仿宋_GB2312" w:hAnsi="仿宋_GB2312" w:eastAsia="仿宋_GB2312" w:cs="仿宋_GB2312"/>
          <w:color w:val="auto"/>
          <w:lang w:eastAsia="zh-CN"/>
        </w:rPr>
        <w:t>，正式登记工作已全部完成。藁城区普查登记一套表单位243个，非一套表单位15048个，个体户48693个，其中抽样2199个。我区非一套表单位和个体户上报率均为100.00%。</w:t>
      </w:r>
    </w:p>
    <w:p>
      <w:pPr>
        <w:pStyle w:val="3"/>
        <w:keepNext w:val="0"/>
        <w:keepLines w:val="0"/>
        <w:pageBreakBefore w:val="0"/>
        <w:widowControl w:val="0"/>
        <w:kinsoku/>
        <w:wordWrap/>
        <w:overflowPunct/>
        <w:topLinePunct/>
        <w:autoSpaceDE w:val="0"/>
        <w:autoSpaceDN w:val="0"/>
        <w:bidi w:val="0"/>
        <w:adjustRightInd w:val="0"/>
        <w:snapToGrid w:val="0"/>
        <w:spacing w:line="560" w:lineRule="exact"/>
        <w:ind w:left="0" w:right="0" w:firstLine="640" w:firstLineChars="200"/>
        <w:jc w:val="both"/>
        <w:textAlignment w:val="baseline"/>
        <w:outlineLvl w:val="9"/>
        <w:rPr>
          <w:rFonts w:hint="eastAsia" w:ascii="仿宋_GB2312" w:hAnsi="仿宋_GB2312" w:eastAsia="仿宋_GB2312" w:cs="仿宋_GB2312"/>
          <w:color w:val="auto"/>
          <w:lang w:eastAsia="zh-CN"/>
        </w:rPr>
      </w:pPr>
    </w:p>
    <w:p>
      <w:pPr>
        <w:pStyle w:val="3"/>
        <w:keepNext w:val="0"/>
        <w:keepLines w:val="0"/>
        <w:pageBreakBefore w:val="0"/>
        <w:widowControl w:val="0"/>
        <w:kinsoku/>
        <w:wordWrap/>
        <w:overflowPunct/>
        <w:topLinePunct/>
        <w:autoSpaceDE w:val="0"/>
        <w:autoSpaceDN w:val="0"/>
        <w:bidi w:val="0"/>
        <w:adjustRightInd w:val="0"/>
        <w:snapToGrid w:val="0"/>
        <w:spacing w:line="560" w:lineRule="exact"/>
        <w:ind w:left="0" w:right="0" w:firstLine="640" w:firstLineChars="200"/>
        <w:jc w:val="both"/>
        <w:textAlignment w:val="baseline"/>
        <w:outlineLvl w:val="9"/>
        <w:rPr>
          <w:rFonts w:hint="eastAsia" w:ascii="仿宋_GB2312" w:hAnsi="仿宋_GB2312" w:eastAsia="仿宋_GB2312" w:cs="仿宋_GB2312"/>
          <w:color w:val="auto"/>
          <w:lang w:eastAsia="zh-CN"/>
        </w:rPr>
      </w:pPr>
    </w:p>
    <w:p>
      <w:pPr>
        <w:pStyle w:val="3"/>
        <w:keepNext w:val="0"/>
        <w:keepLines w:val="0"/>
        <w:pageBreakBefore w:val="0"/>
        <w:widowControl w:val="0"/>
        <w:kinsoku/>
        <w:wordWrap/>
        <w:overflowPunct/>
        <w:topLinePunct/>
        <w:autoSpaceDE w:val="0"/>
        <w:autoSpaceDN w:val="0"/>
        <w:bidi w:val="0"/>
        <w:adjustRightInd w:val="0"/>
        <w:snapToGrid w:val="0"/>
        <w:spacing w:line="560" w:lineRule="exact"/>
        <w:ind w:left="0" w:right="0" w:firstLine="640" w:firstLineChars="200"/>
        <w:jc w:val="both"/>
        <w:textAlignment w:val="baseline"/>
        <w:outlineLvl w:val="9"/>
        <w:rPr>
          <w:rFonts w:hint="eastAsia" w:ascii="仿宋_GB2312" w:hAnsi="仿宋_GB2312" w:eastAsia="仿宋_GB2312" w:cs="仿宋_GB2312"/>
          <w:color w:val="auto"/>
          <w:lang w:eastAsia="zh-CN"/>
        </w:rPr>
      </w:pPr>
    </w:p>
    <w:p>
      <w:pPr>
        <w:pStyle w:val="3"/>
        <w:keepNext w:val="0"/>
        <w:keepLines w:val="0"/>
        <w:pageBreakBefore w:val="0"/>
        <w:widowControl w:val="0"/>
        <w:kinsoku/>
        <w:wordWrap/>
        <w:overflowPunct/>
        <w:topLinePunct/>
        <w:autoSpaceDE w:val="0"/>
        <w:autoSpaceDN w:val="0"/>
        <w:bidi w:val="0"/>
        <w:adjustRightInd w:val="0"/>
        <w:snapToGrid w:val="0"/>
        <w:spacing w:line="560" w:lineRule="exact"/>
        <w:ind w:left="0" w:right="0" w:firstLine="640" w:firstLineChars="200"/>
        <w:jc w:val="both"/>
        <w:textAlignment w:val="baseline"/>
        <w:outlineLvl w:val="9"/>
        <w:rPr>
          <w:rFonts w:hint="eastAsia" w:ascii="仿宋_GB2312" w:hAnsi="仿宋_GB2312" w:eastAsia="仿宋_GB2312" w:cs="仿宋_GB2312"/>
          <w:color w:val="auto"/>
          <w:lang w:eastAsia="zh-CN"/>
        </w:rPr>
      </w:pPr>
    </w:p>
    <w:p>
      <w:pPr>
        <w:pStyle w:val="3"/>
        <w:keepNext w:val="0"/>
        <w:keepLines w:val="0"/>
        <w:pageBreakBefore w:val="0"/>
        <w:widowControl w:val="0"/>
        <w:kinsoku/>
        <w:wordWrap/>
        <w:overflowPunct/>
        <w:topLinePunct/>
        <w:autoSpaceDE w:val="0"/>
        <w:autoSpaceDN w:val="0"/>
        <w:bidi w:val="0"/>
        <w:adjustRightInd w:val="0"/>
        <w:snapToGrid w:val="0"/>
        <w:spacing w:line="560" w:lineRule="exact"/>
        <w:ind w:left="0" w:right="0" w:firstLine="640" w:firstLineChars="200"/>
        <w:jc w:val="both"/>
        <w:textAlignment w:val="baseline"/>
        <w:outlineLvl w:val="9"/>
        <w:rPr>
          <w:rFonts w:hint="eastAsia" w:ascii="仿宋_GB2312" w:hAnsi="仿宋_GB2312" w:eastAsia="仿宋_GB2312" w:cs="仿宋_GB2312"/>
          <w:color w:val="auto"/>
          <w:lang w:eastAsia="zh-CN"/>
        </w:rPr>
      </w:pPr>
    </w:p>
    <w:p>
      <w:pPr>
        <w:pStyle w:val="3"/>
        <w:keepNext w:val="0"/>
        <w:keepLines w:val="0"/>
        <w:pageBreakBefore w:val="0"/>
        <w:widowControl w:val="0"/>
        <w:kinsoku/>
        <w:wordWrap/>
        <w:overflowPunct/>
        <w:topLinePunct/>
        <w:autoSpaceDE w:val="0"/>
        <w:autoSpaceDN w:val="0"/>
        <w:bidi w:val="0"/>
        <w:adjustRightInd w:val="0"/>
        <w:snapToGrid w:val="0"/>
        <w:spacing w:line="560" w:lineRule="exact"/>
        <w:ind w:left="0" w:right="0" w:firstLine="640" w:firstLineChars="200"/>
        <w:jc w:val="both"/>
        <w:textAlignment w:val="baseline"/>
        <w:outlineLvl w:val="9"/>
        <w:rPr>
          <w:rFonts w:hint="eastAsia" w:ascii="仿宋_GB2312" w:hAnsi="仿宋_GB2312" w:eastAsia="仿宋_GB2312" w:cs="仿宋_GB2312"/>
          <w:color w:val="auto"/>
          <w:lang w:eastAsia="zh-CN"/>
        </w:rPr>
      </w:pPr>
    </w:p>
    <w:p>
      <w:pPr>
        <w:pStyle w:val="3"/>
        <w:keepNext w:val="0"/>
        <w:keepLines w:val="0"/>
        <w:pageBreakBefore w:val="0"/>
        <w:widowControl w:val="0"/>
        <w:kinsoku/>
        <w:wordWrap/>
        <w:overflowPunct/>
        <w:topLinePunct/>
        <w:autoSpaceDE w:val="0"/>
        <w:autoSpaceDN w:val="0"/>
        <w:bidi w:val="0"/>
        <w:adjustRightInd w:val="0"/>
        <w:snapToGrid w:val="0"/>
        <w:spacing w:line="560" w:lineRule="exact"/>
        <w:ind w:left="0" w:right="0" w:firstLine="640" w:firstLineChars="200"/>
        <w:jc w:val="both"/>
        <w:textAlignment w:val="baseline"/>
        <w:outlineLvl w:val="9"/>
        <w:rPr>
          <w:rFonts w:hint="eastAsia" w:ascii="仿宋_GB2312" w:hAnsi="仿宋_GB2312" w:eastAsia="仿宋_GB2312" w:cs="仿宋_GB2312"/>
          <w:color w:val="auto"/>
          <w:lang w:eastAsia="zh-CN"/>
        </w:rPr>
      </w:pPr>
    </w:p>
    <w:p>
      <w:pPr>
        <w:numPr>
          <w:ilvl w:val="0"/>
          <w:numId w:val="4"/>
        </w:numPr>
        <w:snapToGrid w:val="0"/>
        <w:spacing w:line="560" w:lineRule="exact"/>
        <w:ind w:firstLine="640"/>
        <w:jc w:val="left"/>
        <w:rPr>
          <w:rFonts w:ascii="黑体" w:hAnsi="黑体" w:eastAsia="黑体" w:cs="黑体"/>
          <w:sz w:val="32"/>
          <w:szCs w:val="32"/>
        </w:rPr>
      </w:pPr>
      <w:r>
        <w:rPr>
          <w:rFonts w:hint="eastAsia" w:ascii="黑体" w:hAnsi="黑体" w:eastAsia="黑体" w:cs="黑体"/>
          <w:sz w:val="32"/>
          <w:szCs w:val="32"/>
        </w:rPr>
        <w:t>评价结论和评价等级</w:t>
      </w:r>
    </w:p>
    <w:tbl>
      <w:tblPr>
        <w:tblStyle w:val="7"/>
        <w:tblpPr w:leftFromText="180" w:rightFromText="180" w:vertAnchor="text" w:horzAnchor="page" w:tblpX="1408" w:tblpY="584"/>
        <w:tblOverlap w:val="never"/>
        <w:tblW w:w="934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077"/>
        <w:gridCol w:w="993"/>
        <w:gridCol w:w="992"/>
        <w:gridCol w:w="992"/>
        <w:gridCol w:w="992"/>
        <w:gridCol w:w="129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tcPr>
          <w:p>
            <w:pPr>
              <w:snapToGrid w:val="0"/>
              <w:spacing w:line="360" w:lineRule="auto"/>
              <w:ind w:firstLine="720" w:firstLineChars="300"/>
              <w:jc w:val="center"/>
              <w:rPr>
                <w:rFonts w:ascii="仿宋" w:hAnsi="仿宋" w:eastAsia="仿宋" w:cs="黑体"/>
                <w:sz w:val="24"/>
                <w:highlight w:val="none"/>
              </w:rPr>
            </w:pPr>
            <w:r>
              <w:rPr>
                <w:rFonts w:hint="eastAsia" w:ascii="仿宋" w:hAnsi="仿宋" w:eastAsia="仿宋" w:cs="黑体"/>
                <w:sz w:val="24"/>
                <w:highlight w:val="none"/>
              </w:rPr>
              <w:t>项目名称</w:t>
            </w:r>
          </w:p>
        </w:tc>
        <w:tc>
          <w:tcPr>
            <w:tcW w:w="993" w:type="dxa"/>
          </w:tcPr>
          <w:p>
            <w:pPr>
              <w:snapToGrid w:val="0"/>
              <w:spacing w:line="360" w:lineRule="auto"/>
              <w:jc w:val="center"/>
              <w:rPr>
                <w:rFonts w:ascii="仿宋" w:hAnsi="仿宋" w:eastAsia="仿宋" w:cs="黑体"/>
                <w:sz w:val="24"/>
                <w:highlight w:val="none"/>
              </w:rPr>
            </w:pPr>
            <w:r>
              <w:rPr>
                <w:rFonts w:hint="eastAsia" w:ascii="仿宋" w:hAnsi="仿宋" w:eastAsia="仿宋" w:cs="黑体"/>
                <w:sz w:val="24"/>
                <w:highlight w:val="none"/>
              </w:rPr>
              <w:t>产出指标完成得分情况</w:t>
            </w:r>
          </w:p>
        </w:tc>
        <w:tc>
          <w:tcPr>
            <w:tcW w:w="992" w:type="dxa"/>
          </w:tcPr>
          <w:p>
            <w:pPr>
              <w:snapToGrid w:val="0"/>
              <w:spacing w:line="360" w:lineRule="auto"/>
              <w:jc w:val="center"/>
              <w:rPr>
                <w:rFonts w:ascii="仿宋" w:hAnsi="仿宋" w:eastAsia="仿宋" w:cs="黑体"/>
                <w:sz w:val="24"/>
                <w:highlight w:val="none"/>
              </w:rPr>
            </w:pPr>
            <w:r>
              <w:rPr>
                <w:rFonts w:hint="eastAsia" w:ascii="仿宋" w:hAnsi="仿宋" w:eastAsia="仿宋" w:cs="黑体"/>
                <w:sz w:val="24"/>
                <w:highlight w:val="none"/>
              </w:rPr>
              <w:t>预算执行率指标完成得分情况</w:t>
            </w:r>
          </w:p>
        </w:tc>
        <w:tc>
          <w:tcPr>
            <w:tcW w:w="992" w:type="dxa"/>
          </w:tcPr>
          <w:p>
            <w:pPr>
              <w:snapToGrid w:val="0"/>
              <w:spacing w:line="360" w:lineRule="auto"/>
              <w:jc w:val="center"/>
              <w:rPr>
                <w:rFonts w:ascii="仿宋" w:hAnsi="仿宋" w:eastAsia="仿宋" w:cs="黑体"/>
                <w:sz w:val="24"/>
                <w:highlight w:val="none"/>
              </w:rPr>
            </w:pPr>
            <w:r>
              <w:rPr>
                <w:rFonts w:hint="eastAsia" w:ascii="仿宋" w:hAnsi="仿宋" w:eastAsia="仿宋" w:cs="黑体"/>
                <w:sz w:val="24"/>
                <w:highlight w:val="none"/>
              </w:rPr>
              <w:t>效益指标完成得分情况</w:t>
            </w:r>
          </w:p>
        </w:tc>
        <w:tc>
          <w:tcPr>
            <w:tcW w:w="992" w:type="dxa"/>
          </w:tcPr>
          <w:p>
            <w:pPr>
              <w:snapToGrid w:val="0"/>
              <w:spacing w:line="360" w:lineRule="auto"/>
              <w:jc w:val="center"/>
              <w:rPr>
                <w:rFonts w:ascii="仿宋" w:hAnsi="仿宋" w:eastAsia="仿宋" w:cs="黑体"/>
                <w:sz w:val="24"/>
                <w:highlight w:val="none"/>
              </w:rPr>
            </w:pPr>
            <w:r>
              <w:rPr>
                <w:rFonts w:hint="eastAsia" w:ascii="仿宋" w:hAnsi="仿宋" w:eastAsia="仿宋" w:cs="黑体"/>
                <w:sz w:val="24"/>
                <w:highlight w:val="none"/>
              </w:rPr>
              <w:t>满意度指标完成得分情况</w:t>
            </w:r>
          </w:p>
        </w:tc>
        <w:tc>
          <w:tcPr>
            <w:tcW w:w="1294" w:type="dxa"/>
          </w:tcPr>
          <w:p>
            <w:pPr>
              <w:snapToGrid w:val="0"/>
              <w:spacing w:line="360" w:lineRule="auto"/>
              <w:jc w:val="center"/>
              <w:rPr>
                <w:rFonts w:ascii="仿宋" w:hAnsi="仿宋" w:eastAsia="仿宋" w:cs="黑体"/>
                <w:sz w:val="24"/>
                <w:highlight w:val="none"/>
              </w:rPr>
            </w:pPr>
            <w:r>
              <w:rPr>
                <w:rFonts w:hint="eastAsia" w:ascii="仿宋" w:hAnsi="仿宋" w:eastAsia="仿宋" w:cs="黑体"/>
                <w:sz w:val="24"/>
                <w:highlight w:val="none"/>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pPr>
              <w:snapToGrid w:val="0"/>
              <w:spacing w:line="360" w:lineRule="auto"/>
              <w:rPr>
                <w:rFonts w:ascii="仿宋" w:hAnsi="仿宋" w:eastAsia="仿宋" w:cs="黑体"/>
                <w:sz w:val="24"/>
                <w:highlight w:val="none"/>
              </w:rPr>
            </w:pPr>
            <w:r>
              <w:rPr>
                <w:rFonts w:hint="eastAsia" w:ascii="仿宋" w:hAnsi="仿宋" w:eastAsia="仿宋" w:cs="黑体"/>
                <w:sz w:val="24"/>
                <w:highlight w:val="none"/>
              </w:rPr>
              <w:t>1、统计业务经费</w:t>
            </w:r>
          </w:p>
        </w:tc>
        <w:tc>
          <w:tcPr>
            <w:tcW w:w="993" w:type="dxa"/>
            <w:vAlign w:val="center"/>
          </w:tcPr>
          <w:p>
            <w:pPr>
              <w:snapToGrid w:val="0"/>
              <w:spacing w:line="360" w:lineRule="auto"/>
              <w:jc w:val="center"/>
              <w:rPr>
                <w:rFonts w:ascii="仿宋" w:hAnsi="仿宋" w:eastAsia="仿宋" w:cs="黑体"/>
                <w:sz w:val="24"/>
                <w:highlight w:val="none"/>
              </w:rPr>
            </w:pPr>
            <w:r>
              <w:rPr>
                <w:rFonts w:hint="eastAsia" w:ascii="仿宋" w:hAnsi="仿宋" w:eastAsia="仿宋" w:cs="黑体"/>
                <w:sz w:val="24"/>
                <w:highlight w:val="none"/>
              </w:rPr>
              <w:t>40</w:t>
            </w:r>
          </w:p>
        </w:tc>
        <w:tc>
          <w:tcPr>
            <w:tcW w:w="992" w:type="dxa"/>
            <w:vAlign w:val="center"/>
          </w:tcPr>
          <w:p>
            <w:pPr>
              <w:snapToGrid w:val="0"/>
              <w:spacing w:line="360" w:lineRule="auto"/>
              <w:jc w:val="center"/>
              <w:rPr>
                <w:rFonts w:ascii="仿宋" w:hAnsi="仿宋" w:eastAsia="仿宋" w:cs="黑体"/>
                <w:sz w:val="24"/>
                <w:highlight w:val="none"/>
              </w:rPr>
            </w:pPr>
            <w:r>
              <w:rPr>
                <w:rFonts w:hint="eastAsia" w:ascii="仿宋" w:hAnsi="仿宋" w:eastAsia="仿宋" w:cs="黑体"/>
                <w:sz w:val="24"/>
                <w:highlight w:val="none"/>
              </w:rPr>
              <w:t>4</w:t>
            </w:r>
          </w:p>
        </w:tc>
        <w:tc>
          <w:tcPr>
            <w:tcW w:w="992" w:type="dxa"/>
            <w:vAlign w:val="center"/>
          </w:tcPr>
          <w:p>
            <w:pPr>
              <w:snapToGrid w:val="0"/>
              <w:spacing w:line="360" w:lineRule="auto"/>
              <w:jc w:val="center"/>
              <w:rPr>
                <w:rFonts w:hint="eastAsia" w:ascii="仿宋" w:hAnsi="仿宋" w:eastAsia="仿宋" w:cs="黑体"/>
                <w:sz w:val="24"/>
                <w:highlight w:val="none"/>
              </w:rPr>
            </w:pPr>
            <w:r>
              <w:rPr>
                <w:rFonts w:hint="eastAsia" w:ascii="仿宋" w:hAnsi="仿宋" w:eastAsia="仿宋" w:cs="黑体"/>
                <w:sz w:val="24"/>
                <w:highlight w:val="none"/>
              </w:rPr>
              <w:t>39</w:t>
            </w:r>
          </w:p>
        </w:tc>
        <w:tc>
          <w:tcPr>
            <w:tcW w:w="992" w:type="dxa"/>
            <w:vAlign w:val="center"/>
          </w:tcPr>
          <w:p>
            <w:pPr>
              <w:snapToGrid w:val="0"/>
              <w:spacing w:line="360" w:lineRule="auto"/>
              <w:jc w:val="center"/>
              <w:rPr>
                <w:rFonts w:ascii="仿宋" w:hAnsi="仿宋" w:eastAsia="仿宋" w:cs="黑体"/>
                <w:sz w:val="24"/>
                <w:highlight w:val="none"/>
              </w:rPr>
            </w:pPr>
            <w:r>
              <w:rPr>
                <w:rFonts w:ascii="仿宋" w:hAnsi="仿宋" w:eastAsia="仿宋" w:cs="黑体"/>
                <w:sz w:val="24"/>
                <w:highlight w:val="none"/>
              </w:rPr>
              <w:t>10</w:t>
            </w:r>
          </w:p>
        </w:tc>
        <w:tc>
          <w:tcPr>
            <w:tcW w:w="1294" w:type="dxa"/>
            <w:vAlign w:val="center"/>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pPr>
              <w:snapToGrid w:val="0"/>
              <w:spacing w:line="360" w:lineRule="auto"/>
              <w:rPr>
                <w:rFonts w:ascii="仿宋" w:hAnsi="仿宋" w:eastAsia="仿宋" w:cs="黑体"/>
                <w:sz w:val="24"/>
                <w:highlight w:val="none"/>
              </w:rPr>
            </w:pPr>
            <w:r>
              <w:rPr>
                <w:rFonts w:ascii="仿宋" w:hAnsi="仿宋" w:eastAsia="仿宋" w:cs="黑体"/>
                <w:sz w:val="24"/>
                <w:highlight w:val="none"/>
              </w:rPr>
              <w:t>2</w:t>
            </w:r>
            <w:r>
              <w:rPr>
                <w:rFonts w:hint="eastAsia" w:ascii="仿宋" w:hAnsi="仿宋" w:eastAsia="仿宋" w:cs="黑体"/>
                <w:sz w:val="24"/>
                <w:highlight w:val="none"/>
              </w:rPr>
              <w:t>、</w:t>
            </w:r>
            <w:bookmarkStart w:id="11" w:name="OLE_LINK6"/>
            <w:r>
              <w:rPr>
                <w:rFonts w:hint="eastAsia" w:ascii="仿宋" w:hAnsi="仿宋" w:eastAsia="仿宋" w:cs="黑体"/>
                <w:sz w:val="24"/>
                <w:highlight w:val="none"/>
              </w:rPr>
              <w:t>失业率调查统计工作经费</w:t>
            </w:r>
            <w:bookmarkEnd w:id="11"/>
          </w:p>
        </w:tc>
        <w:tc>
          <w:tcPr>
            <w:tcW w:w="993" w:type="dxa"/>
          </w:tcPr>
          <w:p>
            <w:pPr>
              <w:snapToGrid w:val="0"/>
              <w:spacing w:line="360" w:lineRule="auto"/>
              <w:jc w:val="center"/>
              <w:rPr>
                <w:rFonts w:hint="eastAsia" w:ascii="仿宋" w:hAnsi="仿宋" w:eastAsia="仿宋" w:cs="黑体"/>
                <w:sz w:val="24"/>
                <w:highlight w:val="none"/>
              </w:rPr>
            </w:pPr>
            <w:r>
              <w:rPr>
                <w:rFonts w:hint="eastAsia" w:ascii="仿宋" w:hAnsi="仿宋" w:eastAsia="仿宋" w:cs="黑体"/>
                <w:sz w:val="24"/>
                <w:highlight w:val="none"/>
              </w:rPr>
              <w:t>39</w:t>
            </w:r>
          </w:p>
        </w:tc>
        <w:tc>
          <w:tcPr>
            <w:tcW w:w="992" w:type="dxa"/>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992" w:type="dxa"/>
          </w:tcPr>
          <w:p>
            <w:pPr>
              <w:snapToGrid w:val="0"/>
              <w:spacing w:line="360" w:lineRule="auto"/>
              <w:jc w:val="center"/>
              <w:rPr>
                <w:rFonts w:ascii="仿宋" w:hAnsi="仿宋" w:eastAsia="仿宋" w:cs="黑体"/>
                <w:sz w:val="24"/>
                <w:highlight w:val="none"/>
              </w:rPr>
            </w:pPr>
            <w:r>
              <w:rPr>
                <w:rFonts w:ascii="仿宋" w:hAnsi="仿宋" w:eastAsia="仿宋" w:cs="黑体"/>
                <w:sz w:val="24"/>
                <w:highlight w:val="none"/>
              </w:rPr>
              <w:t>40</w:t>
            </w:r>
          </w:p>
        </w:tc>
        <w:tc>
          <w:tcPr>
            <w:tcW w:w="992" w:type="dxa"/>
          </w:tcPr>
          <w:p>
            <w:pPr>
              <w:snapToGrid w:val="0"/>
              <w:spacing w:line="360" w:lineRule="auto"/>
              <w:jc w:val="center"/>
              <w:rPr>
                <w:rFonts w:ascii="仿宋" w:hAnsi="仿宋" w:eastAsia="仿宋" w:cs="黑体"/>
                <w:sz w:val="24"/>
                <w:highlight w:val="none"/>
              </w:rPr>
            </w:pPr>
            <w:r>
              <w:rPr>
                <w:rFonts w:ascii="仿宋" w:hAnsi="仿宋" w:eastAsia="仿宋" w:cs="黑体"/>
                <w:sz w:val="24"/>
                <w:highlight w:val="none"/>
              </w:rPr>
              <w:t>10</w:t>
            </w:r>
          </w:p>
        </w:tc>
        <w:tc>
          <w:tcPr>
            <w:tcW w:w="1294" w:type="dxa"/>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pPr>
              <w:snapToGrid w:val="0"/>
              <w:spacing w:line="360" w:lineRule="auto"/>
              <w:rPr>
                <w:rFonts w:ascii="仿宋" w:hAnsi="仿宋" w:eastAsia="仿宋" w:cs="黑体"/>
                <w:sz w:val="24"/>
                <w:highlight w:val="none"/>
              </w:rPr>
            </w:pPr>
            <w:r>
              <w:rPr>
                <w:rFonts w:hint="eastAsia" w:ascii="仿宋" w:hAnsi="仿宋" w:eastAsia="仿宋" w:cs="黑体"/>
                <w:sz w:val="24"/>
                <w:highlight w:val="none"/>
              </w:rPr>
              <w:t>3、统计年鉴印刷费</w:t>
            </w:r>
          </w:p>
        </w:tc>
        <w:tc>
          <w:tcPr>
            <w:tcW w:w="993" w:type="dxa"/>
          </w:tcPr>
          <w:p>
            <w:pPr>
              <w:snapToGrid w:val="0"/>
              <w:spacing w:line="360" w:lineRule="auto"/>
              <w:jc w:val="center"/>
              <w:rPr>
                <w:rFonts w:hint="eastAsia" w:ascii="仿宋" w:hAnsi="仿宋" w:eastAsia="仿宋" w:cs="黑体"/>
                <w:sz w:val="24"/>
                <w:highlight w:val="none"/>
              </w:rPr>
            </w:pPr>
            <w:r>
              <w:rPr>
                <w:rFonts w:hint="eastAsia" w:ascii="仿宋" w:hAnsi="仿宋" w:eastAsia="仿宋" w:cs="黑体"/>
                <w:sz w:val="24"/>
                <w:highlight w:val="none"/>
              </w:rPr>
              <w:t>40</w:t>
            </w:r>
          </w:p>
        </w:tc>
        <w:tc>
          <w:tcPr>
            <w:tcW w:w="992" w:type="dxa"/>
          </w:tcPr>
          <w:p>
            <w:pPr>
              <w:snapToGrid w:val="0"/>
              <w:spacing w:line="360" w:lineRule="auto"/>
              <w:jc w:val="center"/>
              <w:rPr>
                <w:rFonts w:ascii="仿宋" w:hAnsi="仿宋" w:eastAsia="仿宋" w:cs="黑体"/>
                <w:sz w:val="24"/>
                <w:highlight w:val="none"/>
              </w:rPr>
            </w:pPr>
            <w:r>
              <w:rPr>
                <w:rFonts w:hint="eastAsia" w:ascii="仿宋" w:hAnsi="仿宋" w:eastAsia="仿宋" w:cs="黑体"/>
                <w:sz w:val="24"/>
                <w:highlight w:val="none"/>
              </w:rPr>
              <w:t>10</w:t>
            </w:r>
          </w:p>
        </w:tc>
        <w:tc>
          <w:tcPr>
            <w:tcW w:w="992" w:type="dxa"/>
          </w:tcPr>
          <w:p>
            <w:pPr>
              <w:snapToGrid w:val="0"/>
              <w:spacing w:line="360" w:lineRule="auto"/>
              <w:jc w:val="center"/>
              <w:rPr>
                <w:rFonts w:ascii="仿宋" w:hAnsi="仿宋" w:eastAsia="仿宋" w:cs="黑体"/>
                <w:sz w:val="24"/>
                <w:highlight w:val="none"/>
              </w:rPr>
            </w:pPr>
            <w:r>
              <w:rPr>
                <w:rFonts w:ascii="仿宋" w:hAnsi="仿宋" w:eastAsia="仿宋" w:cs="黑体"/>
                <w:sz w:val="24"/>
                <w:highlight w:val="none"/>
              </w:rPr>
              <w:t>40</w:t>
            </w:r>
          </w:p>
        </w:tc>
        <w:tc>
          <w:tcPr>
            <w:tcW w:w="992" w:type="dxa"/>
          </w:tcPr>
          <w:p>
            <w:pPr>
              <w:snapToGrid w:val="0"/>
              <w:spacing w:line="360" w:lineRule="auto"/>
              <w:jc w:val="center"/>
              <w:rPr>
                <w:rFonts w:ascii="仿宋" w:hAnsi="仿宋" w:eastAsia="仿宋" w:cs="黑体"/>
                <w:sz w:val="24"/>
                <w:highlight w:val="none"/>
              </w:rPr>
            </w:pPr>
            <w:r>
              <w:rPr>
                <w:rFonts w:ascii="仿宋" w:hAnsi="仿宋" w:eastAsia="仿宋" w:cs="黑体"/>
                <w:sz w:val="24"/>
                <w:highlight w:val="none"/>
              </w:rPr>
              <w:t>10</w:t>
            </w:r>
          </w:p>
        </w:tc>
        <w:tc>
          <w:tcPr>
            <w:tcW w:w="1294" w:type="dxa"/>
          </w:tcPr>
          <w:p>
            <w:pPr>
              <w:snapToGrid w:val="0"/>
              <w:spacing w:line="360" w:lineRule="auto"/>
              <w:jc w:val="center"/>
              <w:rPr>
                <w:rFonts w:hint="eastAsia" w:ascii="仿宋" w:hAnsi="仿宋" w:eastAsia="仿宋" w:cs="黑体"/>
                <w:sz w:val="24"/>
                <w:highlight w:val="none"/>
              </w:rPr>
            </w:pPr>
            <w:r>
              <w:rPr>
                <w:rFonts w:hint="eastAsia" w:ascii="仿宋" w:hAnsi="仿宋" w:eastAsia="仿宋" w:cs="黑体"/>
                <w:sz w:val="24"/>
                <w:highlight w:val="none"/>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pPr>
              <w:snapToGrid w:val="0"/>
              <w:spacing w:line="360" w:lineRule="auto"/>
              <w:rPr>
                <w:rFonts w:ascii="仿宋" w:hAnsi="仿宋" w:eastAsia="仿宋" w:cs="黑体"/>
                <w:sz w:val="24"/>
                <w:highlight w:val="none"/>
              </w:rPr>
            </w:pPr>
            <w:r>
              <w:rPr>
                <w:rFonts w:hint="eastAsia" w:ascii="仿宋" w:hAnsi="仿宋" w:eastAsia="仿宋" w:cs="黑体"/>
                <w:sz w:val="24"/>
                <w:highlight w:val="none"/>
              </w:rPr>
              <w:t>4、调查队业务经费</w:t>
            </w:r>
          </w:p>
        </w:tc>
        <w:tc>
          <w:tcPr>
            <w:tcW w:w="993" w:type="dxa"/>
          </w:tcPr>
          <w:p>
            <w:pPr>
              <w:snapToGrid w:val="0"/>
              <w:spacing w:line="360" w:lineRule="auto"/>
              <w:jc w:val="center"/>
              <w:rPr>
                <w:rFonts w:ascii="仿宋" w:hAnsi="仿宋" w:eastAsia="仿宋" w:cs="黑体"/>
                <w:sz w:val="24"/>
                <w:highlight w:val="none"/>
              </w:rPr>
            </w:pPr>
            <w:r>
              <w:rPr>
                <w:rFonts w:ascii="仿宋" w:hAnsi="仿宋" w:eastAsia="仿宋" w:cs="黑体"/>
                <w:sz w:val="24"/>
                <w:highlight w:val="none"/>
              </w:rPr>
              <w:t>39</w:t>
            </w:r>
          </w:p>
        </w:tc>
        <w:tc>
          <w:tcPr>
            <w:tcW w:w="992" w:type="dxa"/>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992" w:type="dxa"/>
          </w:tcPr>
          <w:p>
            <w:pPr>
              <w:snapToGrid w:val="0"/>
              <w:spacing w:line="360" w:lineRule="auto"/>
              <w:jc w:val="center"/>
              <w:rPr>
                <w:rFonts w:ascii="仿宋" w:hAnsi="仿宋" w:eastAsia="仿宋" w:cs="黑体"/>
                <w:sz w:val="24"/>
                <w:highlight w:val="none"/>
              </w:rPr>
            </w:pPr>
            <w:r>
              <w:rPr>
                <w:rFonts w:ascii="仿宋" w:hAnsi="仿宋" w:eastAsia="仿宋" w:cs="黑体"/>
                <w:sz w:val="24"/>
                <w:highlight w:val="none"/>
              </w:rPr>
              <w:t>40</w:t>
            </w:r>
          </w:p>
        </w:tc>
        <w:tc>
          <w:tcPr>
            <w:tcW w:w="992" w:type="dxa"/>
          </w:tcPr>
          <w:p>
            <w:pPr>
              <w:snapToGrid w:val="0"/>
              <w:spacing w:line="360" w:lineRule="auto"/>
              <w:jc w:val="center"/>
              <w:rPr>
                <w:rFonts w:ascii="仿宋" w:hAnsi="仿宋" w:eastAsia="仿宋" w:cs="黑体"/>
                <w:sz w:val="24"/>
                <w:highlight w:val="none"/>
              </w:rPr>
            </w:pPr>
            <w:r>
              <w:rPr>
                <w:rFonts w:ascii="仿宋" w:hAnsi="仿宋" w:eastAsia="仿宋" w:cs="黑体"/>
                <w:sz w:val="24"/>
                <w:highlight w:val="none"/>
              </w:rPr>
              <w:t>10</w:t>
            </w:r>
          </w:p>
        </w:tc>
        <w:tc>
          <w:tcPr>
            <w:tcW w:w="1294" w:type="dxa"/>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pPr>
              <w:snapToGrid w:val="0"/>
              <w:spacing w:line="360" w:lineRule="auto"/>
              <w:rPr>
                <w:rFonts w:ascii="仿宋" w:hAnsi="仿宋" w:eastAsia="仿宋" w:cs="黑体"/>
                <w:sz w:val="24"/>
                <w:highlight w:val="none"/>
              </w:rPr>
            </w:pPr>
            <w:r>
              <w:rPr>
                <w:rFonts w:hint="eastAsia" w:ascii="仿宋" w:hAnsi="仿宋" w:eastAsia="仿宋" w:cs="黑体"/>
                <w:sz w:val="24"/>
                <w:highlight w:val="none"/>
              </w:rPr>
              <w:t>5、全区三产限上企业统计工作经费</w:t>
            </w:r>
          </w:p>
        </w:tc>
        <w:tc>
          <w:tcPr>
            <w:tcW w:w="993" w:type="dxa"/>
          </w:tcPr>
          <w:p>
            <w:pPr>
              <w:snapToGrid w:val="0"/>
              <w:spacing w:line="360" w:lineRule="auto"/>
              <w:jc w:val="center"/>
              <w:rPr>
                <w:rFonts w:ascii="仿宋" w:hAnsi="仿宋" w:eastAsia="仿宋" w:cs="黑体"/>
                <w:sz w:val="24"/>
                <w:highlight w:val="none"/>
              </w:rPr>
            </w:pPr>
            <w:r>
              <w:rPr>
                <w:rFonts w:ascii="仿宋" w:hAnsi="仿宋" w:eastAsia="仿宋" w:cs="黑体"/>
                <w:sz w:val="24"/>
                <w:highlight w:val="none"/>
              </w:rPr>
              <w:t>39</w:t>
            </w:r>
          </w:p>
        </w:tc>
        <w:tc>
          <w:tcPr>
            <w:tcW w:w="992" w:type="dxa"/>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992" w:type="dxa"/>
          </w:tcPr>
          <w:p>
            <w:pPr>
              <w:snapToGrid w:val="0"/>
              <w:spacing w:line="360" w:lineRule="auto"/>
              <w:jc w:val="center"/>
              <w:rPr>
                <w:rFonts w:ascii="仿宋" w:hAnsi="仿宋" w:eastAsia="仿宋" w:cs="黑体"/>
                <w:sz w:val="24"/>
                <w:highlight w:val="none"/>
              </w:rPr>
            </w:pPr>
            <w:r>
              <w:rPr>
                <w:rFonts w:ascii="仿宋" w:hAnsi="仿宋" w:eastAsia="仿宋" w:cs="黑体"/>
                <w:sz w:val="24"/>
                <w:highlight w:val="none"/>
              </w:rPr>
              <w:t>40</w:t>
            </w:r>
          </w:p>
        </w:tc>
        <w:tc>
          <w:tcPr>
            <w:tcW w:w="992" w:type="dxa"/>
          </w:tcPr>
          <w:p>
            <w:pPr>
              <w:snapToGrid w:val="0"/>
              <w:spacing w:line="360" w:lineRule="auto"/>
              <w:jc w:val="center"/>
              <w:rPr>
                <w:rFonts w:ascii="仿宋" w:hAnsi="仿宋" w:eastAsia="仿宋" w:cs="黑体"/>
                <w:sz w:val="24"/>
                <w:highlight w:val="none"/>
              </w:rPr>
            </w:pPr>
            <w:r>
              <w:rPr>
                <w:rFonts w:ascii="仿宋" w:hAnsi="仿宋" w:eastAsia="仿宋" w:cs="黑体"/>
                <w:sz w:val="24"/>
                <w:highlight w:val="none"/>
              </w:rPr>
              <w:t>10</w:t>
            </w:r>
          </w:p>
        </w:tc>
        <w:tc>
          <w:tcPr>
            <w:tcW w:w="1294" w:type="dxa"/>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pPr>
              <w:snapToGrid w:val="0"/>
              <w:spacing w:line="360" w:lineRule="auto"/>
              <w:rPr>
                <w:rFonts w:ascii="仿宋" w:hAnsi="仿宋" w:eastAsia="仿宋" w:cs="黑体"/>
                <w:sz w:val="24"/>
                <w:highlight w:val="none"/>
              </w:rPr>
            </w:pPr>
            <w:r>
              <w:rPr>
                <w:rFonts w:hint="eastAsia" w:ascii="仿宋" w:hAnsi="仿宋" w:eastAsia="仿宋" w:cs="黑体"/>
                <w:sz w:val="24"/>
                <w:highlight w:val="none"/>
              </w:rPr>
              <w:t>6、劳务派遣人员经费</w:t>
            </w:r>
          </w:p>
        </w:tc>
        <w:tc>
          <w:tcPr>
            <w:tcW w:w="993" w:type="dxa"/>
          </w:tcPr>
          <w:p>
            <w:pPr>
              <w:snapToGrid w:val="0"/>
              <w:spacing w:line="360" w:lineRule="auto"/>
              <w:jc w:val="center"/>
              <w:rPr>
                <w:rFonts w:ascii="仿宋" w:hAnsi="仿宋" w:eastAsia="仿宋" w:cs="黑体"/>
                <w:sz w:val="24"/>
                <w:highlight w:val="none"/>
              </w:rPr>
            </w:pPr>
            <w:r>
              <w:rPr>
                <w:rFonts w:hint="eastAsia" w:ascii="仿宋" w:hAnsi="仿宋" w:eastAsia="仿宋" w:cs="黑体"/>
                <w:sz w:val="24"/>
                <w:highlight w:val="none"/>
              </w:rPr>
              <w:t>40</w:t>
            </w:r>
          </w:p>
        </w:tc>
        <w:tc>
          <w:tcPr>
            <w:tcW w:w="992" w:type="dxa"/>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992" w:type="dxa"/>
          </w:tcPr>
          <w:p>
            <w:pPr>
              <w:snapToGrid w:val="0"/>
              <w:spacing w:line="360" w:lineRule="auto"/>
              <w:jc w:val="center"/>
              <w:rPr>
                <w:rFonts w:ascii="仿宋" w:hAnsi="仿宋" w:eastAsia="仿宋" w:cs="黑体"/>
                <w:sz w:val="24"/>
                <w:highlight w:val="none"/>
              </w:rPr>
            </w:pPr>
            <w:r>
              <w:rPr>
                <w:rFonts w:ascii="仿宋" w:hAnsi="仿宋" w:eastAsia="仿宋" w:cs="黑体"/>
                <w:sz w:val="24"/>
                <w:highlight w:val="none"/>
              </w:rPr>
              <w:t>40</w:t>
            </w:r>
          </w:p>
        </w:tc>
        <w:tc>
          <w:tcPr>
            <w:tcW w:w="992" w:type="dxa"/>
          </w:tcPr>
          <w:p>
            <w:pPr>
              <w:snapToGrid w:val="0"/>
              <w:spacing w:line="360" w:lineRule="auto"/>
              <w:jc w:val="center"/>
              <w:rPr>
                <w:rFonts w:ascii="仿宋" w:hAnsi="仿宋" w:eastAsia="仿宋" w:cs="黑体"/>
                <w:sz w:val="24"/>
                <w:highlight w:val="none"/>
              </w:rPr>
            </w:pPr>
            <w:r>
              <w:rPr>
                <w:rFonts w:ascii="仿宋" w:hAnsi="仿宋" w:eastAsia="仿宋" w:cs="黑体"/>
                <w:sz w:val="24"/>
                <w:highlight w:val="none"/>
              </w:rPr>
              <w:t>10</w:t>
            </w:r>
          </w:p>
        </w:tc>
        <w:tc>
          <w:tcPr>
            <w:tcW w:w="1294" w:type="dxa"/>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pPr>
              <w:snapToGrid w:val="0"/>
              <w:spacing w:line="360" w:lineRule="auto"/>
              <w:rPr>
                <w:rFonts w:ascii="仿宋" w:hAnsi="仿宋" w:eastAsia="仿宋" w:cs="黑体"/>
                <w:sz w:val="24"/>
                <w:highlight w:val="none"/>
              </w:rPr>
            </w:pPr>
            <w:r>
              <w:rPr>
                <w:rFonts w:hint="eastAsia" w:ascii="仿宋" w:hAnsi="仿宋" w:eastAsia="仿宋" w:cs="黑体"/>
                <w:sz w:val="24"/>
                <w:highlight w:val="none"/>
              </w:rPr>
              <w:t>7、第五次全国经济普查经费</w:t>
            </w:r>
          </w:p>
        </w:tc>
        <w:tc>
          <w:tcPr>
            <w:tcW w:w="993" w:type="dxa"/>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40</w:t>
            </w:r>
          </w:p>
        </w:tc>
        <w:tc>
          <w:tcPr>
            <w:tcW w:w="992" w:type="dxa"/>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8.5</w:t>
            </w:r>
          </w:p>
        </w:tc>
        <w:tc>
          <w:tcPr>
            <w:tcW w:w="992" w:type="dxa"/>
          </w:tcPr>
          <w:p>
            <w:pPr>
              <w:snapToGrid w:val="0"/>
              <w:spacing w:line="360" w:lineRule="auto"/>
              <w:jc w:val="center"/>
              <w:rPr>
                <w:rFonts w:hint="eastAsia" w:ascii="仿宋" w:hAnsi="仿宋" w:eastAsia="仿宋" w:cs="黑体"/>
                <w:sz w:val="24"/>
                <w:highlight w:val="none"/>
              </w:rPr>
            </w:pPr>
            <w:r>
              <w:rPr>
                <w:rFonts w:hint="eastAsia" w:ascii="仿宋" w:hAnsi="仿宋" w:eastAsia="仿宋" w:cs="黑体"/>
                <w:sz w:val="24"/>
                <w:highlight w:val="none"/>
              </w:rPr>
              <w:t>40</w:t>
            </w:r>
          </w:p>
        </w:tc>
        <w:tc>
          <w:tcPr>
            <w:tcW w:w="992" w:type="dxa"/>
          </w:tcPr>
          <w:p>
            <w:pPr>
              <w:snapToGrid w:val="0"/>
              <w:spacing w:line="360" w:lineRule="auto"/>
              <w:jc w:val="center"/>
              <w:rPr>
                <w:rFonts w:ascii="仿宋" w:hAnsi="仿宋" w:eastAsia="仿宋" w:cs="黑体"/>
                <w:sz w:val="24"/>
                <w:highlight w:val="none"/>
              </w:rPr>
            </w:pPr>
            <w:r>
              <w:rPr>
                <w:rFonts w:ascii="仿宋" w:hAnsi="仿宋" w:eastAsia="仿宋" w:cs="黑体"/>
                <w:sz w:val="24"/>
                <w:highlight w:val="none"/>
              </w:rPr>
              <w:t>10</w:t>
            </w:r>
          </w:p>
        </w:tc>
        <w:tc>
          <w:tcPr>
            <w:tcW w:w="1294" w:type="dxa"/>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98.5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pPr>
              <w:snapToGrid w:val="0"/>
              <w:spacing w:line="360" w:lineRule="auto"/>
              <w:rPr>
                <w:rFonts w:ascii="仿宋" w:hAnsi="仿宋" w:eastAsia="仿宋" w:cs="黑体"/>
                <w:sz w:val="24"/>
                <w:highlight w:val="none"/>
              </w:rPr>
            </w:pPr>
            <w:r>
              <w:rPr>
                <w:rFonts w:hint="eastAsia" w:ascii="仿宋" w:hAnsi="仿宋" w:eastAsia="仿宋" w:cs="黑体"/>
                <w:sz w:val="24"/>
                <w:highlight w:val="none"/>
              </w:rPr>
              <w:t>8、</w:t>
            </w:r>
            <w:r>
              <w:rPr>
                <w:rFonts w:hint="eastAsia" w:ascii="仿宋_GB2312" w:hAnsi="宋体" w:eastAsia="仿宋_GB2312" w:cs="宋体"/>
                <w:kern w:val="0"/>
                <w:sz w:val="24"/>
                <w:szCs w:val="24"/>
                <w:highlight w:val="none"/>
              </w:rPr>
              <w:t>配合河北省统计局工作经费</w:t>
            </w:r>
          </w:p>
        </w:tc>
        <w:tc>
          <w:tcPr>
            <w:tcW w:w="993" w:type="dxa"/>
          </w:tcPr>
          <w:p>
            <w:pPr>
              <w:snapToGrid w:val="0"/>
              <w:spacing w:line="360" w:lineRule="auto"/>
              <w:jc w:val="center"/>
              <w:rPr>
                <w:rFonts w:ascii="仿宋" w:hAnsi="仿宋" w:eastAsia="仿宋" w:cs="黑体"/>
                <w:sz w:val="24"/>
                <w:highlight w:val="none"/>
              </w:rPr>
            </w:pPr>
            <w:r>
              <w:rPr>
                <w:rFonts w:hint="eastAsia" w:ascii="仿宋" w:hAnsi="仿宋" w:eastAsia="仿宋" w:cs="黑体"/>
                <w:sz w:val="24"/>
                <w:highlight w:val="none"/>
              </w:rPr>
              <w:t>40</w:t>
            </w:r>
          </w:p>
        </w:tc>
        <w:tc>
          <w:tcPr>
            <w:tcW w:w="992" w:type="dxa"/>
          </w:tcPr>
          <w:p>
            <w:pPr>
              <w:snapToGrid w:val="0"/>
              <w:spacing w:line="360" w:lineRule="auto"/>
              <w:jc w:val="center"/>
              <w:rPr>
                <w:rFonts w:ascii="仿宋" w:hAnsi="仿宋" w:eastAsia="仿宋" w:cs="黑体"/>
                <w:sz w:val="24"/>
                <w:highlight w:val="none"/>
              </w:rPr>
            </w:pPr>
            <w:r>
              <w:rPr>
                <w:rFonts w:hint="eastAsia" w:ascii="仿宋" w:hAnsi="仿宋" w:eastAsia="仿宋" w:cs="黑体"/>
                <w:sz w:val="24"/>
                <w:highlight w:val="none"/>
              </w:rPr>
              <w:t>10</w:t>
            </w:r>
          </w:p>
        </w:tc>
        <w:tc>
          <w:tcPr>
            <w:tcW w:w="992" w:type="dxa"/>
          </w:tcPr>
          <w:p>
            <w:pPr>
              <w:snapToGrid w:val="0"/>
              <w:spacing w:line="360" w:lineRule="auto"/>
              <w:jc w:val="center"/>
              <w:rPr>
                <w:rFonts w:ascii="仿宋" w:hAnsi="仿宋" w:eastAsia="仿宋" w:cs="黑体"/>
                <w:sz w:val="24"/>
                <w:highlight w:val="none"/>
              </w:rPr>
            </w:pPr>
            <w:r>
              <w:rPr>
                <w:rFonts w:ascii="仿宋" w:hAnsi="仿宋" w:eastAsia="仿宋" w:cs="黑体"/>
                <w:sz w:val="24"/>
                <w:highlight w:val="none"/>
              </w:rPr>
              <w:t>40</w:t>
            </w:r>
          </w:p>
        </w:tc>
        <w:tc>
          <w:tcPr>
            <w:tcW w:w="992" w:type="dxa"/>
          </w:tcPr>
          <w:p>
            <w:pPr>
              <w:snapToGrid w:val="0"/>
              <w:spacing w:line="360" w:lineRule="auto"/>
              <w:jc w:val="center"/>
              <w:rPr>
                <w:rFonts w:ascii="仿宋" w:hAnsi="仿宋" w:eastAsia="仿宋" w:cs="黑体"/>
                <w:sz w:val="24"/>
                <w:highlight w:val="none"/>
              </w:rPr>
            </w:pPr>
            <w:r>
              <w:rPr>
                <w:rFonts w:ascii="仿宋" w:hAnsi="仿宋" w:eastAsia="仿宋" w:cs="黑体"/>
                <w:sz w:val="24"/>
                <w:highlight w:val="none"/>
              </w:rPr>
              <w:t>10</w:t>
            </w:r>
          </w:p>
        </w:tc>
        <w:tc>
          <w:tcPr>
            <w:tcW w:w="1294" w:type="dxa"/>
          </w:tcPr>
          <w:p>
            <w:pPr>
              <w:snapToGrid w:val="0"/>
              <w:spacing w:line="360" w:lineRule="auto"/>
              <w:jc w:val="center"/>
              <w:rPr>
                <w:rFonts w:ascii="仿宋" w:hAnsi="仿宋" w:eastAsia="仿宋" w:cs="黑体"/>
                <w:sz w:val="24"/>
                <w:highlight w:val="none"/>
              </w:rPr>
            </w:pPr>
            <w:r>
              <w:rPr>
                <w:rFonts w:ascii="仿宋" w:hAnsi="仿宋" w:eastAsia="仿宋" w:cs="黑体"/>
                <w:sz w:val="24"/>
                <w:highlight w:val="none"/>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pPr>
              <w:snapToGrid w:val="0"/>
              <w:spacing w:line="360" w:lineRule="auto"/>
              <w:rPr>
                <w:rFonts w:ascii="仿宋" w:hAnsi="仿宋" w:eastAsia="仿宋" w:cs="黑体"/>
                <w:sz w:val="24"/>
                <w:highlight w:val="none"/>
              </w:rPr>
            </w:pPr>
            <w:r>
              <w:rPr>
                <w:rFonts w:hint="eastAsia" w:ascii="仿宋" w:hAnsi="仿宋" w:eastAsia="仿宋" w:cs="黑体"/>
                <w:sz w:val="24"/>
                <w:highlight w:val="none"/>
              </w:rPr>
              <w:t>9、</w:t>
            </w:r>
            <w:r>
              <w:rPr>
                <w:rFonts w:hint="eastAsia" w:ascii="仿宋" w:hAnsi="仿宋" w:eastAsia="仿宋" w:cs="黑体"/>
                <w:sz w:val="24"/>
                <w:highlight w:val="none"/>
                <w:lang w:val="en-US" w:eastAsia="zh-CN"/>
              </w:rPr>
              <w:t>住户调查</w:t>
            </w:r>
            <w:r>
              <w:rPr>
                <w:rFonts w:hint="eastAsia" w:ascii="仿宋" w:hAnsi="仿宋" w:eastAsia="仿宋" w:cs="黑体"/>
                <w:sz w:val="24"/>
                <w:highlight w:val="none"/>
              </w:rPr>
              <w:t>经费</w:t>
            </w:r>
          </w:p>
        </w:tc>
        <w:tc>
          <w:tcPr>
            <w:tcW w:w="993" w:type="dxa"/>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39</w:t>
            </w:r>
          </w:p>
        </w:tc>
        <w:tc>
          <w:tcPr>
            <w:tcW w:w="992" w:type="dxa"/>
          </w:tcPr>
          <w:p>
            <w:pPr>
              <w:snapToGrid w:val="0"/>
              <w:spacing w:line="360" w:lineRule="auto"/>
              <w:jc w:val="center"/>
              <w:rPr>
                <w:rFonts w:hint="eastAsia" w:ascii="仿宋" w:hAnsi="仿宋" w:eastAsia="仿宋" w:cs="黑体"/>
                <w:sz w:val="24"/>
                <w:highlight w:val="none"/>
                <w:lang w:eastAsia="zh-CN"/>
              </w:rPr>
            </w:pPr>
            <w:r>
              <w:rPr>
                <w:rFonts w:hint="eastAsia" w:ascii="仿宋" w:hAnsi="仿宋" w:eastAsia="仿宋" w:cs="黑体"/>
                <w:sz w:val="24"/>
                <w:highlight w:val="none"/>
                <w:lang w:val="en-US" w:eastAsia="zh-CN"/>
              </w:rPr>
              <w:t>9</w:t>
            </w:r>
          </w:p>
        </w:tc>
        <w:tc>
          <w:tcPr>
            <w:tcW w:w="992" w:type="dxa"/>
          </w:tcPr>
          <w:p>
            <w:pPr>
              <w:snapToGrid w:val="0"/>
              <w:spacing w:line="360" w:lineRule="auto"/>
              <w:jc w:val="center"/>
              <w:rPr>
                <w:rFonts w:ascii="仿宋" w:hAnsi="仿宋" w:eastAsia="仿宋" w:cs="黑体"/>
                <w:sz w:val="24"/>
                <w:highlight w:val="none"/>
              </w:rPr>
            </w:pPr>
            <w:r>
              <w:rPr>
                <w:rFonts w:ascii="仿宋" w:hAnsi="仿宋" w:eastAsia="仿宋" w:cs="黑体"/>
                <w:sz w:val="24"/>
                <w:highlight w:val="none"/>
              </w:rPr>
              <w:t>40</w:t>
            </w:r>
          </w:p>
        </w:tc>
        <w:tc>
          <w:tcPr>
            <w:tcW w:w="992" w:type="dxa"/>
          </w:tcPr>
          <w:p>
            <w:pPr>
              <w:snapToGrid w:val="0"/>
              <w:spacing w:line="360" w:lineRule="auto"/>
              <w:jc w:val="center"/>
              <w:rPr>
                <w:rFonts w:ascii="仿宋" w:hAnsi="仿宋" w:eastAsia="仿宋" w:cs="黑体"/>
                <w:sz w:val="24"/>
                <w:highlight w:val="none"/>
              </w:rPr>
            </w:pPr>
            <w:r>
              <w:rPr>
                <w:rFonts w:ascii="仿宋" w:hAnsi="仿宋" w:eastAsia="仿宋" w:cs="黑体"/>
                <w:sz w:val="24"/>
                <w:highlight w:val="none"/>
              </w:rPr>
              <w:t>10</w:t>
            </w:r>
          </w:p>
        </w:tc>
        <w:tc>
          <w:tcPr>
            <w:tcW w:w="1294" w:type="dxa"/>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vAlign w:val="center"/>
          </w:tcPr>
          <w:p>
            <w:pPr>
              <w:snapToGrid w:val="0"/>
              <w:spacing w:line="360" w:lineRule="auto"/>
              <w:rPr>
                <w:rFonts w:ascii="仿宋" w:hAnsi="仿宋" w:eastAsia="仿宋" w:cs="黑体"/>
                <w:sz w:val="24"/>
                <w:highlight w:val="none"/>
              </w:rPr>
            </w:pPr>
            <w:r>
              <w:rPr>
                <w:rFonts w:hint="eastAsia" w:ascii="仿宋" w:hAnsi="仿宋" w:eastAsia="仿宋" w:cs="黑体"/>
                <w:sz w:val="24"/>
                <w:highlight w:val="none"/>
              </w:rPr>
              <w:t>1</w:t>
            </w:r>
            <w:r>
              <w:rPr>
                <w:rFonts w:ascii="仿宋" w:hAnsi="仿宋" w:eastAsia="仿宋" w:cs="黑体"/>
                <w:sz w:val="24"/>
                <w:highlight w:val="none"/>
              </w:rPr>
              <w:t>0</w:t>
            </w:r>
            <w:r>
              <w:rPr>
                <w:rFonts w:hint="eastAsia" w:ascii="仿宋" w:hAnsi="仿宋" w:eastAsia="仿宋" w:cs="黑体"/>
                <w:sz w:val="24"/>
                <w:highlight w:val="none"/>
              </w:rPr>
              <w:t>、</w:t>
            </w:r>
            <w:r>
              <w:rPr>
                <w:rFonts w:hint="eastAsia" w:ascii="仿宋" w:hAnsi="仿宋" w:eastAsia="仿宋" w:cs="黑体"/>
                <w:sz w:val="24"/>
                <w:highlight w:val="none"/>
                <w:lang w:val="en-US" w:eastAsia="zh-CN"/>
              </w:rPr>
              <w:t>追加</w:t>
            </w:r>
            <w:r>
              <w:rPr>
                <w:rFonts w:hint="eastAsia" w:ascii="仿宋" w:hAnsi="仿宋" w:eastAsia="仿宋" w:cs="黑体"/>
                <w:sz w:val="24"/>
                <w:highlight w:val="none"/>
              </w:rPr>
              <w:t>失业率调查统计工作经费</w:t>
            </w:r>
          </w:p>
        </w:tc>
        <w:tc>
          <w:tcPr>
            <w:tcW w:w="993" w:type="dxa"/>
          </w:tcPr>
          <w:p>
            <w:pPr>
              <w:snapToGrid w:val="0"/>
              <w:spacing w:line="360" w:lineRule="auto"/>
              <w:jc w:val="center"/>
              <w:rPr>
                <w:rFonts w:hint="eastAsia" w:ascii="仿宋" w:hAnsi="仿宋" w:eastAsia="仿宋" w:cs="黑体"/>
                <w:sz w:val="24"/>
                <w:highlight w:val="none"/>
              </w:rPr>
            </w:pPr>
            <w:r>
              <w:rPr>
                <w:rFonts w:hint="eastAsia" w:ascii="仿宋" w:hAnsi="仿宋" w:eastAsia="仿宋" w:cs="黑体"/>
                <w:sz w:val="24"/>
                <w:highlight w:val="none"/>
              </w:rPr>
              <w:t>39</w:t>
            </w:r>
          </w:p>
        </w:tc>
        <w:tc>
          <w:tcPr>
            <w:tcW w:w="992" w:type="dxa"/>
          </w:tcPr>
          <w:p>
            <w:pPr>
              <w:snapToGrid w:val="0"/>
              <w:spacing w:line="360" w:lineRule="auto"/>
              <w:jc w:val="center"/>
              <w:rPr>
                <w:rFonts w:ascii="仿宋" w:hAnsi="仿宋" w:eastAsia="仿宋" w:cs="黑体"/>
                <w:sz w:val="24"/>
                <w:highlight w:val="none"/>
              </w:rPr>
            </w:pPr>
            <w:r>
              <w:rPr>
                <w:rFonts w:hint="eastAsia" w:ascii="仿宋" w:hAnsi="仿宋" w:eastAsia="仿宋" w:cs="黑体"/>
                <w:sz w:val="24"/>
                <w:highlight w:val="none"/>
              </w:rPr>
              <w:t>10</w:t>
            </w:r>
          </w:p>
        </w:tc>
        <w:tc>
          <w:tcPr>
            <w:tcW w:w="992" w:type="dxa"/>
          </w:tcPr>
          <w:p>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40</w:t>
            </w:r>
          </w:p>
        </w:tc>
        <w:tc>
          <w:tcPr>
            <w:tcW w:w="992" w:type="dxa"/>
          </w:tcPr>
          <w:p>
            <w:pPr>
              <w:snapToGrid w:val="0"/>
              <w:spacing w:line="360" w:lineRule="auto"/>
              <w:jc w:val="center"/>
              <w:rPr>
                <w:rFonts w:ascii="仿宋" w:hAnsi="仿宋" w:eastAsia="仿宋" w:cs="黑体"/>
                <w:sz w:val="24"/>
                <w:highlight w:val="none"/>
              </w:rPr>
            </w:pPr>
            <w:r>
              <w:rPr>
                <w:rFonts w:ascii="仿宋" w:hAnsi="仿宋" w:eastAsia="仿宋" w:cs="黑体"/>
                <w:sz w:val="24"/>
                <w:highlight w:val="none"/>
              </w:rPr>
              <w:t>10</w:t>
            </w:r>
          </w:p>
        </w:tc>
        <w:tc>
          <w:tcPr>
            <w:tcW w:w="1294" w:type="dxa"/>
          </w:tcPr>
          <w:p>
            <w:pPr>
              <w:snapToGrid w:val="0"/>
              <w:spacing w:line="360" w:lineRule="auto"/>
              <w:jc w:val="center"/>
              <w:rPr>
                <w:rFonts w:hint="eastAsia" w:ascii="仿宋" w:hAnsi="仿宋" w:eastAsia="仿宋" w:cs="黑体"/>
                <w:sz w:val="24"/>
                <w:highlight w:val="none"/>
              </w:rPr>
            </w:pPr>
            <w:r>
              <w:rPr>
                <w:rFonts w:hint="eastAsia" w:ascii="仿宋" w:hAnsi="仿宋" w:eastAsia="仿宋" w:cs="黑体"/>
                <w:sz w:val="24"/>
                <w:highlight w:val="none"/>
              </w:rPr>
              <w:t>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077" w:type="dxa"/>
          </w:tcPr>
          <w:p>
            <w:pPr>
              <w:snapToGrid w:val="0"/>
              <w:spacing w:line="360" w:lineRule="auto"/>
              <w:rPr>
                <w:rFonts w:ascii="仿宋" w:hAnsi="仿宋" w:eastAsia="仿宋" w:cs="黑体"/>
                <w:sz w:val="24"/>
                <w:highlight w:val="none"/>
              </w:rPr>
            </w:pPr>
            <w:r>
              <w:rPr>
                <w:rFonts w:hint="eastAsia" w:ascii="仿宋" w:hAnsi="仿宋" w:eastAsia="仿宋" w:cs="黑体"/>
                <w:sz w:val="24"/>
                <w:highlight w:val="none"/>
              </w:rPr>
              <w:t>平均得分</w:t>
            </w:r>
          </w:p>
        </w:tc>
        <w:tc>
          <w:tcPr>
            <w:tcW w:w="993" w:type="dxa"/>
          </w:tcPr>
          <w:p>
            <w:pPr>
              <w:snapToGrid w:val="0"/>
              <w:spacing w:line="360" w:lineRule="auto"/>
              <w:ind w:firstLine="240" w:firstLineChars="100"/>
              <w:rPr>
                <w:rFonts w:ascii="仿宋" w:hAnsi="仿宋" w:eastAsia="仿宋" w:cs="黑体"/>
                <w:sz w:val="24"/>
                <w:highlight w:val="none"/>
              </w:rPr>
            </w:pPr>
          </w:p>
        </w:tc>
        <w:tc>
          <w:tcPr>
            <w:tcW w:w="992" w:type="dxa"/>
          </w:tcPr>
          <w:p>
            <w:pPr>
              <w:snapToGrid w:val="0"/>
              <w:spacing w:line="360" w:lineRule="auto"/>
              <w:rPr>
                <w:rFonts w:ascii="仿宋" w:hAnsi="仿宋" w:eastAsia="仿宋" w:cs="黑体"/>
                <w:sz w:val="24"/>
                <w:highlight w:val="none"/>
              </w:rPr>
            </w:pPr>
          </w:p>
        </w:tc>
        <w:tc>
          <w:tcPr>
            <w:tcW w:w="992" w:type="dxa"/>
          </w:tcPr>
          <w:p>
            <w:pPr>
              <w:snapToGrid w:val="0"/>
              <w:spacing w:line="360" w:lineRule="auto"/>
              <w:rPr>
                <w:rFonts w:ascii="仿宋" w:hAnsi="仿宋" w:eastAsia="仿宋" w:cs="黑体"/>
                <w:sz w:val="24"/>
                <w:highlight w:val="none"/>
              </w:rPr>
            </w:pPr>
          </w:p>
        </w:tc>
        <w:tc>
          <w:tcPr>
            <w:tcW w:w="992" w:type="dxa"/>
          </w:tcPr>
          <w:p>
            <w:pPr>
              <w:snapToGrid w:val="0"/>
              <w:spacing w:line="360" w:lineRule="auto"/>
              <w:rPr>
                <w:rFonts w:ascii="仿宋" w:hAnsi="仿宋" w:eastAsia="仿宋" w:cs="黑体"/>
                <w:sz w:val="24"/>
                <w:highlight w:val="none"/>
              </w:rPr>
            </w:pPr>
          </w:p>
        </w:tc>
        <w:tc>
          <w:tcPr>
            <w:tcW w:w="1294" w:type="dxa"/>
          </w:tcPr>
          <w:p>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99.15</w:t>
            </w:r>
          </w:p>
        </w:tc>
      </w:tr>
    </w:tbl>
    <w:p>
      <w:pPr>
        <w:adjustRightInd w:val="0"/>
        <w:snapToGrid w:val="0"/>
        <w:spacing w:line="560" w:lineRule="exact"/>
        <w:rPr>
          <w:rFonts w:ascii="仿宋" w:hAnsi="仿宋" w:eastAsia="仿宋"/>
          <w:sz w:val="32"/>
          <w:szCs w:val="32"/>
        </w:rPr>
      </w:pPr>
    </w:p>
    <w:p>
      <w:pPr>
        <w:adjustRightInd w:val="0"/>
        <w:snapToGrid w:val="0"/>
        <w:spacing w:line="560" w:lineRule="exact"/>
        <w:ind w:firstLine="320" w:firstLineChars="100"/>
        <w:rPr>
          <w:rFonts w:ascii="仿宋" w:hAnsi="仿宋" w:eastAsia="仿宋"/>
          <w:sz w:val="32"/>
          <w:szCs w:val="32"/>
        </w:rPr>
      </w:pPr>
      <w:r>
        <w:rPr>
          <w:rFonts w:hint="eastAsia" w:ascii="仿宋" w:hAnsi="仿宋" w:eastAsia="仿宋"/>
          <w:sz w:val="32"/>
          <w:szCs w:val="32"/>
        </w:rPr>
        <w:t>根据部门职责定位和各项工作履职情况进行综合评价，给出总得分，并得出综合绩效评价等级。我部门整体支出综合绩效评价平均得分</w:t>
      </w:r>
      <w:r>
        <w:rPr>
          <w:rFonts w:hint="eastAsia" w:ascii="仿宋" w:hAnsi="仿宋" w:eastAsia="仿宋"/>
          <w:sz w:val="32"/>
          <w:szCs w:val="32"/>
          <w:highlight w:val="none"/>
          <w:lang w:val="en-US" w:eastAsia="zh-CN"/>
        </w:rPr>
        <w:t>99.15</w:t>
      </w:r>
      <w:r>
        <w:rPr>
          <w:rFonts w:hint="eastAsia" w:ascii="仿宋" w:hAnsi="仿宋" w:eastAsia="仿宋"/>
          <w:sz w:val="32"/>
          <w:szCs w:val="32"/>
        </w:rPr>
        <w:t>分，绩效评价等级为优秀。</w:t>
      </w:r>
    </w:p>
    <w:p>
      <w:pPr>
        <w:numPr>
          <w:ilvl w:val="0"/>
          <w:numId w:val="4"/>
        </w:numPr>
        <w:snapToGrid w:val="0"/>
        <w:spacing w:line="560" w:lineRule="exact"/>
        <w:ind w:firstLine="640"/>
        <w:rPr>
          <w:rFonts w:ascii="黑体" w:hAnsi="黑体" w:eastAsia="黑体" w:cs="黑体"/>
          <w:sz w:val="32"/>
          <w:szCs w:val="32"/>
        </w:rPr>
      </w:pPr>
      <w:r>
        <w:rPr>
          <w:rFonts w:hint="eastAsia" w:ascii="黑体" w:hAnsi="黑体" w:eastAsia="黑体" w:cs="黑体"/>
          <w:sz w:val="32"/>
          <w:szCs w:val="32"/>
        </w:rPr>
        <w:t>整改措施及结果应用</w:t>
      </w:r>
    </w:p>
    <w:p>
      <w:pPr>
        <w:pStyle w:val="3"/>
        <w:ind w:firstLine="640" w:firstLineChars="200"/>
        <w:rPr>
          <w:lang w:val="en-US"/>
        </w:rPr>
      </w:pPr>
      <w:r>
        <w:rPr>
          <w:rFonts w:hint="eastAsia"/>
          <w:lang w:val="en-US"/>
        </w:rPr>
        <w:t>（一）存在主要问题</w:t>
      </w:r>
    </w:p>
    <w:p>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1.绩效目标设定工作有待提升。因事前绩效评估不足，项目数据库数据不够全面，完整，导致部分项目绩效目标设置不够简明 扼要，清晰直观，不便于理解和衡量。部分项目预算数量关键点不突出，数量不够精准。</w:t>
      </w:r>
    </w:p>
    <w:p>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 xml:space="preserve"> 2.绩效工作管理有待加强。绩效工作管理还存在一定的薄弱环节，绩效管理相关制度不健全，个别科室绩效理念尚未全面树立、绩效管理职责不明确，绩效指标激励约束作用不强，存在重投入轻管理、重支出轻绩效的问题，绩效工作管理的广度和深度不足。 </w:t>
      </w:r>
    </w:p>
    <w:p>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3.部分科室未能有效协同推进实施绩效管理，未做好预算项目 的梳理和总结工作，不能全面掌握绩效目标、指标的实际完成情况以及预算资金执行情况。部分较复杂的综合性预算项目，所设 指标涉及多个科室，部分科室之间未能协同推进实施绩效管理， 不能综合地反映预算项目的产出和效果。</w:t>
      </w:r>
    </w:p>
    <w:p>
      <w:pPr>
        <w:pStyle w:val="3"/>
        <w:ind w:left="420" w:leftChars="200"/>
        <w:rPr>
          <w:lang w:val="en-US"/>
        </w:rPr>
      </w:pPr>
      <w:r>
        <w:rPr>
          <w:rFonts w:hint="eastAsia"/>
          <w:lang w:val="en-US"/>
        </w:rPr>
        <w:t>（</w:t>
      </w:r>
      <w:r>
        <w:rPr>
          <w:rFonts w:hint="eastAsia"/>
        </w:rPr>
        <w:t>二</w:t>
      </w:r>
      <w:r>
        <w:rPr>
          <w:rFonts w:hint="eastAsia"/>
          <w:lang w:val="en-US"/>
        </w:rPr>
        <w:t>）</w:t>
      </w:r>
      <w:r>
        <w:rPr>
          <w:rFonts w:hint="eastAsia"/>
        </w:rPr>
        <w:t>整改思路及工作措施</w:t>
      </w:r>
    </w:p>
    <w:p>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 xml:space="preserve">1.科学规范的设定绩效目标，提升绩效目标的质量。使绩效目 标清晰的反映预算资金的预期产出和效果，并以精准的指向性绩效指标予以细化。能量化的绩效指标尽可能的量化，既要符合统计工作的特点和实际情况，又要实事求是，客观公正。 </w:t>
      </w:r>
    </w:p>
    <w:p>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2.建立健全相关绩效管理制度，强化预算绩效约束。 坚持权责对等、约束有力，明确各责任科室的预算绩效申报 和管理责任，做到“谁支出，谁自评”“花钱必问效，无效必问责”。建立健全激励约束机制，实现绩效评价结果与预算安排相 挂钩。增强预算统筹能力，优化预算管理流程，调动各科室的积极性、主动性。</w:t>
      </w:r>
    </w:p>
    <w:p>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 xml:space="preserve"> 3.及时梳理和总结，协同推进实施绩效管理。 各科室要做好项目的梳理和总结工作，掌握项目预算资金的 执行情况以及绩效目标、指标的完成情况。针对多部门共同实施 的较复杂的综合性项目，由项目责任科室牵头，各部门积极参与 配合，完成预算项目的综合评价工作，保证准确地、全面地反映 和评价预算项目的产出和效果，实现预算项目的价值与意义。</w:t>
      </w:r>
    </w:p>
    <w:p>
      <w:pPr>
        <w:adjustRightInd w:val="0"/>
        <w:snapToGrid w:val="0"/>
        <w:spacing w:line="560" w:lineRule="exact"/>
        <w:ind w:firstLine="640" w:firstLineChars="200"/>
        <w:rPr>
          <w:rFonts w:ascii="仿宋" w:hAnsi="仿宋" w:eastAsia="仿宋" w:cs="黑体"/>
          <w:sz w:val="32"/>
          <w:szCs w:val="32"/>
        </w:rPr>
      </w:pPr>
      <w:r>
        <w:rPr>
          <w:rFonts w:ascii="仿宋" w:hAnsi="仿宋" w:eastAsia="仿宋"/>
          <w:sz w:val="32"/>
          <w:szCs w:val="32"/>
        </w:rPr>
        <w:t xml:space="preserve"> 4.建立健全业务制度。 结合此次总结出来的问题，对相关制度进行进一步修订和完善，在实际工作中严格依规办事、照章办事，强化制度的刚性执行。</w:t>
      </w:r>
    </w:p>
    <w:p>
      <w:pPr>
        <w:pStyle w:val="3"/>
        <w:ind w:firstLine="640" w:firstLineChars="200"/>
        <w:rPr>
          <w:lang w:val="en-US"/>
        </w:rPr>
      </w:pPr>
      <w:r>
        <w:rPr>
          <w:rFonts w:hint="eastAsia"/>
          <w:lang w:val="en-US"/>
        </w:rPr>
        <w:t>（三）结果应用</w:t>
      </w:r>
    </w:p>
    <w:p>
      <w:pPr>
        <w:spacing w:line="560" w:lineRule="exact"/>
        <w:ind w:firstLine="640" w:firstLineChars="200"/>
        <w:rPr>
          <w:rFonts w:ascii="仿宋_GB2312" w:eastAsia="仿宋_GB2312"/>
          <w:sz w:val="32"/>
        </w:rPr>
      </w:pPr>
      <w:r>
        <w:rPr>
          <w:rFonts w:hint="eastAsia" w:ascii="仿宋_GB2312" w:eastAsia="仿宋_GB2312"/>
          <w:sz w:val="32"/>
        </w:rPr>
        <w:t>绩效自评结果将在政府门户网站上进行公开，接受社会监督。绩效评价结果将通报相关人员督促整改，进一步提高项目绩效。</w:t>
      </w:r>
    </w:p>
    <w:p>
      <w:pPr>
        <w:pStyle w:val="3"/>
        <w:rPr>
          <w:lang w:val="en-US"/>
        </w:rPr>
      </w:pPr>
    </w:p>
    <w:p>
      <w:pPr>
        <w:pStyle w:val="3"/>
        <w:rPr>
          <w:lang w:val="en-US"/>
        </w:rPr>
      </w:pPr>
    </w:p>
    <w:p>
      <w:pPr>
        <w:pStyle w:val="3"/>
        <w:rPr>
          <w:lang w:val="en-US"/>
        </w:rPr>
      </w:pPr>
    </w:p>
    <w:p>
      <w:pPr>
        <w:pStyle w:val="3"/>
        <w:rPr>
          <w:lang w:val="en-US"/>
        </w:rPr>
      </w:pPr>
    </w:p>
    <w:p>
      <w:pPr>
        <w:pStyle w:val="3"/>
        <w:rPr>
          <w:lang w:val="en-US"/>
        </w:rPr>
      </w:pPr>
    </w:p>
    <w:p>
      <w:pPr>
        <w:pStyle w:val="3"/>
        <w:rPr>
          <w:lang w:val="en-US"/>
        </w:rPr>
      </w:pPr>
    </w:p>
    <w:p>
      <w:pPr>
        <w:pStyle w:val="3"/>
        <w:rPr>
          <w:lang w:val="en-US"/>
        </w:rPr>
      </w:pPr>
    </w:p>
    <w:p>
      <w:pPr>
        <w:pStyle w:val="3"/>
        <w:rPr>
          <w:lang w:val="en-US"/>
        </w:rPr>
      </w:pPr>
    </w:p>
    <w:p>
      <w:pPr>
        <w:pStyle w:val="3"/>
        <w:rPr>
          <w:lang w:val="en-US"/>
        </w:rPr>
      </w:pPr>
    </w:p>
    <w:p>
      <w:pPr>
        <w:snapToGrid w:val="0"/>
        <w:spacing w:line="560" w:lineRule="exact"/>
        <w:rPr>
          <w:rFonts w:hint="eastAsia" w:ascii="黑体" w:hAnsi="黑体" w:eastAsia="黑体" w:cs="黑体"/>
          <w:sz w:val="32"/>
          <w:szCs w:val="32"/>
          <w:lang w:eastAsia="zh-CN"/>
        </w:rPr>
      </w:pPr>
    </w:p>
    <w:p>
      <w:pPr>
        <w:pStyle w:val="2"/>
        <w:rPr>
          <w:rFonts w:hint="eastAsia" w:ascii="黑体" w:hAnsi="黑体" w:eastAsia="黑体" w:cs="黑体"/>
          <w:sz w:val="32"/>
          <w:szCs w:val="32"/>
          <w:lang w:eastAsia="zh-CN"/>
        </w:rPr>
      </w:pPr>
    </w:p>
    <w:p>
      <w:pPr>
        <w:pStyle w:val="2"/>
        <w:rPr>
          <w:rFonts w:hint="eastAsia" w:ascii="黑体" w:hAnsi="黑体" w:eastAsia="黑体" w:cs="黑体"/>
          <w:sz w:val="32"/>
          <w:szCs w:val="32"/>
          <w:lang w:eastAsia="zh-CN"/>
        </w:rPr>
      </w:pPr>
      <w:bookmarkStart w:id="14" w:name="_GoBack"/>
      <w:bookmarkEnd w:id="14"/>
    </w:p>
    <w:p>
      <w:pPr>
        <w:snapToGrid w:val="0"/>
        <w:spacing w:line="560" w:lineRule="exact"/>
        <w:ind w:firstLine="640" w:firstLineChars="200"/>
        <w:rPr>
          <w:rFonts w:ascii="仿宋" w:hAnsi="仿宋" w:eastAsia="仿宋" w:cs="仿宋"/>
          <w:sz w:val="32"/>
          <w:szCs w:val="32"/>
        </w:rPr>
      </w:pPr>
      <w:r>
        <w:rPr>
          <w:rFonts w:hint="eastAsia" w:ascii="黑体" w:hAnsi="黑体" w:eastAsia="黑体" w:cs="黑体"/>
          <w:sz w:val="32"/>
          <w:szCs w:val="32"/>
        </w:rPr>
        <w:t>六、评价工作组人员名单及签字</w:t>
      </w:r>
    </w:p>
    <w:tbl>
      <w:tblPr>
        <w:tblStyle w:val="8"/>
        <w:tblpPr w:leftFromText="180" w:rightFromText="180" w:vertAnchor="text" w:horzAnchor="page" w:tblpX="1962" w:tblpY="668"/>
        <w:tblOverlap w:val="never"/>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418"/>
        <w:gridCol w:w="1701"/>
        <w:gridCol w:w="2976"/>
        <w:gridCol w:w="16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序号</w:t>
            </w:r>
          </w:p>
        </w:tc>
        <w:tc>
          <w:tcPr>
            <w:tcW w:w="1418" w:type="dxa"/>
            <w:vAlign w:val="center"/>
          </w:tcPr>
          <w:p>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姓名</w:t>
            </w:r>
          </w:p>
        </w:tc>
        <w:tc>
          <w:tcPr>
            <w:tcW w:w="1701" w:type="dxa"/>
            <w:vAlign w:val="center"/>
          </w:tcPr>
          <w:p>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工作单位</w:t>
            </w:r>
          </w:p>
        </w:tc>
        <w:tc>
          <w:tcPr>
            <w:tcW w:w="2976" w:type="dxa"/>
            <w:vAlign w:val="center"/>
          </w:tcPr>
          <w:p>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职务</w:t>
            </w:r>
          </w:p>
        </w:tc>
        <w:tc>
          <w:tcPr>
            <w:tcW w:w="1610" w:type="dxa"/>
            <w:vAlign w:val="center"/>
          </w:tcPr>
          <w:p>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trPr>
        <w:tc>
          <w:tcPr>
            <w:tcW w:w="817" w:type="dxa"/>
            <w:vAlign w:val="center"/>
          </w:tcPr>
          <w:p>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1</w:t>
            </w:r>
          </w:p>
        </w:tc>
        <w:tc>
          <w:tcPr>
            <w:tcW w:w="1418" w:type="dxa"/>
            <w:vAlign w:val="center"/>
          </w:tcPr>
          <w:p>
            <w:pPr>
              <w:adjustRightInd w:val="0"/>
              <w:snapToGrid w:val="0"/>
              <w:spacing w:line="360" w:lineRule="auto"/>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杨玉霄</w:t>
            </w:r>
          </w:p>
        </w:tc>
        <w:tc>
          <w:tcPr>
            <w:tcW w:w="1701" w:type="dxa"/>
            <w:vAlign w:val="center"/>
          </w:tcPr>
          <w:p>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区统计局</w:t>
            </w:r>
          </w:p>
        </w:tc>
        <w:tc>
          <w:tcPr>
            <w:tcW w:w="2976" w:type="dxa"/>
            <w:vAlign w:val="center"/>
          </w:tcPr>
          <w:p>
            <w:pPr>
              <w:adjustRightInd w:val="0"/>
              <w:snapToGrid w:val="0"/>
              <w:spacing w:line="360" w:lineRule="auto"/>
              <w:jc w:val="center"/>
              <w:rPr>
                <w:rFonts w:ascii="仿宋" w:hAnsi="仿宋" w:eastAsia="仿宋" w:cs="仿宋"/>
                <w:sz w:val="28"/>
                <w:szCs w:val="28"/>
              </w:rPr>
            </w:pPr>
            <w:r>
              <w:rPr>
                <w:rFonts w:hint="eastAsia" w:ascii="仿宋" w:hAnsi="仿宋" w:eastAsia="仿宋" w:cs="仿宋"/>
                <w:sz w:val="28"/>
                <w:szCs w:val="28"/>
              </w:rPr>
              <w:t>局长</w:t>
            </w:r>
          </w:p>
        </w:tc>
        <w:tc>
          <w:tcPr>
            <w:tcW w:w="1610" w:type="dxa"/>
            <w:vAlign w:val="center"/>
          </w:tcPr>
          <w:p>
            <w:pPr>
              <w:adjustRightInd w:val="0"/>
              <w:snapToGrid w:val="0"/>
              <w:spacing w:line="360" w:lineRule="auto"/>
              <w:jc w:val="center"/>
              <w:rPr>
                <w:rFonts w:ascii="仿宋" w:hAnsi="仿宋" w:eastAsia="仿宋" w:cs="仿宋"/>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trPr>
        <w:tc>
          <w:tcPr>
            <w:tcW w:w="817" w:type="dxa"/>
            <w:vAlign w:val="center"/>
          </w:tcPr>
          <w:p>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2</w:t>
            </w:r>
          </w:p>
        </w:tc>
        <w:tc>
          <w:tcPr>
            <w:tcW w:w="1418" w:type="dxa"/>
            <w:vAlign w:val="center"/>
          </w:tcPr>
          <w:p>
            <w:pPr>
              <w:adjustRightInd w:val="0"/>
              <w:snapToGrid w:val="0"/>
              <w:spacing w:line="360" w:lineRule="auto"/>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王婷</w:t>
            </w:r>
          </w:p>
        </w:tc>
        <w:tc>
          <w:tcPr>
            <w:tcW w:w="1701" w:type="dxa"/>
            <w:vAlign w:val="center"/>
          </w:tcPr>
          <w:p>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区统计局</w:t>
            </w:r>
          </w:p>
        </w:tc>
        <w:tc>
          <w:tcPr>
            <w:tcW w:w="2976" w:type="dxa"/>
            <w:vAlign w:val="center"/>
          </w:tcPr>
          <w:p>
            <w:pPr>
              <w:adjustRightInd w:val="0"/>
              <w:snapToGrid w:val="0"/>
              <w:spacing w:line="360" w:lineRule="auto"/>
              <w:jc w:val="center"/>
              <w:rPr>
                <w:rFonts w:ascii="仿宋" w:hAnsi="仿宋" w:eastAsia="仿宋" w:cs="仿宋"/>
                <w:sz w:val="28"/>
                <w:szCs w:val="28"/>
              </w:rPr>
            </w:pPr>
            <w:r>
              <w:rPr>
                <w:rFonts w:hint="eastAsia" w:ascii="仿宋" w:hAnsi="仿宋" w:eastAsia="仿宋" w:cs="仿宋"/>
                <w:sz w:val="28"/>
                <w:szCs w:val="28"/>
              </w:rPr>
              <w:t>副局长</w:t>
            </w:r>
          </w:p>
        </w:tc>
        <w:tc>
          <w:tcPr>
            <w:tcW w:w="1610" w:type="dxa"/>
            <w:vAlign w:val="center"/>
          </w:tcPr>
          <w:p>
            <w:pPr>
              <w:adjustRightInd w:val="0"/>
              <w:snapToGrid w:val="0"/>
              <w:spacing w:line="360" w:lineRule="auto"/>
              <w:jc w:val="center"/>
              <w:rPr>
                <w:rFonts w:ascii="仿宋" w:hAnsi="仿宋" w:eastAsia="仿宋" w:cs="仿宋"/>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3</w:t>
            </w:r>
          </w:p>
        </w:tc>
        <w:tc>
          <w:tcPr>
            <w:tcW w:w="1418" w:type="dxa"/>
            <w:vAlign w:val="center"/>
          </w:tcPr>
          <w:p>
            <w:pPr>
              <w:adjustRightInd w:val="0"/>
              <w:snapToGrid w:val="0"/>
              <w:spacing w:line="360" w:lineRule="auto"/>
              <w:rPr>
                <w:rFonts w:ascii="仿宋" w:hAnsi="仿宋" w:eastAsia="仿宋" w:cs="仿宋"/>
                <w:kern w:val="2"/>
                <w:sz w:val="30"/>
                <w:szCs w:val="30"/>
                <w:lang w:val="en-US" w:eastAsia="zh-CN" w:bidi="ar-SA"/>
              </w:rPr>
            </w:pPr>
            <w:r>
              <w:rPr>
                <w:rFonts w:hint="eastAsia" w:ascii="仿宋" w:hAnsi="仿宋" w:eastAsia="仿宋" w:cs="仿宋"/>
                <w:sz w:val="30"/>
                <w:szCs w:val="30"/>
              </w:rPr>
              <w:t>蒲永坡</w:t>
            </w:r>
          </w:p>
        </w:tc>
        <w:tc>
          <w:tcPr>
            <w:tcW w:w="1701" w:type="dxa"/>
            <w:vAlign w:val="center"/>
          </w:tcPr>
          <w:p>
            <w:pPr>
              <w:adjustRightInd w:val="0"/>
              <w:snapToGrid w:val="0"/>
              <w:spacing w:line="360" w:lineRule="auto"/>
              <w:jc w:val="center"/>
              <w:rPr>
                <w:rFonts w:ascii="仿宋" w:hAnsi="仿宋" w:eastAsia="仿宋" w:cs="仿宋"/>
                <w:kern w:val="2"/>
                <w:sz w:val="30"/>
                <w:szCs w:val="30"/>
                <w:lang w:val="en-US" w:eastAsia="zh-CN" w:bidi="ar-SA"/>
              </w:rPr>
            </w:pPr>
            <w:r>
              <w:rPr>
                <w:rFonts w:hint="eastAsia" w:ascii="仿宋" w:hAnsi="仿宋" w:eastAsia="仿宋" w:cs="仿宋"/>
                <w:sz w:val="30"/>
                <w:szCs w:val="30"/>
              </w:rPr>
              <w:t>区统计局</w:t>
            </w:r>
          </w:p>
        </w:tc>
        <w:tc>
          <w:tcPr>
            <w:tcW w:w="2976" w:type="dxa"/>
            <w:vAlign w:val="center"/>
          </w:tcPr>
          <w:p>
            <w:pPr>
              <w:adjustRightInd w:val="0"/>
              <w:snapToGrid w:val="0"/>
              <w:spacing w:line="360" w:lineRule="auto"/>
              <w:jc w:val="center"/>
              <w:rPr>
                <w:rFonts w:ascii="仿宋" w:hAnsi="仿宋" w:eastAsia="仿宋" w:cs="仿宋"/>
                <w:kern w:val="2"/>
                <w:sz w:val="28"/>
                <w:szCs w:val="28"/>
                <w:lang w:val="en-US" w:eastAsia="zh-CN" w:bidi="ar-SA"/>
              </w:rPr>
            </w:pPr>
            <w:r>
              <w:rPr>
                <w:rFonts w:hint="eastAsia" w:ascii="仿宋" w:hAnsi="仿宋" w:eastAsia="仿宋" w:cs="仿宋"/>
                <w:sz w:val="28"/>
                <w:szCs w:val="28"/>
              </w:rPr>
              <w:t>普查中心主任</w:t>
            </w:r>
          </w:p>
        </w:tc>
        <w:tc>
          <w:tcPr>
            <w:tcW w:w="1610" w:type="dxa"/>
            <w:vAlign w:val="center"/>
          </w:tcPr>
          <w:p>
            <w:pPr>
              <w:adjustRightInd w:val="0"/>
              <w:snapToGrid w:val="0"/>
              <w:spacing w:line="360" w:lineRule="auto"/>
              <w:jc w:val="center"/>
              <w:rPr>
                <w:rFonts w:ascii="仿宋" w:hAnsi="仿宋" w:eastAsia="仿宋" w:cs="仿宋"/>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pPr>
              <w:adjustRightInd w:val="0"/>
              <w:snapToGrid w:val="0"/>
              <w:spacing w:line="360" w:lineRule="auto"/>
              <w:jc w:val="center"/>
              <w:rPr>
                <w:rFonts w:ascii="仿宋" w:hAnsi="仿宋" w:eastAsia="仿宋" w:cs="仿宋"/>
                <w:sz w:val="30"/>
                <w:szCs w:val="30"/>
              </w:rPr>
            </w:pPr>
            <w:bookmarkStart w:id="12" w:name="OLE_LINK7" w:colFirst="1" w:colLast="3"/>
            <w:r>
              <w:rPr>
                <w:rFonts w:hint="eastAsia" w:ascii="仿宋" w:hAnsi="仿宋" w:eastAsia="仿宋" w:cs="仿宋"/>
                <w:sz w:val="30"/>
                <w:szCs w:val="30"/>
              </w:rPr>
              <w:t>4</w:t>
            </w:r>
          </w:p>
        </w:tc>
        <w:tc>
          <w:tcPr>
            <w:tcW w:w="1418" w:type="dxa"/>
            <w:vAlign w:val="center"/>
          </w:tcPr>
          <w:p>
            <w:pPr>
              <w:adjustRightInd w:val="0"/>
              <w:snapToGrid w:val="0"/>
              <w:spacing w:line="360" w:lineRule="auto"/>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桑力刚</w:t>
            </w:r>
          </w:p>
        </w:tc>
        <w:tc>
          <w:tcPr>
            <w:tcW w:w="1701" w:type="dxa"/>
            <w:vAlign w:val="center"/>
          </w:tcPr>
          <w:p>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区统计局</w:t>
            </w:r>
          </w:p>
        </w:tc>
        <w:tc>
          <w:tcPr>
            <w:tcW w:w="2976" w:type="dxa"/>
            <w:vAlign w:val="center"/>
          </w:tcPr>
          <w:p>
            <w:pPr>
              <w:adjustRightInd w:val="0"/>
              <w:snapToGrid w:val="0"/>
              <w:spacing w:line="360" w:lineRule="auto"/>
              <w:jc w:val="center"/>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党组成员</w:t>
            </w:r>
          </w:p>
        </w:tc>
        <w:tc>
          <w:tcPr>
            <w:tcW w:w="1610" w:type="dxa"/>
            <w:vAlign w:val="center"/>
          </w:tcPr>
          <w:p>
            <w:pPr>
              <w:adjustRightInd w:val="0"/>
              <w:snapToGrid w:val="0"/>
              <w:spacing w:line="360" w:lineRule="auto"/>
              <w:jc w:val="center"/>
              <w:rPr>
                <w:rFonts w:ascii="仿宋" w:hAnsi="仿宋" w:eastAsia="仿宋" w:cs="仿宋"/>
                <w:sz w:val="30"/>
                <w:szCs w:val="30"/>
              </w:rPr>
            </w:pPr>
          </w:p>
        </w:tc>
      </w:tr>
      <w:bookmarkEnd w:id="12"/>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5</w:t>
            </w:r>
          </w:p>
        </w:tc>
        <w:tc>
          <w:tcPr>
            <w:tcW w:w="1418" w:type="dxa"/>
            <w:vAlign w:val="center"/>
          </w:tcPr>
          <w:p>
            <w:pPr>
              <w:adjustRightInd w:val="0"/>
              <w:snapToGrid w:val="0"/>
              <w:spacing w:line="360" w:lineRule="auto"/>
              <w:rPr>
                <w:rFonts w:ascii="仿宋" w:hAnsi="仿宋" w:eastAsia="仿宋" w:cs="仿宋"/>
                <w:sz w:val="30"/>
                <w:szCs w:val="30"/>
              </w:rPr>
            </w:pPr>
            <w:r>
              <w:rPr>
                <w:rFonts w:hint="eastAsia" w:ascii="仿宋" w:hAnsi="仿宋" w:eastAsia="仿宋" w:cs="仿宋"/>
                <w:sz w:val="30"/>
                <w:szCs w:val="30"/>
              </w:rPr>
              <w:t>崔荣华</w:t>
            </w:r>
          </w:p>
        </w:tc>
        <w:tc>
          <w:tcPr>
            <w:tcW w:w="1701" w:type="dxa"/>
            <w:vAlign w:val="center"/>
          </w:tcPr>
          <w:p>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区统计局</w:t>
            </w:r>
          </w:p>
        </w:tc>
        <w:tc>
          <w:tcPr>
            <w:tcW w:w="2976" w:type="dxa"/>
            <w:vAlign w:val="center"/>
          </w:tcPr>
          <w:p>
            <w:pPr>
              <w:adjustRightInd w:val="0"/>
              <w:snapToGrid w:val="0"/>
              <w:spacing w:line="360" w:lineRule="auto"/>
              <w:jc w:val="center"/>
              <w:rPr>
                <w:rFonts w:ascii="仿宋" w:hAnsi="仿宋" w:eastAsia="仿宋" w:cs="仿宋"/>
                <w:sz w:val="28"/>
                <w:szCs w:val="28"/>
              </w:rPr>
            </w:pPr>
            <w:r>
              <w:rPr>
                <w:rFonts w:hint="eastAsia" w:ascii="仿宋" w:hAnsi="仿宋" w:eastAsia="仿宋" w:cs="仿宋"/>
                <w:sz w:val="28"/>
                <w:szCs w:val="28"/>
              </w:rPr>
              <w:t>四级调研员</w:t>
            </w:r>
          </w:p>
        </w:tc>
        <w:tc>
          <w:tcPr>
            <w:tcW w:w="1610" w:type="dxa"/>
            <w:vAlign w:val="center"/>
          </w:tcPr>
          <w:p>
            <w:pPr>
              <w:adjustRightInd w:val="0"/>
              <w:snapToGrid w:val="0"/>
              <w:spacing w:line="360" w:lineRule="auto"/>
              <w:jc w:val="center"/>
              <w:rPr>
                <w:rFonts w:ascii="仿宋" w:hAnsi="仿宋" w:eastAsia="仿宋" w:cs="仿宋"/>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pPr>
              <w:adjustRightInd w:val="0"/>
              <w:snapToGrid w:val="0"/>
              <w:spacing w:line="360" w:lineRule="auto"/>
              <w:jc w:val="center"/>
              <w:rPr>
                <w:rFonts w:hint="eastAsia" w:ascii="仿宋" w:hAnsi="仿宋" w:eastAsia="仿宋" w:cs="仿宋"/>
                <w:sz w:val="30"/>
                <w:szCs w:val="30"/>
              </w:rPr>
            </w:pPr>
          </w:p>
        </w:tc>
        <w:tc>
          <w:tcPr>
            <w:tcW w:w="1418" w:type="dxa"/>
            <w:vAlign w:val="center"/>
          </w:tcPr>
          <w:p>
            <w:pPr>
              <w:adjustRightInd w:val="0"/>
              <w:snapToGrid w:val="0"/>
              <w:spacing w:line="360" w:lineRule="auto"/>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郭立军</w:t>
            </w:r>
          </w:p>
        </w:tc>
        <w:tc>
          <w:tcPr>
            <w:tcW w:w="1701" w:type="dxa"/>
          </w:tcPr>
          <w:p>
            <w:pPr>
              <w:adjustRightInd w:val="0"/>
              <w:snapToGrid w:val="0"/>
              <w:spacing w:line="360" w:lineRule="auto"/>
              <w:jc w:val="center"/>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区统计局</w:t>
            </w:r>
          </w:p>
        </w:tc>
        <w:tc>
          <w:tcPr>
            <w:tcW w:w="2976" w:type="dxa"/>
            <w:vAlign w:val="center"/>
          </w:tcPr>
          <w:p>
            <w:pPr>
              <w:adjustRightInd w:val="0"/>
              <w:snapToGrid w:val="0"/>
              <w:spacing w:line="360" w:lineRule="auto"/>
              <w:jc w:val="center"/>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三级主任科员</w:t>
            </w:r>
          </w:p>
        </w:tc>
        <w:tc>
          <w:tcPr>
            <w:tcW w:w="1610" w:type="dxa"/>
            <w:vAlign w:val="center"/>
          </w:tcPr>
          <w:p>
            <w:pPr>
              <w:adjustRightInd w:val="0"/>
              <w:snapToGrid w:val="0"/>
              <w:spacing w:line="360" w:lineRule="auto"/>
              <w:jc w:val="center"/>
              <w:rPr>
                <w:rFonts w:ascii="仿宋" w:hAnsi="仿宋" w:eastAsia="仿宋" w:cs="仿宋"/>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6</w:t>
            </w:r>
          </w:p>
        </w:tc>
        <w:tc>
          <w:tcPr>
            <w:tcW w:w="1418" w:type="dxa"/>
            <w:vAlign w:val="center"/>
          </w:tcPr>
          <w:p>
            <w:pPr>
              <w:adjustRightInd w:val="0"/>
              <w:snapToGrid w:val="0"/>
              <w:spacing w:line="360" w:lineRule="auto"/>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王虎威</w:t>
            </w:r>
          </w:p>
        </w:tc>
        <w:tc>
          <w:tcPr>
            <w:tcW w:w="1701" w:type="dxa"/>
          </w:tcPr>
          <w:p>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区统计局</w:t>
            </w:r>
          </w:p>
        </w:tc>
        <w:tc>
          <w:tcPr>
            <w:tcW w:w="2976" w:type="dxa"/>
            <w:vAlign w:val="center"/>
          </w:tcPr>
          <w:p>
            <w:pPr>
              <w:adjustRightInd w:val="0"/>
              <w:snapToGrid w:val="0"/>
              <w:spacing w:line="360" w:lineRule="auto"/>
              <w:jc w:val="center"/>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办公室主任</w:t>
            </w:r>
          </w:p>
        </w:tc>
        <w:tc>
          <w:tcPr>
            <w:tcW w:w="1610" w:type="dxa"/>
            <w:vAlign w:val="center"/>
          </w:tcPr>
          <w:p>
            <w:pPr>
              <w:adjustRightInd w:val="0"/>
              <w:snapToGrid w:val="0"/>
              <w:spacing w:line="360" w:lineRule="auto"/>
              <w:jc w:val="center"/>
              <w:rPr>
                <w:rFonts w:ascii="仿宋" w:hAnsi="仿宋" w:eastAsia="仿宋" w:cs="仿宋"/>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7</w:t>
            </w:r>
          </w:p>
        </w:tc>
        <w:tc>
          <w:tcPr>
            <w:tcW w:w="1418" w:type="dxa"/>
            <w:vAlign w:val="center"/>
          </w:tcPr>
          <w:p>
            <w:pPr>
              <w:adjustRightInd w:val="0"/>
              <w:snapToGrid w:val="0"/>
              <w:spacing w:line="360" w:lineRule="auto"/>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殷力敏</w:t>
            </w:r>
          </w:p>
        </w:tc>
        <w:tc>
          <w:tcPr>
            <w:tcW w:w="1701" w:type="dxa"/>
          </w:tcPr>
          <w:p>
            <w:pPr>
              <w:adjustRightInd w:val="0"/>
              <w:snapToGrid w:val="0"/>
              <w:spacing w:line="360" w:lineRule="auto"/>
              <w:jc w:val="center"/>
              <w:rPr>
                <w:rFonts w:ascii="仿宋" w:hAnsi="仿宋" w:eastAsia="仿宋" w:cs="仿宋"/>
                <w:sz w:val="30"/>
                <w:szCs w:val="30"/>
              </w:rPr>
            </w:pPr>
            <w:bookmarkStart w:id="13" w:name="OLE_LINK8"/>
            <w:r>
              <w:rPr>
                <w:rFonts w:hint="eastAsia" w:ascii="仿宋" w:hAnsi="仿宋" w:eastAsia="仿宋" w:cs="仿宋"/>
                <w:sz w:val="30"/>
                <w:szCs w:val="30"/>
              </w:rPr>
              <w:t>区统计局</w:t>
            </w:r>
            <w:bookmarkEnd w:id="13"/>
          </w:p>
        </w:tc>
        <w:tc>
          <w:tcPr>
            <w:tcW w:w="2976" w:type="dxa"/>
            <w:vAlign w:val="center"/>
          </w:tcPr>
          <w:p>
            <w:pPr>
              <w:adjustRightInd w:val="0"/>
              <w:snapToGrid w:val="0"/>
              <w:spacing w:line="360" w:lineRule="auto"/>
              <w:jc w:val="center"/>
              <w:rPr>
                <w:rFonts w:ascii="仿宋" w:hAnsi="仿宋" w:eastAsia="仿宋" w:cs="仿宋"/>
                <w:sz w:val="28"/>
                <w:szCs w:val="28"/>
              </w:rPr>
            </w:pPr>
            <w:r>
              <w:rPr>
                <w:rFonts w:hint="eastAsia" w:ascii="仿宋" w:hAnsi="仿宋" w:eastAsia="仿宋" w:cs="仿宋"/>
                <w:sz w:val="28"/>
                <w:szCs w:val="28"/>
                <w:lang w:val="en-US" w:eastAsia="zh-CN"/>
              </w:rPr>
              <w:t>综合科</w:t>
            </w:r>
            <w:r>
              <w:rPr>
                <w:rFonts w:hint="eastAsia" w:ascii="仿宋" w:hAnsi="仿宋" w:eastAsia="仿宋" w:cs="仿宋"/>
                <w:sz w:val="28"/>
                <w:szCs w:val="28"/>
              </w:rPr>
              <w:t xml:space="preserve"> 股长</w:t>
            </w:r>
          </w:p>
        </w:tc>
        <w:tc>
          <w:tcPr>
            <w:tcW w:w="1610" w:type="dxa"/>
            <w:vAlign w:val="center"/>
          </w:tcPr>
          <w:p>
            <w:pPr>
              <w:adjustRightInd w:val="0"/>
              <w:snapToGrid w:val="0"/>
              <w:spacing w:line="360" w:lineRule="auto"/>
              <w:jc w:val="center"/>
              <w:rPr>
                <w:rFonts w:ascii="仿宋" w:hAnsi="仿宋" w:eastAsia="仿宋" w:cs="仿宋"/>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8</w:t>
            </w:r>
          </w:p>
        </w:tc>
        <w:tc>
          <w:tcPr>
            <w:tcW w:w="1418" w:type="dxa"/>
            <w:vAlign w:val="center"/>
          </w:tcPr>
          <w:p>
            <w:pPr>
              <w:adjustRightInd w:val="0"/>
              <w:snapToGrid w:val="0"/>
              <w:spacing w:line="360" w:lineRule="auto"/>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马会娟</w:t>
            </w:r>
          </w:p>
        </w:tc>
        <w:tc>
          <w:tcPr>
            <w:tcW w:w="1701" w:type="dxa"/>
          </w:tcPr>
          <w:p>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区统计局</w:t>
            </w:r>
          </w:p>
        </w:tc>
        <w:tc>
          <w:tcPr>
            <w:tcW w:w="2976" w:type="dxa"/>
            <w:vAlign w:val="center"/>
          </w:tcPr>
          <w:p>
            <w:pPr>
              <w:adjustRightInd w:val="0"/>
              <w:snapToGrid w:val="0"/>
              <w:spacing w:line="360" w:lineRule="auto"/>
              <w:jc w:val="center"/>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服务业 股长</w:t>
            </w:r>
          </w:p>
        </w:tc>
        <w:tc>
          <w:tcPr>
            <w:tcW w:w="1610" w:type="dxa"/>
            <w:vAlign w:val="center"/>
          </w:tcPr>
          <w:p>
            <w:pPr>
              <w:adjustRightInd w:val="0"/>
              <w:snapToGrid w:val="0"/>
              <w:spacing w:line="360" w:lineRule="auto"/>
              <w:jc w:val="center"/>
              <w:rPr>
                <w:rFonts w:ascii="仿宋" w:hAnsi="仿宋" w:eastAsia="仿宋" w:cs="仿宋"/>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817" w:type="dxa"/>
            <w:vAlign w:val="center"/>
          </w:tcPr>
          <w:p>
            <w:pPr>
              <w:adjustRightInd w:val="0"/>
              <w:snapToGrid w:val="0"/>
              <w:spacing w:line="360" w:lineRule="auto"/>
              <w:jc w:val="center"/>
              <w:rPr>
                <w:rFonts w:hint="eastAsia" w:ascii="仿宋" w:hAnsi="仿宋" w:eastAsia="仿宋" w:cs="仿宋"/>
                <w:sz w:val="30"/>
                <w:szCs w:val="30"/>
              </w:rPr>
            </w:pPr>
          </w:p>
        </w:tc>
        <w:tc>
          <w:tcPr>
            <w:tcW w:w="1418" w:type="dxa"/>
            <w:vAlign w:val="center"/>
          </w:tcPr>
          <w:p>
            <w:pPr>
              <w:adjustRightInd w:val="0"/>
              <w:snapToGrid w:val="0"/>
              <w:spacing w:line="360" w:lineRule="auto"/>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王胜斌</w:t>
            </w:r>
          </w:p>
        </w:tc>
        <w:tc>
          <w:tcPr>
            <w:tcW w:w="1701" w:type="dxa"/>
          </w:tcPr>
          <w:p>
            <w:pPr>
              <w:adjustRightInd w:val="0"/>
              <w:snapToGrid w:val="0"/>
              <w:spacing w:line="360" w:lineRule="auto"/>
              <w:jc w:val="center"/>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区统计局</w:t>
            </w:r>
          </w:p>
        </w:tc>
        <w:tc>
          <w:tcPr>
            <w:tcW w:w="2976" w:type="dxa"/>
            <w:vAlign w:val="center"/>
          </w:tcPr>
          <w:p>
            <w:pPr>
              <w:adjustRightInd w:val="0"/>
              <w:snapToGrid w:val="0"/>
              <w:spacing w:line="360" w:lineRule="auto"/>
              <w:jc w:val="center"/>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城调队 股长</w:t>
            </w:r>
          </w:p>
        </w:tc>
        <w:tc>
          <w:tcPr>
            <w:tcW w:w="1610" w:type="dxa"/>
            <w:vAlign w:val="center"/>
          </w:tcPr>
          <w:p>
            <w:pPr>
              <w:adjustRightInd w:val="0"/>
              <w:snapToGrid w:val="0"/>
              <w:spacing w:line="360" w:lineRule="auto"/>
              <w:jc w:val="center"/>
              <w:rPr>
                <w:rFonts w:ascii="仿宋" w:hAnsi="仿宋" w:eastAsia="仿宋" w:cs="仿宋"/>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817" w:type="dxa"/>
            <w:vAlign w:val="center"/>
          </w:tcPr>
          <w:p>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1</w:t>
            </w:r>
            <w:r>
              <w:rPr>
                <w:rFonts w:ascii="仿宋" w:hAnsi="仿宋" w:eastAsia="仿宋" w:cs="仿宋"/>
                <w:sz w:val="30"/>
                <w:szCs w:val="30"/>
              </w:rPr>
              <w:t>0</w:t>
            </w:r>
          </w:p>
        </w:tc>
        <w:tc>
          <w:tcPr>
            <w:tcW w:w="1418" w:type="dxa"/>
            <w:vAlign w:val="center"/>
          </w:tcPr>
          <w:p>
            <w:pPr>
              <w:adjustRightInd w:val="0"/>
              <w:snapToGrid w:val="0"/>
              <w:spacing w:line="360" w:lineRule="auto"/>
              <w:rPr>
                <w:rFonts w:ascii="仿宋" w:hAnsi="仿宋" w:eastAsia="仿宋" w:cs="仿宋"/>
                <w:sz w:val="30"/>
                <w:szCs w:val="30"/>
              </w:rPr>
            </w:pPr>
            <w:r>
              <w:rPr>
                <w:rFonts w:hint="eastAsia" w:ascii="仿宋" w:hAnsi="仿宋" w:eastAsia="仿宋" w:cs="仿宋"/>
                <w:sz w:val="30"/>
                <w:szCs w:val="30"/>
              </w:rPr>
              <w:t>刘莉</w:t>
            </w:r>
          </w:p>
        </w:tc>
        <w:tc>
          <w:tcPr>
            <w:tcW w:w="1701" w:type="dxa"/>
          </w:tcPr>
          <w:p>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区统计局</w:t>
            </w:r>
          </w:p>
        </w:tc>
        <w:tc>
          <w:tcPr>
            <w:tcW w:w="2976" w:type="dxa"/>
            <w:vAlign w:val="center"/>
          </w:tcPr>
          <w:p>
            <w:pPr>
              <w:adjustRightInd w:val="0"/>
              <w:snapToGrid w:val="0"/>
              <w:spacing w:line="360" w:lineRule="auto"/>
              <w:jc w:val="center"/>
              <w:rPr>
                <w:rFonts w:hint="eastAsia" w:ascii="仿宋" w:hAnsi="仿宋" w:eastAsia="仿宋" w:cs="仿宋"/>
                <w:sz w:val="28"/>
                <w:szCs w:val="28"/>
                <w:lang w:val="en-US" w:eastAsia="zh-CN"/>
              </w:rPr>
            </w:pPr>
            <w:r>
              <w:rPr>
                <w:rFonts w:hint="eastAsia" w:ascii="仿宋" w:hAnsi="仿宋" w:eastAsia="仿宋" w:cs="仿宋"/>
                <w:sz w:val="28"/>
                <w:szCs w:val="28"/>
              </w:rPr>
              <w:t xml:space="preserve">农调队 </w:t>
            </w:r>
            <w:r>
              <w:rPr>
                <w:rFonts w:hint="eastAsia" w:ascii="仿宋" w:hAnsi="仿宋" w:eastAsia="仿宋" w:cs="仿宋"/>
                <w:sz w:val="28"/>
                <w:szCs w:val="28"/>
                <w:lang w:val="en-US" w:eastAsia="zh-CN"/>
              </w:rPr>
              <w:t>股长</w:t>
            </w:r>
          </w:p>
        </w:tc>
        <w:tc>
          <w:tcPr>
            <w:tcW w:w="1610" w:type="dxa"/>
            <w:vAlign w:val="center"/>
          </w:tcPr>
          <w:p>
            <w:pPr>
              <w:adjustRightInd w:val="0"/>
              <w:snapToGrid w:val="0"/>
              <w:spacing w:line="360" w:lineRule="auto"/>
              <w:jc w:val="center"/>
              <w:rPr>
                <w:rFonts w:ascii="仿宋" w:hAnsi="仿宋" w:eastAsia="仿宋" w:cs="仿宋"/>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3" w:hRule="atLeast"/>
        </w:trPr>
        <w:tc>
          <w:tcPr>
            <w:tcW w:w="817" w:type="dxa"/>
            <w:vAlign w:val="center"/>
          </w:tcPr>
          <w:p>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12</w:t>
            </w:r>
          </w:p>
        </w:tc>
        <w:tc>
          <w:tcPr>
            <w:tcW w:w="1418" w:type="dxa"/>
            <w:vAlign w:val="center"/>
          </w:tcPr>
          <w:p>
            <w:pPr>
              <w:adjustRightInd w:val="0"/>
              <w:snapToGrid w:val="0"/>
              <w:spacing w:line="360" w:lineRule="auto"/>
              <w:rPr>
                <w:rFonts w:ascii="仿宋" w:hAnsi="仿宋" w:eastAsia="仿宋" w:cs="仿宋"/>
                <w:sz w:val="30"/>
                <w:szCs w:val="30"/>
              </w:rPr>
            </w:pPr>
            <w:r>
              <w:rPr>
                <w:rFonts w:hint="eastAsia" w:ascii="仿宋" w:hAnsi="仿宋" w:eastAsia="仿宋" w:cs="仿宋"/>
                <w:sz w:val="30"/>
                <w:szCs w:val="30"/>
              </w:rPr>
              <w:t>李秀华</w:t>
            </w:r>
          </w:p>
        </w:tc>
        <w:tc>
          <w:tcPr>
            <w:tcW w:w="1701" w:type="dxa"/>
          </w:tcPr>
          <w:p>
            <w:pPr>
              <w:adjustRightInd w:val="0"/>
              <w:snapToGrid w:val="0"/>
              <w:spacing w:line="360" w:lineRule="auto"/>
              <w:jc w:val="center"/>
              <w:rPr>
                <w:rFonts w:ascii="仿宋" w:hAnsi="仿宋" w:eastAsia="仿宋" w:cs="仿宋"/>
                <w:sz w:val="30"/>
                <w:szCs w:val="30"/>
              </w:rPr>
            </w:pPr>
            <w:r>
              <w:rPr>
                <w:rFonts w:hint="eastAsia" w:ascii="仿宋" w:hAnsi="仿宋" w:eastAsia="仿宋" w:cs="仿宋"/>
                <w:sz w:val="30"/>
                <w:szCs w:val="30"/>
              </w:rPr>
              <w:t>区统计局</w:t>
            </w:r>
          </w:p>
        </w:tc>
        <w:tc>
          <w:tcPr>
            <w:tcW w:w="2976" w:type="dxa"/>
            <w:vAlign w:val="center"/>
          </w:tcPr>
          <w:p>
            <w:pPr>
              <w:adjustRightInd w:val="0"/>
              <w:snapToGrid w:val="0"/>
              <w:spacing w:line="360" w:lineRule="auto"/>
              <w:jc w:val="center"/>
              <w:rPr>
                <w:rFonts w:ascii="仿宋" w:hAnsi="仿宋" w:eastAsia="仿宋" w:cs="仿宋"/>
                <w:sz w:val="28"/>
                <w:szCs w:val="28"/>
              </w:rPr>
            </w:pPr>
            <w:r>
              <w:rPr>
                <w:rFonts w:hint="eastAsia" w:ascii="仿宋" w:hAnsi="仿宋" w:eastAsia="仿宋" w:cs="仿宋"/>
                <w:sz w:val="28"/>
                <w:szCs w:val="28"/>
              </w:rPr>
              <w:t>财务人员 股长</w:t>
            </w:r>
          </w:p>
        </w:tc>
        <w:tc>
          <w:tcPr>
            <w:tcW w:w="1610" w:type="dxa"/>
            <w:vAlign w:val="center"/>
          </w:tcPr>
          <w:p>
            <w:pPr>
              <w:adjustRightInd w:val="0"/>
              <w:snapToGrid w:val="0"/>
              <w:spacing w:line="360" w:lineRule="auto"/>
              <w:jc w:val="center"/>
              <w:rPr>
                <w:rFonts w:ascii="仿宋" w:hAnsi="仿宋" w:eastAsia="仿宋" w:cs="仿宋"/>
                <w:sz w:val="30"/>
                <w:szCs w:val="30"/>
              </w:rPr>
            </w:pPr>
          </w:p>
        </w:tc>
      </w:tr>
    </w:tbl>
    <w:p>
      <w:pPr>
        <w:snapToGrid w:val="0"/>
        <w:spacing w:line="560" w:lineRule="exact"/>
        <w:rPr>
          <w:rFonts w:ascii="仿宋" w:hAnsi="仿宋" w:eastAsia="仿宋" w:cs="仿宋"/>
          <w:sz w:val="32"/>
          <w:szCs w:val="32"/>
        </w:rPr>
      </w:pPr>
    </w:p>
    <w:sectPr>
      <w:headerReference r:id="rId3" w:type="default"/>
      <w:footerReference r:id="rId4" w:type="default"/>
      <w:pgSz w:w="11906" w:h="16838"/>
      <w:pgMar w:top="170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abstractNum w:abstractNumId="1">
    <w:nsid w:val="0BFB5702"/>
    <w:multiLevelType w:val="multilevel"/>
    <w:tmpl w:val="0BFB5702"/>
    <w:lvl w:ilvl="0" w:tentative="0">
      <w:start w:val="13"/>
      <w:numFmt w:val="decimal"/>
      <w:lvlText w:val="（%1）"/>
      <w:lvlJc w:val="left"/>
      <w:pPr>
        <w:ind w:left="1720" w:hanging="1080"/>
      </w:pPr>
      <w:rPr>
        <w:rFonts w:hint="default" w:ascii="仿宋_GB2312" w:hAnsi="仿宋_GB2312" w:eastAsia="仿宋_GB2312" w:cs="仿宋_GB2312"/>
      </w:rPr>
    </w:lvl>
    <w:lvl w:ilvl="1" w:tentative="0">
      <w:start w:val="1"/>
      <w:numFmt w:val="lowerLetter"/>
      <w:lvlText w:val="%2)"/>
      <w:lvlJc w:val="left"/>
      <w:pPr>
        <w:ind w:left="1520" w:hanging="440"/>
      </w:pPr>
    </w:lvl>
    <w:lvl w:ilvl="2" w:tentative="0">
      <w:start w:val="1"/>
      <w:numFmt w:val="lowerRoman"/>
      <w:lvlText w:val="%3."/>
      <w:lvlJc w:val="right"/>
      <w:pPr>
        <w:ind w:left="1960" w:hanging="440"/>
      </w:pPr>
    </w:lvl>
    <w:lvl w:ilvl="3" w:tentative="0">
      <w:start w:val="1"/>
      <w:numFmt w:val="decimal"/>
      <w:lvlText w:val="%4."/>
      <w:lvlJc w:val="left"/>
      <w:pPr>
        <w:ind w:left="2400" w:hanging="440"/>
      </w:pPr>
    </w:lvl>
    <w:lvl w:ilvl="4" w:tentative="0">
      <w:start w:val="1"/>
      <w:numFmt w:val="lowerLetter"/>
      <w:lvlText w:val="%5)"/>
      <w:lvlJc w:val="left"/>
      <w:pPr>
        <w:ind w:left="2840" w:hanging="440"/>
      </w:pPr>
    </w:lvl>
    <w:lvl w:ilvl="5" w:tentative="0">
      <w:start w:val="1"/>
      <w:numFmt w:val="lowerRoman"/>
      <w:lvlText w:val="%6."/>
      <w:lvlJc w:val="right"/>
      <w:pPr>
        <w:ind w:left="3280" w:hanging="440"/>
      </w:pPr>
    </w:lvl>
    <w:lvl w:ilvl="6" w:tentative="0">
      <w:start w:val="1"/>
      <w:numFmt w:val="decimal"/>
      <w:lvlText w:val="%7."/>
      <w:lvlJc w:val="left"/>
      <w:pPr>
        <w:ind w:left="3720" w:hanging="440"/>
      </w:pPr>
    </w:lvl>
    <w:lvl w:ilvl="7" w:tentative="0">
      <w:start w:val="1"/>
      <w:numFmt w:val="lowerLetter"/>
      <w:lvlText w:val="%8)"/>
      <w:lvlJc w:val="left"/>
      <w:pPr>
        <w:ind w:left="4160" w:hanging="440"/>
      </w:pPr>
    </w:lvl>
    <w:lvl w:ilvl="8" w:tentative="0">
      <w:start w:val="1"/>
      <w:numFmt w:val="lowerRoman"/>
      <w:lvlText w:val="%9."/>
      <w:lvlJc w:val="right"/>
      <w:pPr>
        <w:ind w:left="4600" w:hanging="440"/>
      </w:pPr>
    </w:lvl>
  </w:abstractNum>
  <w:abstractNum w:abstractNumId="2">
    <w:nsid w:val="306E5F04"/>
    <w:multiLevelType w:val="singleLevel"/>
    <w:tmpl w:val="306E5F04"/>
    <w:lvl w:ilvl="0" w:tentative="0">
      <w:start w:val="1"/>
      <w:numFmt w:val="chineseCounting"/>
      <w:suff w:val="nothing"/>
      <w:lvlText w:val="（%1）"/>
      <w:lvlJc w:val="left"/>
      <w:rPr>
        <w:rFonts w:hint="eastAsia"/>
        <w:lang w:val="en-US"/>
      </w:rPr>
    </w:lvl>
  </w:abstractNum>
  <w:abstractNum w:abstractNumId="3">
    <w:nsid w:val="60AEF39B"/>
    <w:multiLevelType w:val="singleLevel"/>
    <w:tmpl w:val="60AEF39B"/>
    <w:lvl w:ilvl="0" w:tentative="0">
      <w:start w:val="1"/>
      <w:numFmt w:val="chineseCounting"/>
      <w:suff w:val="nothing"/>
      <w:lvlText w:val="%1、"/>
      <w:lvlJc w:val="left"/>
      <w:rPr>
        <w:rFonts w:hint="eastAsia"/>
      </w:rPr>
    </w:lvl>
  </w:abstractNum>
  <w:abstractNum w:abstractNumId="4">
    <w:nsid w:val="65C32377"/>
    <w:multiLevelType w:val="multilevel"/>
    <w:tmpl w:val="65C32377"/>
    <w:lvl w:ilvl="0" w:tentative="0">
      <w:start w:val="2"/>
      <w:numFmt w:val="japaneseCounting"/>
      <w:lvlText w:val="（%1）"/>
      <w:lvlJc w:val="left"/>
      <w:pPr>
        <w:ind w:left="1585" w:hanging="945"/>
      </w:pPr>
      <w:rPr>
        <w:rFonts w:hint="default" w:ascii="仿宋" w:hAnsi="仿宋" w:eastAsia="仿宋" w:cs="仿宋"/>
        <w:sz w:val="32"/>
      </w:rPr>
    </w:lvl>
    <w:lvl w:ilvl="1" w:tentative="0">
      <w:start w:val="2"/>
      <w:numFmt w:val="decimal"/>
      <w:lvlText w:val="%2、"/>
      <w:lvlJc w:val="left"/>
      <w:pPr>
        <w:ind w:left="1800" w:hanging="720"/>
      </w:pPr>
      <w:rPr>
        <w:rFonts w:hint="default"/>
      </w:rPr>
    </w:lvl>
    <w:lvl w:ilvl="2" w:tentative="0">
      <w:start w:val="1"/>
      <w:numFmt w:val="lowerRoman"/>
      <w:lvlText w:val="%3."/>
      <w:lvlJc w:val="right"/>
      <w:pPr>
        <w:ind w:left="1960" w:hanging="440"/>
      </w:pPr>
    </w:lvl>
    <w:lvl w:ilvl="3" w:tentative="0">
      <w:start w:val="1"/>
      <w:numFmt w:val="decimal"/>
      <w:lvlText w:val="%4."/>
      <w:lvlJc w:val="left"/>
      <w:pPr>
        <w:ind w:left="2400" w:hanging="440"/>
      </w:pPr>
    </w:lvl>
    <w:lvl w:ilvl="4" w:tentative="0">
      <w:start w:val="1"/>
      <w:numFmt w:val="lowerLetter"/>
      <w:lvlText w:val="%5)"/>
      <w:lvlJc w:val="left"/>
      <w:pPr>
        <w:ind w:left="2840" w:hanging="440"/>
      </w:pPr>
    </w:lvl>
    <w:lvl w:ilvl="5" w:tentative="0">
      <w:start w:val="1"/>
      <w:numFmt w:val="lowerRoman"/>
      <w:lvlText w:val="%6."/>
      <w:lvlJc w:val="right"/>
      <w:pPr>
        <w:ind w:left="3280" w:hanging="440"/>
      </w:pPr>
    </w:lvl>
    <w:lvl w:ilvl="6" w:tentative="0">
      <w:start w:val="1"/>
      <w:numFmt w:val="decimal"/>
      <w:lvlText w:val="%7."/>
      <w:lvlJc w:val="left"/>
      <w:pPr>
        <w:ind w:left="3720" w:hanging="440"/>
      </w:pPr>
    </w:lvl>
    <w:lvl w:ilvl="7" w:tentative="0">
      <w:start w:val="1"/>
      <w:numFmt w:val="lowerLetter"/>
      <w:lvlText w:val="%8)"/>
      <w:lvlJc w:val="left"/>
      <w:pPr>
        <w:ind w:left="4160" w:hanging="440"/>
      </w:pPr>
    </w:lvl>
    <w:lvl w:ilvl="8" w:tentative="0">
      <w:start w:val="1"/>
      <w:numFmt w:val="lowerRoman"/>
      <w:lvlText w:val="%9."/>
      <w:lvlJc w:val="right"/>
      <w:pPr>
        <w:ind w:left="4600" w:hanging="440"/>
      </w:pPr>
    </w:lvl>
  </w:abstractNum>
  <w:num w:numId="1">
    <w:abstractNumId w:val="3"/>
  </w:num>
  <w:num w:numId="2">
    <w:abstractNumId w:val="1"/>
  </w:num>
  <w:num w:numId="3">
    <w:abstractNumId w:val="4"/>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12FBE"/>
    <w:rsid w:val="00067713"/>
    <w:rsid w:val="0009078E"/>
    <w:rsid w:val="000D0E21"/>
    <w:rsid w:val="000D193E"/>
    <w:rsid w:val="000D29F1"/>
    <w:rsid w:val="00120493"/>
    <w:rsid w:val="00121309"/>
    <w:rsid w:val="0015054E"/>
    <w:rsid w:val="00151648"/>
    <w:rsid w:val="001627CF"/>
    <w:rsid w:val="001646B1"/>
    <w:rsid w:val="00176210"/>
    <w:rsid w:val="001904A0"/>
    <w:rsid w:val="001B1980"/>
    <w:rsid w:val="001C246D"/>
    <w:rsid w:val="001D2D4C"/>
    <w:rsid w:val="001D6572"/>
    <w:rsid w:val="00233822"/>
    <w:rsid w:val="00270054"/>
    <w:rsid w:val="002B4390"/>
    <w:rsid w:val="00302BA0"/>
    <w:rsid w:val="00312E51"/>
    <w:rsid w:val="00383AC5"/>
    <w:rsid w:val="003B412A"/>
    <w:rsid w:val="003C6194"/>
    <w:rsid w:val="003D38F0"/>
    <w:rsid w:val="003D6847"/>
    <w:rsid w:val="003F1417"/>
    <w:rsid w:val="004218BC"/>
    <w:rsid w:val="00432709"/>
    <w:rsid w:val="0043554E"/>
    <w:rsid w:val="00454C6C"/>
    <w:rsid w:val="00487406"/>
    <w:rsid w:val="004919BA"/>
    <w:rsid w:val="00491FCD"/>
    <w:rsid w:val="004A6E91"/>
    <w:rsid w:val="004E6C05"/>
    <w:rsid w:val="004F6F9F"/>
    <w:rsid w:val="00513509"/>
    <w:rsid w:val="00535844"/>
    <w:rsid w:val="00546BCB"/>
    <w:rsid w:val="0056513C"/>
    <w:rsid w:val="00591E52"/>
    <w:rsid w:val="005B610E"/>
    <w:rsid w:val="005C236C"/>
    <w:rsid w:val="005E6EC9"/>
    <w:rsid w:val="00656B2A"/>
    <w:rsid w:val="00665896"/>
    <w:rsid w:val="00676FB1"/>
    <w:rsid w:val="006E7A4A"/>
    <w:rsid w:val="006F4807"/>
    <w:rsid w:val="0071336C"/>
    <w:rsid w:val="0071475B"/>
    <w:rsid w:val="0071498B"/>
    <w:rsid w:val="00735D70"/>
    <w:rsid w:val="0076596D"/>
    <w:rsid w:val="0077251A"/>
    <w:rsid w:val="00772BF8"/>
    <w:rsid w:val="00773B9B"/>
    <w:rsid w:val="007748CA"/>
    <w:rsid w:val="00791333"/>
    <w:rsid w:val="00793214"/>
    <w:rsid w:val="007B71DB"/>
    <w:rsid w:val="007C3A0A"/>
    <w:rsid w:val="007D43DA"/>
    <w:rsid w:val="007E50DB"/>
    <w:rsid w:val="007E661D"/>
    <w:rsid w:val="007F5EE6"/>
    <w:rsid w:val="007F7CC2"/>
    <w:rsid w:val="0081530B"/>
    <w:rsid w:val="00830A9D"/>
    <w:rsid w:val="0085060F"/>
    <w:rsid w:val="00891476"/>
    <w:rsid w:val="008B36CA"/>
    <w:rsid w:val="008C31C3"/>
    <w:rsid w:val="008D4D0F"/>
    <w:rsid w:val="008D511C"/>
    <w:rsid w:val="008E0E58"/>
    <w:rsid w:val="009116F4"/>
    <w:rsid w:val="0091247F"/>
    <w:rsid w:val="00940351"/>
    <w:rsid w:val="00941865"/>
    <w:rsid w:val="00966800"/>
    <w:rsid w:val="00984C37"/>
    <w:rsid w:val="00986325"/>
    <w:rsid w:val="00986803"/>
    <w:rsid w:val="0099577A"/>
    <w:rsid w:val="009B0B06"/>
    <w:rsid w:val="009B227A"/>
    <w:rsid w:val="009D69B7"/>
    <w:rsid w:val="009E7E90"/>
    <w:rsid w:val="009F1522"/>
    <w:rsid w:val="00A06D88"/>
    <w:rsid w:val="00A63720"/>
    <w:rsid w:val="00A70E93"/>
    <w:rsid w:val="00A71C07"/>
    <w:rsid w:val="00AB70A8"/>
    <w:rsid w:val="00AD480F"/>
    <w:rsid w:val="00AF5C06"/>
    <w:rsid w:val="00B12EF9"/>
    <w:rsid w:val="00B15F0F"/>
    <w:rsid w:val="00B17358"/>
    <w:rsid w:val="00B27E75"/>
    <w:rsid w:val="00B723C7"/>
    <w:rsid w:val="00B80DA9"/>
    <w:rsid w:val="00B8177D"/>
    <w:rsid w:val="00B84CEF"/>
    <w:rsid w:val="00B86365"/>
    <w:rsid w:val="00BC13F3"/>
    <w:rsid w:val="00BE032C"/>
    <w:rsid w:val="00BF15FE"/>
    <w:rsid w:val="00C242EC"/>
    <w:rsid w:val="00C47D31"/>
    <w:rsid w:val="00C54E33"/>
    <w:rsid w:val="00C63CA9"/>
    <w:rsid w:val="00CA13A1"/>
    <w:rsid w:val="00CA49CD"/>
    <w:rsid w:val="00CC2DAE"/>
    <w:rsid w:val="00CE156F"/>
    <w:rsid w:val="00CF5B34"/>
    <w:rsid w:val="00D243BF"/>
    <w:rsid w:val="00D83598"/>
    <w:rsid w:val="00D83BCB"/>
    <w:rsid w:val="00D926CE"/>
    <w:rsid w:val="00D979C6"/>
    <w:rsid w:val="00DA75BE"/>
    <w:rsid w:val="00DE50A2"/>
    <w:rsid w:val="00DF6FF4"/>
    <w:rsid w:val="00E03726"/>
    <w:rsid w:val="00E114CB"/>
    <w:rsid w:val="00E17D5D"/>
    <w:rsid w:val="00E26869"/>
    <w:rsid w:val="00E31D4E"/>
    <w:rsid w:val="00E36717"/>
    <w:rsid w:val="00E61BFC"/>
    <w:rsid w:val="00E81B35"/>
    <w:rsid w:val="00E82345"/>
    <w:rsid w:val="00E841B7"/>
    <w:rsid w:val="00EC46DA"/>
    <w:rsid w:val="00ED5E84"/>
    <w:rsid w:val="00EE34E4"/>
    <w:rsid w:val="00EF16A3"/>
    <w:rsid w:val="00F57E52"/>
    <w:rsid w:val="00F6580B"/>
    <w:rsid w:val="00F904BE"/>
    <w:rsid w:val="00FA7B75"/>
    <w:rsid w:val="00FB4297"/>
    <w:rsid w:val="00FE42F4"/>
    <w:rsid w:val="051D4810"/>
    <w:rsid w:val="055B525F"/>
    <w:rsid w:val="084A6AE0"/>
    <w:rsid w:val="086F501F"/>
    <w:rsid w:val="0ABA0533"/>
    <w:rsid w:val="0C321D5D"/>
    <w:rsid w:val="11D74460"/>
    <w:rsid w:val="12632F03"/>
    <w:rsid w:val="128E44BE"/>
    <w:rsid w:val="12E45B33"/>
    <w:rsid w:val="13B61930"/>
    <w:rsid w:val="181703A4"/>
    <w:rsid w:val="1A026D52"/>
    <w:rsid w:val="1BAF1154"/>
    <w:rsid w:val="1C655171"/>
    <w:rsid w:val="20276775"/>
    <w:rsid w:val="25425E6D"/>
    <w:rsid w:val="2ABA6598"/>
    <w:rsid w:val="2EBD6B9D"/>
    <w:rsid w:val="350E4556"/>
    <w:rsid w:val="39124814"/>
    <w:rsid w:val="3921391E"/>
    <w:rsid w:val="3AEF6FE7"/>
    <w:rsid w:val="45BB56F7"/>
    <w:rsid w:val="461E4B39"/>
    <w:rsid w:val="493B718D"/>
    <w:rsid w:val="509C2CC7"/>
    <w:rsid w:val="53A42ADD"/>
    <w:rsid w:val="540D2DBD"/>
    <w:rsid w:val="5C4A315B"/>
    <w:rsid w:val="5E302B1E"/>
    <w:rsid w:val="5ED301D9"/>
    <w:rsid w:val="661D3074"/>
    <w:rsid w:val="661F2ED5"/>
    <w:rsid w:val="66E45EE4"/>
    <w:rsid w:val="696B0F20"/>
    <w:rsid w:val="69D6417E"/>
    <w:rsid w:val="6BDB1457"/>
    <w:rsid w:val="6BDE7164"/>
    <w:rsid w:val="6D3B4429"/>
    <w:rsid w:val="6DCE4DA3"/>
    <w:rsid w:val="70EF2775"/>
    <w:rsid w:val="72387379"/>
    <w:rsid w:val="73BB26B3"/>
    <w:rsid w:val="7B061D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qFormat="1" w:unhideWhenUsed="0"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qFormat="1"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link w:val="15"/>
    <w:unhideWhenUsed/>
    <w:qFormat/>
    <w:uiPriority w:val="0"/>
    <w:pPr>
      <w:spacing w:after="120"/>
      <w:ind w:firstLine="420" w:firstLineChars="100"/>
    </w:pPr>
    <w:rPr>
      <w:rFonts w:ascii="Times New Roman" w:hAnsi="Times New Roman" w:eastAsia="宋体" w:cs="Times New Roman"/>
      <w:sz w:val="21"/>
      <w:szCs w:val="24"/>
      <w:lang w:val="en-US"/>
    </w:rPr>
  </w:style>
  <w:style w:type="paragraph" w:styleId="3">
    <w:name w:val="Body Text"/>
    <w:basedOn w:val="1"/>
    <w:link w:val="14"/>
    <w:qFormat/>
    <w:uiPriority w:val="0"/>
    <w:rPr>
      <w:rFonts w:ascii="仿宋_GB2312" w:hAnsi="仿宋_GB2312" w:eastAsia="仿宋_GB2312" w:cs="仿宋_GB2312"/>
      <w:sz w:val="32"/>
      <w:szCs w:val="32"/>
      <w:lang w:val="zh-CN"/>
    </w:rPr>
  </w:style>
  <w:style w:type="paragraph" w:styleId="4">
    <w:name w:val="footer"/>
    <w:basedOn w:val="1"/>
    <w:link w:val="12"/>
    <w:unhideWhenUsed/>
    <w:qFormat/>
    <w:uiPriority w:val="99"/>
    <w:pPr>
      <w:tabs>
        <w:tab w:val="center" w:pos="4153"/>
        <w:tab w:val="right" w:pos="8306"/>
      </w:tabs>
      <w:snapToGrid w:val="0"/>
      <w:jc w:val="left"/>
    </w:pPr>
    <w:rPr>
      <w:sz w:val="18"/>
      <w:szCs w:val="18"/>
    </w:rPr>
  </w:style>
  <w:style w:type="paragraph" w:styleId="5">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widowControl/>
      <w:spacing w:before="100" w:beforeAutospacing="1" w:after="100" w:afterAutospacing="1"/>
      <w:jc w:val="left"/>
    </w:pPr>
    <w:rPr>
      <w:rFonts w:ascii="宋体" w:hAnsi="宋体" w:cs="宋体"/>
      <w:kern w:val="0"/>
      <w:sz w:val="24"/>
    </w:rPr>
  </w:style>
  <w:style w:type="table" w:styleId="8">
    <w:name w:val="Table Grid"/>
    <w:basedOn w:val="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Normal Indent1"/>
    <w:basedOn w:val="1"/>
    <w:qFormat/>
    <w:uiPriority w:val="0"/>
    <w:pPr>
      <w:ind w:firstLine="420" w:firstLineChars="200"/>
    </w:pPr>
  </w:style>
  <w:style w:type="character" w:customStyle="1" w:styleId="11">
    <w:name w:val="页眉 字符"/>
    <w:basedOn w:val="9"/>
    <w:link w:val="5"/>
    <w:qFormat/>
    <w:uiPriority w:val="99"/>
    <w:rPr>
      <w:sz w:val="18"/>
      <w:szCs w:val="18"/>
    </w:rPr>
  </w:style>
  <w:style w:type="character" w:customStyle="1" w:styleId="12">
    <w:name w:val="页脚 字符"/>
    <w:basedOn w:val="9"/>
    <w:link w:val="4"/>
    <w:qFormat/>
    <w:uiPriority w:val="99"/>
    <w:rPr>
      <w:sz w:val="18"/>
      <w:szCs w:val="18"/>
    </w:rPr>
  </w:style>
  <w:style w:type="paragraph" w:styleId="13">
    <w:name w:val="List Paragraph"/>
    <w:basedOn w:val="1"/>
    <w:uiPriority w:val="99"/>
    <w:pPr>
      <w:ind w:firstLine="420" w:firstLineChars="200"/>
    </w:pPr>
  </w:style>
  <w:style w:type="character" w:customStyle="1" w:styleId="14">
    <w:name w:val="正文文本 字符"/>
    <w:basedOn w:val="9"/>
    <w:link w:val="3"/>
    <w:uiPriority w:val="0"/>
    <w:rPr>
      <w:rFonts w:ascii="仿宋_GB2312" w:hAnsi="仿宋_GB2312" w:eastAsia="仿宋_GB2312" w:cs="仿宋_GB2312"/>
      <w:kern w:val="2"/>
      <w:sz w:val="32"/>
      <w:szCs w:val="32"/>
      <w:lang w:val="zh-CN"/>
    </w:rPr>
  </w:style>
  <w:style w:type="character" w:customStyle="1" w:styleId="15">
    <w:name w:val="正文文本首行缩进 字符"/>
    <w:basedOn w:val="14"/>
    <w:link w:val="2"/>
    <w:uiPriority w:val="0"/>
    <w:rPr>
      <w:rFonts w:ascii="仿宋_GB2312" w:hAnsi="仿宋_GB2312" w:eastAsia="仿宋_GB2312" w:cs="仿宋_GB2312"/>
      <w:kern w:val="2"/>
      <w:sz w:val="21"/>
      <w:szCs w:val="24"/>
      <w:lang w:val="zh-CN"/>
    </w:rPr>
  </w:style>
  <w:style w:type="paragraph" w:customStyle="1" w:styleId="16">
    <w:name w:val="_Style 1"/>
    <w:next w:val="17"/>
    <w:qFormat/>
    <w:uiPriority w:val="0"/>
    <w:pPr>
      <w:widowControl w:val="0"/>
      <w:ind w:firstLine="200" w:firstLineChars="200"/>
      <w:jc w:val="both"/>
    </w:pPr>
    <w:rPr>
      <w:rFonts w:ascii="Calibri" w:hAnsi="Calibri" w:eastAsia="宋体" w:cs="Times New Roman"/>
      <w:kern w:val="2"/>
      <w:sz w:val="28"/>
      <w:szCs w:val="24"/>
      <w:lang w:val="en-US" w:eastAsia="zh-CN" w:bidi="ar-SA"/>
    </w:rPr>
  </w:style>
  <w:style w:type="paragraph" w:customStyle="1" w:styleId="17">
    <w:name w:val="样式1"/>
    <w:basedOn w:val="1"/>
    <w:qFormat/>
    <w:uiPriority w:val="0"/>
    <w:rPr>
      <w:rFonts w:ascii="Times New Roman" w:hAnsi="Times New Roman" w:eastAsia="宋体" w:cs="Times New Roman"/>
      <w:b/>
      <w:color w:val="538135"/>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14</Pages>
  <Words>1092</Words>
  <Characters>6225</Characters>
  <Lines>51</Lines>
  <Paragraphs>14</Paragraphs>
  <TotalTime>9</TotalTime>
  <ScaleCrop>false</ScaleCrop>
  <LinksUpToDate>false</LinksUpToDate>
  <CharactersWithSpaces>7303</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dell</cp:lastModifiedBy>
  <cp:lastPrinted>2024-05-21T06:49:00Z</cp:lastPrinted>
  <dcterms:modified xsi:type="dcterms:W3CDTF">2025-04-25T01:01:41Z</dcterms:modified>
  <dc:title>附件2： </dc:title>
  <cp:revision>42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BAF0279E4BFC4BFA873754304B3BE5B2</vt:lpwstr>
  </property>
</Properties>
</file>