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AD80FC">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5A8E3250">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0EC41C9D">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藁城区文联</w:t>
      </w:r>
      <w:r>
        <w:rPr>
          <w:rFonts w:hint="eastAsia" w:ascii="方正小标宋简体" w:hAnsi="方正小标宋简体" w:eastAsia="方正小标宋简体" w:cs="方正小标宋简体"/>
          <w:b w:val="0"/>
          <w:bCs w:val="0"/>
          <w:sz w:val="44"/>
          <w:szCs w:val="44"/>
        </w:rPr>
        <w:t>部门</w:t>
      </w:r>
    </w:p>
    <w:p w14:paraId="68E0265B">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4</w:t>
      </w:r>
      <w:r>
        <w:rPr>
          <w:rFonts w:hint="eastAsia" w:ascii="方正小标宋简体" w:hAnsi="方正小标宋简体" w:eastAsia="方正小标宋简体" w:cs="方正小标宋简体"/>
          <w:b w:val="0"/>
          <w:bCs w:val="0"/>
          <w:sz w:val="44"/>
          <w:szCs w:val="44"/>
        </w:rPr>
        <w:t>年度整体支出绩效自评报告</w:t>
      </w:r>
    </w:p>
    <w:p w14:paraId="4C96846C">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p>
    <w:p w14:paraId="4EC0CE1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则，对藁城区文联部门202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年整体支出情况实施了财政支出绩效自评价，形成本评价报告。</w:t>
      </w:r>
    </w:p>
    <w:p w14:paraId="7B4E9DEB">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41C9B20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77317477">
      <w:pPr>
        <w:pStyle w:val="12"/>
        <w:numPr>
          <w:ilvl w:val="0"/>
          <w:numId w:val="1"/>
        </w:numPr>
        <w:ind w:firstLine="960" w:firstLineChars="3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部门基本职责情况</w:t>
      </w:r>
    </w:p>
    <w:p w14:paraId="653D5E69">
      <w:pPr>
        <w:pStyle w:val="6"/>
        <w:spacing w:before="0" w:beforeAutospacing="0" w:after="0" w:afterAutospacing="0" w:line="560" w:lineRule="exact"/>
        <w:ind w:firstLine="640" w:firstLineChars="200"/>
        <w:rPr>
          <w:rFonts w:hint="eastAsia" w:ascii="仿宋_GB2312" w:eastAsia="仿宋_GB2312"/>
          <w:sz w:val="32"/>
          <w:szCs w:val="32"/>
        </w:rPr>
      </w:pPr>
      <w:r>
        <w:rPr>
          <w:rFonts w:hint="eastAsia" w:ascii="仿宋_GB2312" w:eastAsia="仿宋_GB2312"/>
          <w:sz w:val="32"/>
          <w:szCs w:val="32"/>
          <w:lang w:eastAsia="zh-CN"/>
        </w:rPr>
        <w:t>区文联</w:t>
      </w:r>
      <w:r>
        <w:rPr>
          <w:rFonts w:hint="eastAsia" w:ascii="仿宋_GB2312" w:eastAsia="仿宋_GB2312"/>
          <w:sz w:val="32"/>
          <w:szCs w:val="32"/>
        </w:rPr>
        <w:t>主要职责：贯彻党的文艺“二为”方向和“双百”方针，开展各类社会性文艺活动，为我区的改革开放、经济建设和社会发展服务；加强与所属各文艺家协会的联系，确保党和政府同文艺界协商渠道的畅通；负责向有关方面反映会员的情况和要求；承担协会需要统筹安排的事宜；负责对所属协会的管理；开展国内外文学艺术交流活动，联络和争取社会各界对文艺事业的关心和支持，出作品、出人才，为文艺创作营造良好的环境和氛围，促进藁城区文艺事业的繁荣；指导、协同各文艺家协会采取多种形式深入生活，积极开展创作和学术交流活动，不断提高作品的思想内涵和艺术品位。对各种优秀文学艺术成果予以奖励和表彰；创办文艺刊物，为文艺工作者提供创作园地，积极发现、扶持和培养文艺新人，不断壮大文艺队伍；开展各方面、多形式的服务工作，为文艺工作者提供良好的工作条件和创作环境；维护宪法赋予文艺工作者和文艺团体的合法权益；探索、参与兴办文化产业，促进文艺事业的发展。</w:t>
      </w:r>
    </w:p>
    <w:p w14:paraId="57852E7C">
      <w:pPr>
        <w:pStyle w:val="12"/>
        <w:numPr>
          <w:ilvl w:val="0"/>
          <w:numId w:val="1"/>
        </w:numPr>
        <w:ind w:left="0" w:leftChars="0" w:firstLine="960" w:firstLineChars="3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部门组织机构及人员情况</w:t>
      </w:r>
    </w:p>
    <w:p w14:paraId="7A5E908D">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藁城区文联规格为正科级，1个区文联本级单位，一级预算单位，无下属单位。领导职数1正1副，核定行政编制5名。设内设机构综合办公室，核定股级领导职数1名。单位性质为群团，资金保障形式为财政拨款。年末总人数5人，全部是行政编制。</w:t>
      </w:r>
    </w:p>
    <w:p w14:paraId="47CDC2C5">
      <w:pPr>
        <w:pStyle w:val="2"/>
        <w:numPr>
          <w:ilvl w:val="0"/>
          <w:numId w:val="1"/>
        </w:numPr>
        <w:ind w:left="0" w:leftChars="0" w:firstLine="960" w:firstLineChars="300"/>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部门资产情况</w:t>
      </w:r>
    </w:p>
    <w:p w14:paraId="48B48EC2">
      <w:pPr>
        <w:pStyle w:val="2"/>
        <w:numPr>
          <w:ilvl w:val="0"/>
          <w:numId w:val="0"/>
        </w:numPr>
        <w:ind w:leftChars="300" w:firstLine="640" w:firstLineChars="200"/>
        <w:rPr>
          <w:rFonts w:hint="eastAsia" w:ascii="仿宋" w:hAnsi="仿宋" w:eastAsia="仿宋" w:cs="仿宋"/>
          <w:kern w:val="0"/>
          <w:sz w:val="32"/>
          <w:szCs w:val="32"/>
          <w:lang w:val="en-US" w:eastAsia="zh-CN" w:bidi="ar-SA"/>
        </w:rPr>
      </w:pPr>
      <w:bookmarkStart w:id="0" w:name="_GoBack"/>
      <w:bookmarkEnd w:id="0"/>
      <w:r>
        <w:rPr>
          <w:rFonts w:hint="eastAsia" w:ascii="仿宋" w:hAnsi="仿宋" w:eastAsia="仿宋" w:cs="仿宋"/>
          <w:kern w:val="0"/>
          <w:sz w:val="32"/>
          <w:szCs w:val="32"/>
          <w:lang w:val="en-US" w:eastAsia="zh-CN" w:bidi="ar-SA"/>
        </w:rPr>
        <w:t>截至2024年12月31日，资产总额21.51万元，其中行政单位国有资产21.51万元，占比100%。</w:t>
      </w:r>
    </w:p>
    <w:p w14:paraId="417CC172">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14:paraId="4083DD2A">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rPr>
      </w:pPr>
      <w:r>
        <w:rPr>
          <w:rFonts w:hint="eastAsia" w:ascii="仿宋_GB2312" w:hAnsi="宋体" w:eastAsia="仿宋_GB2312" w:cs="宋体"/>
          <w:kern w:val="0"/>
          <w:sz w:val="32"/>
          <w:szCs w:val="32"/>
          <w:lang w:val="en-US" w:eastAsia="zh-CN" w:bidi="ar-SA"/>
        </w:rPr>
        <w:t>2024年部门预算收入118.59万元，其中：一般公共预算收入118.59万元，基金预算收入0万元，财政专户核拨收入0万元，其他来源收入0万元。2024年部门支出预算为118.59万元，其中基本支出108.59万元，包括人员经费98.87万元和日常公用经费9.72万元；项目支出10万元，主要为文联联络交流经费；其他支出0万元。2024年度部门决算收入合计110.08万元，其中：财政拨款收入110.08万元，占100%；事业收入0万元，占0%；经营收入0万元，占0%；其他收入0万元，占0%。2024年度部门决算支出合计110.08万元，其中：基本支出100.08万元，占90.92%；项目支出10万元，占9.08%；经营支出0万元，占0%。</w:t>
      </w:r>
    </w:p>
    <w:p w14:paraId="3F7587FA">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部门整体支出绩效目标、指标</w:t>
      </w:r>
    </w:p>
    <w:p w14:paraId="2EF2817A">
      <w:pPr>
        <w:spacing w:before="156" w:beforeLines="50" w:after="156" w:afterLines="50" w:line="580" w:lineRule="exact"/>
        <w:ind w:firstLine="629"/>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总体绩效目标</w:t>
      </w:r>
    </w:p>
    <w:p w14:paraId="5990C19F">
      <w:pPr>
        <w:ind w:firstLine="640" w:firstLineChars="200"/>
        <w:rPr>
          <w:rFonts w:hint="eastAsia" w:ascii="仿宋" w:hAnsi="仿宋" w:eastAsia="仿宋" w:cs="仿宋"/>
          <w:b/>
          <w:sz w:val="32"/>
          <w:szCs w:val="32"/>
        </w:rPr>
      </w:pPr>
      <w:r>
        <w:rPr>
          <w:rFonts w:hint="eastAsia" w:ascii="仿宋" w:hAnsi="仿宋" w:eastAsia="仿宋" w:cs="仿宋"/>
          <w:sz w:val="32"/>
          <w:szCs w:val="32"/>
          <w:lang w:eastAsia="zh-CN"/>
        </w:rPr>
        <w:t>坚持以习近平新时代中国特色社会主义思想、</w:t>
      </w:r>
      <w:r>
        <w:rPr>
          <w:rFonts w:hint="eastAsia" w:ascii="仿宋" w:hAnsi="仿宋" w:eastAsia="仿宋" w:cs="仿宋"/>
          <w:sz w:val="32"/>
          <w:szCs w:val="32"/>
        </w:rPr>
        <w:t>区委、区政府的中心工作为指导，紧紧围绕区文联的中心工作，</w:t>
      </w:r>
      <w:r>
        <w:rPr>
          <w:rFonts w:hint="eastAsia" w:ascii="仿宋" w:hAnsi="仿宋" w:eastAsia="仿宋" w:cs="仿宋"/>
          <w:sz w:val="32"/>
          <w:szCs w:val="32"/>
          <w:lang w:eastAsia="zh-CN"/>
        </w:rPr>
        <w:t>依托</w:t>
      </w:r>
      <w:r>
        <w:rPr>
          <w:rFonts w:hint="eastAsia" w:ascii="仿宋" w:hAnsi="仿宋" w:eastAsia="仿宋" w:cs="仿宋"/>
          <w:sz w:val="32"/>
          <w:szCs w:val="32"/>
        </w:rPr>
        <w:t>十</w:t>
      </w:r>
      <w:r>
        <w:rPr>
          <w:rFonts w:hint="eastAsia" w:ascii="仿宋" w:hAnsi="仿宋" w:eastAsia="仿宋" w:cs="仿宋"/>
          <w:sz w:val="32"/>
          <w:szCs w:val="32"/>
          <w:lang w:eastAsia="zh-CN"/>
        </w:rPr>
        <w:t>二</w:t>
      </w:r>
      <w:r>
        <w:rPr>
          <w:rFonts w:hint="eastAsia" w:ascii="仿宋" w:hAnsi="仿宋" w:eastAsia="仿宋" w:cs="仿宋"/>
          <w:sz w:val="32"/>
          <w:szCs w:val="32"/>
        </w:rPr>
        <w:t>大协会，积极开展各类社会性文艺活动；</w:t>
      </w:r>
      <w:r>
        <w:rPr>
          <w:rFonts w:hint="eastAsia" w:ascii="仿宋_GB2312" w:eastAsia="仿宋_GB2312"/>
          <w:sz w:val="32"/>
        </w:rPr>
        <w:t>完善基层文联组织，发挥乡镇村文联的桥梁纽带作用</w:t>
      </w:r>
      <w:r>
        <w:rPr>
          <w:rFonts w:hint="eastAsia" w:ascii="仿宋_GB2312" w:eastAsia="仿宋_GB2312"/>
          <w:sz w:val="32"/>
          <w:lang w:eastAsia="zh-CN"/>
        </w:rPr>
        <w:t>；</w:t>
      </w:r>
      <w:r>
        <w:rPr>
          <w:rFonts w:hint="eastAsia" w:ascii="仿宋" w:hAnsi="仿宋" w:eastAsia="仿宋" w:cs="仿宋"/>
          <w:b w:val="0"/>
          <w:bCs w:val="0"/>
          <w:sz w:val="32"/>
          <w:szCs w:val="32"/>
        </w:rPr>
        <w:t>召开联络会议，组织会员活动，加大培训力度，为文艺事业健康快速发展提供组织保障。完善文艺精品扶持和奖励机制，论证确定一批既有藁城地域特色，又具备创作空间和社会影响力的题材。完成文化交流计划</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完成对外宣传，扩大文艺工作的覆盖面和社会影响力。</w:t>
      </w:r>
      <w:r>
        <w:rPr>
          <w:rFonts w:hint="eastAsia" w:ascii="仿宋" w:hAnsi="仿宋" w:eastAsia="仿宋" w:cs="仿宋"/>
          <w:sz w:val="32"/>
          <w:szCs w:val="32"/>
        </w:rPr>
        <w:t>建立人才库，发现、扶持和培养文艺新人，出作品，出人才，促进藁城区文艺事业的繁荣，实现为我区的改革开放、经济建设和社会发展服务的目标。</w:t>
      </w:r>
    </w:p>
    <w:p w14:paraId="59E7537D">
      <w:pPr>
        <w:spacing w:before="156" w:beforeLines="50" w:after="156" w:afterLines="50" w:line="580" w:lineRule="exact"/>
        <w:ind w:firstLine="629"/>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分项绩效目标</w:t>
      </w:r>
    </w:p>
    <w:p w14:paraId="5E95A63E">
      <w:pPr>
        <w:spacing w:line="580" w:lineRule="exact"/>
        <w:ind w:firstLine="63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rPr>
        <w:t>⑴</w:t>
      </w: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lang w:eastAsia="zh-CN"/>
        </w:rPr>
        <w:t>加强文艺家协会组织建设</w:t>
      </w:r>
      <w:r>
        <w:rPr>
          <w:rFonts w:hint="eastAsia" w:ascii="仿宋" w:hAnsi="仿宋" w:eastAsia="仿宋" w:cs="仿宋"/>
          <w:b w:val="0"/>
          <w:bCs w:val="0"/>
          <w:sz w:val="32"/>
          <w:szCs w:val="32"/>
          <w:lang w:val="en-US" w:eastAsia="zh-CN"/>
        </w:rPr>
        <w:t>,培养文艺人才。</w:t>
      </w:r>
    </w:p>
    <w:p w14:paraId="1DC43CD8">
      <w:pPr>
        <w:tabs>
          <w:tab w:val="left" w:pos="2745"/>
        </w:tabs>
        <w:spacing w:line="580" w:lineRule="exact"/>
        <w:ind w:firstLine="630"/>
        <w:rPr>
          <w:rFonts w:hint="eastAsia" w:ascii="仿宋" w:hAnsi="仿宋" w:eastAsia="仿宋" w:cs="仿宋"/>
          <w:b w:val="0"/>
          <w:bCs w:val="0"/>
          <w:sz w:val="32"/>
          <w:szCs w:val="32"/>
        </w:rPr>
      </w:pPr>
      <w:r>
        <w:rPr>
          <w:rFonts w:hint="eastAsia" w:ascii="仿宋" w:hAnsi="仿宋" w:eastAsia="仿宋" w:cs="仿宋"/>
          <w:b w:val="0"/>
          <w:bCs w:val="0"/>
          <w:sz w:val="32"/>
          <w:szCs w:val="32"/>
        </w:rPr>
        <w:t>绩效目标：推进协会管理科学规范、保障文联正常有序运行，召开联络会议，组织会员活动，加大培训力度，为文艺事业健康快速发展提供组织保障。</w:t>
      </w:r>
      <w:r>
        <w:rPr>
          <w:rFonts w:hint="eastAsia" w:ascii="仿宋" w:hAnsi="仿宋" w:eastAsia="仿宋" w:cs="仿宋"/>
          <w:b w:val="0"/>
          <w:bCs w:val="0"/>
          <w:sz w:val="32"/>
          <w:szCs w:val="32"/>
        </w:rPr>
        <w:tab/>
      </w:r>
    </w:p>
    <w:p w14:paraId="2940A4B5">
      <w:pPr>
        <w:spacing w:line="580" w:lineRule="exact"/>
        <w:ind w:firstLine="630"/>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rPr>
        <w:t>绩效指标：</w:t>
      </w:r>
      <w:r>
        <w:rPr>
          <w:rFonts w:hint="eastAsia" w:ascii="仿宋" w:hAnsi="仿宋" w:eastAsia="仿宋" w:cs="仿宋"/>
          <w:b w:val="0"/>
          <w:bCs w:val="0"/>
          <w:sz w:val="32"/>
          <w:szCs w:val="32"/>
          <w:lang w:val="en-US" w:eastAsia="zh-CN"/>
        </w:rPr>
        <w:t>召开协会会议，加强会员管理，举办会员活动，维护活动场所，建设文艺人才资源库，组织文艺研修，提高广大文艺工作者的政治、业务素质。保障机关正常运行。文艺人才入省市文艺人才网资源库人数每年2人以上，，组织各类文艺活动8次以上，参加省市研修人数2人以上。</w:t>
      </w:r>
    </w:p>
    <w:p w14:paraId="76C4BC99">
      <w:pPr>
        <w:spacing w:line="580" w:lineRule="exact"/>
        <w:ind w:firstLine="63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⑵</w:t>
      </w: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lang w:eastAsia="zh-CN"/>
        </w:rPr>
        <w:t>开展文艺家艺术创作，打造文艺精品。</w:t>
      </w:r>
    </w:p>
    <w:p w14:paraId="6497075D">
      <w:pPr>
        <w:spacing w:line="580" w:lineRule="exact"/>
        <w:ind w:firstLine="63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绩效目标：完善文艺精品扶持和奖励机制，论证确定一批既有本地地域特色，又具备创作空间和社会影响力的题材</w:t>
      </w:r>
      <w:r>
        <w:rPr>
          <w:rFonts w:hint="eastAsia" w:ascii="仿宋" w:hAnsi="仿宋" w:eastAsia="仿宋" w:cs="仿宋"/>
          <w:b w:val="0"/>
          <w:bCs w:val="0"/>
          <w:sz w:val="32"/>
          <w:szCs w:val="32"/>
          <w:lang w:eastAsia="zh-CN"/>
        </w:rPr>
        <w:t>。</w:t>
      </w:r>
    </w:p>
    <w:p w14:paraId="0EA731F2">
      <w:pPr>
        <w:spacing w:line="580" w:lineRule="exact"/>
        <w:ind w:firstLine="630"/>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rPr>
        <w:t>绩效指标：组织艺术家深入生活，打造艺术精品。举办文艺活动，积极申报文艺奖项、组织好区内评奖，弘扬优秀传统文化，推动文化强区建设。组织艺术家创作次数</w:t>
      </w:r>
      <w:r>
        <w:rPr>
          <w:rFonts w:hint="eastAsia" w:ascii="仿宋" w:hAnsi="仿宋" w:eastAsia="仿宋" w:cs="仿宋"/>
          <w:b w:val="0"/>
          <w:bCs w:val="0"/>
          <w:sz w:val="32"/>
          <w:szCs w:val="32"/>
          <w:lang w:eastAsia="zh-CN"/>
        </w:rPr>
        <w:t>，每年</w:t>
      </w:r>
      <w:r>
        <w:rPr>
          <w:rFonts w:hint="eastAsia" w:ascii="仿宋" w:hAnsi="仿宋" w:eastAsia="仿宋" w:cs="仿宋"/>
          <w:b w:val="0"/>
          <w:bCs w:val="0"/>
          <w:sz w:val="32"/>
          <w:szCs w:val="32"/>
          <w:lang w:val="en-US" w:eastAsia="zh-CN"/>
        </w:rPr>
        <w:t>1次及以上。</w:t>
      </w:r>
      <w:r>
        <w:rPr>
          <w:rFonts w:hint="eastAsia" w:ascii="仿宋" w:hAnsi="仿宋" w:eastAsia="仿宋" w:cs="仿宋"/>
          <w:b w:val="0"/>
          <w:bCs w:val="0"/>
          <w:sz w:val="32"/>
          <w:szCs w:val="32"/>
        </w:rPr>
        <w:t>组织研讨推介活动次数</w:t>
      </w:r>
      <w:r>
        <w:rPr>
          <w:rFonts w:hint="eastAsia" w:ascii="仿宋" w:hAnsi="仿宋" w:eastAsia="仿宋" w:cs="仿宋"/>
          <w:b w:val="0"/>
          <w:bCs w:val="0"/>
          <w:sz w:val="32"/>
          <w:szCs w:val="32"/>
          <w:lang w:eastAsia="zh-CN"/>
        </w:rPr>
        <w:t>，每年</w:t>
      </w:r>
      <w:r>
        <w:rPr>
          <w:rFonts w:hint="eastAsia" w:ascii="仿宋" w:hAnsi="仿宋" w:eastAsia="仿宋" w:cs="仿宋"/>
          <w:b w:val="0"/>
          <w:bCs w:val="0"/>
          <w:sz w:val="32"/>
          <w:szCs w:val="32"/>
          <w:lang w:val="en-US" w:eastAsia="zh-CN"/>
        </w:rPr>
        <w:t>2次及以上。生产文艺精品数量1个以上。</w:t>
      </w:r>
    </w:p>
    <w:p w14:paraId="2C473A34">
      <w:pPr>
        <w:spacing w:line="580" w:lineRule="exact"/>
        <w:ind w:firstLine="63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⑶</w:t>
      </w: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lang w:eastAsia="zh-CN"/>
        </w:rPr>
        <w:t>做好文艺宣传工作，文化氛围进一步提升。</w:t>
      </w:r>
    </w:p>
    <w:p w14:paraId="2FE78010">
      <w:pPr>
        <w:spacing w:line="580" w:lineRule="exact"/>
        <w:ind w:firstLine="63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绩效目标：</w:t>
      </w:r>
      <w:r>
        <w:rPr>
          <w:rFonts w:hint="eastAsia" w:ascii="仿宋" w:hAnsi="仿宋" w:eastAsia="仿宋" w:cs="仿宋"/>
          <w:b w:val="0"/>
          <w:bCs w:val="0"/>
          <w:sz w:val="32"/>
          <w:szCs w:val="32"/>
          <w:lang w:eastAsia="zh-CN"/>
        </w:rPr>
        <w:t>进一步</w:t>
      </w:r>
      <w:r>
        <w:rPr>
          <w:rFonts w:hint="eastAsia" w:ascii="仿宋" w:hAnsi="仿宋" w:eastAsia="仿宋" w:cs="仿宋"/>
          <w:b w:val="0"/>
          <w:bCs w:val="0"/>
          <w:sz w:val="32"/>
          <w:szCs w:val="32"/>
        </w:rPr>
        <w:t>扩大文艺工作的覆盖面和社会影响力</w:t>
      </w:r>
      <w:r>
        <w:rPr>
          <w:rFonts w:hint="eastAsia" w:ascii="仿宋" w:hAnsi="仿宋" w:eastAsia="仿宋" w:cs="仿宋"/>
          <w:b w:val="0"/>
          <w:bCs w:val="0"/>
          <w:sz w:val="32"/>
          <w:szCs w:val="32"/>
          <w:lang w:eastAsia="zh-CN"/>
        </w:rPr>
        <w:t>。</w:t>
      </w:r>
    </w:p>
    <w:p w14:paraId="52968D0A">
      <w:pPr>
        <w:spacing w:line="580" w:lineRule="exact"/>
        <w:ind w:firstLine="63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rPr>
        <w:t>绩效指标：广泛利用媒体多种形式推介优秀作品。营造积极向上的文化氛围</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媒体宣传、信息数量（篇）</w:t>
      </w:r>
      <w:r>
        <w:rPr>
          <w:rFonts w:hint="eastAsia" w:ascii="仿宋" w:hAnsi="仿宋" w:eastAsia="仿宋" w:cs="仿宋"/>
          <w:b w:val="0"/>
          <w:bCs w:val="0"/>
          <w:sz w:val="32"/>
          <w:szCs w:val="32"/>
          <w:lang w:eastAsia="zh-CN"/>
        </w:rPr>
        <w:t>，每年不少于</w:t>
      </w:r>
      <w:r>
        <w:rPr>
          <w:rFonts w:hint="eastAsia" w:ascii="仿宋" w:hAnsi="仿宋" w:eastAsia="仿宋" w:cs="仿宋"/>
          <w:b w:val="0"/>
          <w:bCs w:val="0"/>
          <w:sz w:val="32"/>
          <w:szCs w:val="32"/>
          <w:lang w:val="en-US" w:eastAsia="zh-CN"/>
        </w:rPr>
        <w:t>6篇。</w:t>
      </w:r>
    </w:p>
    <w:p w14:paraId="696E6996">
      <w:pPr>
        <w:spacing w:line="580" w:lineRule="exact"/>
        <w:ind w:firstLine="630"/>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⑷ 进一步加强文化交流活动。</w:t>
      </w:r>
    </w:p>
    <w:p w14:paraId="289D46D8">
      <w:pPr>
        <w:spacing w:line="580" w:lineRule="exact"/>
        <w:ind w:firstLine="63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绩效目标：完成文化交流计划，促进区域文化艺术的影响力和美誉度进一步提高</w:t>
      </w:r>
      <w:r>
        <w:rPr>
          <w:rFonts w:hint="eastAsia" w:ascii="仿宋" w:hAnsi="仿宋" w:eastAsia="仿宋" w:cs="仿宋"/>
          <w:b w:val="0"/>
          <w:bCs w:val="0"/>
          <w:sz w:val="32"/>
          <w:szCs w:val="32"/>
          <w:lang w:eastAsia="zh-CN"/>
        </w:rPr>
        <w:t>。</w:t>
      </w:r>
    </w:p>
    <w:p w14:paraId="12AAABDE">
      <w:pPr>
        <w:spacing w:line="580" w:lineRule="exact"/>
        <w:ind w:firstLine="63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rPr>
        <w:t>绩效指标：积极参加文化交流活动，提高区域文化凝聚力和影响力</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组织民间文化交流次数（次）</w:t>
      </w:r>
      <w:r>
        <w:rPr>
          <w:rFonts w:hint="eastAsia" w:ascii="仿宋" w:hAnsi="仿宋" w:eastAsia="仿宋" w:cs="仿宋"/>
          <w:b w:val="0"/>
          <w:bCs w:val="0"/>
          <w:sz w:val="32"/>
          <w:szCs w:val="32"/>
          <w:lang w:eastAsia="zh-CN"/>
        </w:rPr>
        <w:t>，每年</w:t>
      </w:r>
      <w:r>
        <w:rPr>
          <w:rFonts w:hint="eastAsia" w:ascii="仿宋" w:hAnsi="仿宋" w:eastAsia="仿宋" w:cs="仿宋"/>
          <w:b w:val="0"/>
          <w:bCs w:val="0"/>
          <w:sz w:val="32"/>
          <w:szCs w:val="32"/>
          <w:lang w:val="en-US" w:eastAsia="zh-CN"/>
        </w:rPr>
        <w:t>2次以上。</w:t>
      </w:r>
    </w:p>
    <w:p w14:paraId="677DD961">
      <w:pPr>
        <w:numPr>
          <w:ilvl w:val="0"/>
          <w:numId w:val="0"/>
        </w:numPr>
        <w:spacing w:line="580" w:lineRule="exact"/>
        <w:ind w:left="840" w:lef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⑸ 宣传文化，提高人民文化水平</w:t>
      </w:r>
    </w:p>
    <w:p w14:paraId="61D635C3">
      <w:pPr>
        <w:spacing w:line="580" w:lineRule="exact"/>
        <w:ind w:firstLine="630"/>
        <w:rPr>
          <w:rFonts w:hint="eastAsia" w:ascii="仿宋" w:hAnsi="仿宋" w:eastAsia="仿宋" w:cs="仿宋"/>
          <w:b w:val="0"/>
          <w:bCs w:val="0"/>
          <w:sz w:val="32"/>
          <w:szCs w:val="32"/>
        </w:rPr>
      </w:pPr>
      <w:r>
        <w:rPr>
          <w:rFonts w:hint="eastAsia" w:ascii="仿宋" w:hAnsi="仿宋" w:eastAsia="仿宋" w:cs="仿宋"/>
          <w:b w:val="0"/>
          <w:bCs w:val="0"/>
          <w:sz w:val="32"/>
          <w:szCs w:val="32"/>
        </w:rPr>
        <w:t>绩效目标：</w:t>
      </w:r>
      <w:r>
        <w:rPr>
          <w:rFonts w:hint="eastAsia" w:ascii="仿宋" w:hAnsi="仿宋" w:eastAsia="仿宋" w:cs="仿宋"/>
          <w:b w:val="0"/>
          <w:bCs w:val="0"/>
          <w:sz w:val="32"/>
          <w:szCs w:val="32"/>
          <w:lang w:val="en-US" w:eastAsia="zh-CN"/>
        </w:rPr>
        <w:t>宣传文化，提高人民文化水平</w:t>
      </w:r>
    </w:p>
    <w:p w14:paraId="4705F4B4">
      <w:pPr>
        <w:pStyle w:val="2"/>
        <w:numPr>
          <w:ilvl w:val="0"/>
          <w:numId w:val="0"/>
        </w:numPr>
        <w:ind w:leftChars="200"/>
        <w:rPr>
          <w:rFonts w:hint="eastAsia" w:eastAsia="仿宋"/>
          <w:lang w:eastAsia="zh-CN"/>
        </w:rPr>
      </w:pPr>
      <w:r>
        <w:rPr>
          <w:rFonts w:hint="eastAsia" w:ascii="仿宋" w:hAnsi="仿宋" w:eastAsia="仿宋" w:cs="仿宋"/>
          <w:b w:val="0"/>
          <w:bCs w:val="0"/>
          <w:sz w:val="32"/>
          <w:szCs w:val="32"/>
        </w:rPr>
        <w:t>绩效指标：通过演出文化培训创作优秀作品交流等，达到丰富人民精神生活，弘扬社会主义核心价值观，增强文化自信，不断满足群众日益增长的精神文化生活需要</w:t>
      </w:r>
      <w:r>
        <w:rPr>
          <w:rFonts w:hint="eastAsia" w:ascii="仿宋" w:hAnsi="仿宋" w:eastAsia="仿宋" w:cs="仿宋"/>
          <w:b w:val="0"/>
          <w:bCs w:val="0"/>
          <w:sz w:val="32"/>
          <w:szCs w:val="32"/>
          <w:lang w:eastAsia="zh-CN"/>
        </w:rPr>
        <w:t>。</w:t>
      </w:r>
    </w:p>
    <w:p w14:paraId="2EE86202">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431CC654">
      <w:pPr>
        <w:keepNext w:val="0"/>
        <w:keepLines w:val="0"/>
        <w:pageBreakBefore w:val="0"/>
        <w:widowControl w:val="0"/>
        <w:numPr>
          <w:ilvl w:val="0"/>
          <w:numId w:val="4"/>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自评的组织工作</w:t>
      </w:r>
    </w:p>
    <w:p w14:paraId="42961A6E">
      <w:pPr>
        <w:pStyle w:val="2"/>
        <w:numPr>
          <w:ilvl w:val="0"/>
          <w:numId w:val="0"/>
        </w:numPr>
        <w:ind w:firstLine="640" w:firstLineChars="200"/>
        <w:rPr>
          <w:rFonts w:hint="eastAsia" w:eastAsia="仿宋_GB2312"/>
          <w:lang w:eastAsia="zh-CN"/>
        </w:rPr>
      </w:pPr>
      <w:r>
        <w:rPr>
          <w:rFonts w:hint="eastAsia"/>
          <w:lang w:eastAsia="zh-CN"/>
        </w:rPr>
        <w:t>为完成好部门整体支出绩效自评工作，</w:t>
      </w:r>
      <w:r>
        <w:rPr>
          <w:rFonts w:hint="eastAsia" w:ascii="仿宋" w:hAnsi="仿宋" w:eastAsia="仿宋" w:cs="仿宋"/>
          <w:sz w:val="32"/>
          <w:szCs w:val="32"/>
          <w:lang w:val="en-US" w:eastAsia="zh-CN"/>
        </w:rPr>
        <w:t>成立了由区文联书记主席王敏同志任组长，区文联副主席杜宏军</w:t>
      </w:r>
      <w:r>
        <w:rPr>
          <w:rFonts w:hint="eastAsia" w:ascii="仿宋" w:hAnsi="仿宋" w:eastAsia="仿宋" w:cs="仿宋"/>
          <w:sz w:val="32"/>
          <w:szCs w:val="32"/>
          <w:lang w:eastAsia="zh-CN"/>
        </w:rPr>
        <w:t>（主抓业务工作）担任副组长，办公室主任魏颖宁、财务人员李荣霞为小组成员的绩效自评工作小组，明确需收集的资料及注意事项。对照总体绩效目标和分项绩效目标、指标设定情况，分析评价项目具体完成情况的相关资料以及有关财务资料。绩效评价工作组遵循“科学性、规范性、客观性和公正性”的原则，开展绩效评价工作，得出综合评价结果，撰写绩效评价报告。</w:t>
      </w:r>
    </w:p>
    <w:p w14:paraId="36A88614">
      <w:pPr>
        <w:keepNext w:val="0"/>
        <w:keepLines w:val="0"/>
        <w:pageBreakBefore w:val="0"/>
        <w:widowControl w:val="0"/>
        <w:numPr>
          <w:ilvl w:val="0"/>
          <w:numId w:val="4"/>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14:paraId="4D33C974">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rPr>
      </w:pPr>
      <w:r>
        <w:rPr>
          <w:rFonts w:hint="eastAsia" w:ascii="仿宋" w:hAnsi="仿宋" w:eastAsia="仿宋" w:cs="仿宋"/>
          <w:sz w:val="32"/>
          <w:szCs w:val="32"/>
          <w:lang w:eastAsia="zh-CN"/>
        </w:rPr>
        <w:t>我部门自评小组在</w:t>
      </w:r>
      <w:r>
        <w:rPr>
          <w:rFonts w:hint="eastAsia" w:ascii="仿宋" w:hAnsi="仿宋" w:eastAsia="仿宋" w:cs="仿宋"/>
          <w:sz w:val="32"/>
          <w:szCs w:val="32"/>
          <w:lang w:val="en-US" w:eastAsia="zh-CN"/>
        </w:rPr>
        <w:t>自评工作开展过程中多次召开专题会议，认真学习，掌握评价内容及方法，对照各实施项目的内容逐条逐项自评，将年度绩效指标分解到具体完成的工作中进行评价。</w:t>
      </w:r>
      <w:r>
        <w:rPr>
          <w:rFonts w:hint="eastAsia" w:ascii="仿宋" w:hAnsi="仿宋" w:eastAsia="仿宋" w:cs="仿宋"/>
          <w:sz w:val="32"/>
          <w:szCs w:val="32"/>
          <w:lang w:eastAsia="zh-CN"/>
        </w:rPr>
        <w:t>通过对收集、整理项目实施材料，财务提交的真实、准确各种报表</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由项目负责人介绍项目预期绩效目标及具体实施取得的实际效果，评价小组成员集中实地检查、核实佐证材料进行评价，</w:t>
      </w:r>
      <w:r>
        <w:rPr>
          <w:rFonts w:hint="eastAsia" w:ascii="仿宋" w:hAnsi="仿宋" w:eastAsia="仿宋" w:cs="仿宋"/>
          <w:sz w:val="32"/>
          <w:szCs w:val="32"/>
          <w:lang w:val="en-US" w:eastAsia="zh-CN"/>
        </w:rPr>
        <w:t>绩效自评覆盖率达到了100% 。在评价过程中科学制定指标体系，</w:t>
      </w:r>
      <w:r>
        <w:rPr>
          <w:rFonts w:hint="eastAsia" w:ascii="仿宋" w:hAnsi="仿宋" w:eastAsia="仿宋" w:cs="仿宋"/>
          <w:sz w:val="32"/>
          <w:szCs w:val="32"/>
          <w:lang w:eastAsia="zh-CN"/>
        </w:rPr>
        <w:t>绩效指标权重按照各个评价对象的实际情况确定，总分设定为100分。原则上一级指标权重统一设置为:产出指标</w:t>
      </w:r>
      <w:r>
        <w:rPr>
          <w:rFonts w:hint="eastAsia" w:ascii="仿宋" w:hAnsi="仿宋" w:eastAsia="仿宋" w:cs="仿宋"/>
          <w:sz w:val="32"/>
          <w:szCs w:val="32"/>
          <w:lang w:val="en-US" w:eastAsia="zh-CN"/>
        </w:rPr>
        <w:t>40</w:t>
      </w:r>
      <w:r>
        <w:rPr>
          <w:rFonts w:hint="eastAsia" w:ascii="仿宋" w:hAnsi="仿宋" w:eastAsia="仿宋" w:cs="仿宋"/>
          <w:sz w:val="32"/>
          <w:szCs w:val="32"/>
          <w:lang w:eastAsia="zh-CN"/>
        </w:rPr>
        <w:t>分（包含数量、质量、时效、成本)、预算执行率指标10分、效益指标</w:t>
      </w:r>
      <w:r>
        <w:rPr>
          <w:rFonts w:hint="eastAsia" w:ascii="仿宋" w:hAnsi="仿宋" w:eastAsia="仿宋" w:cs="仿宋"/>
          <w:sz w:val="32"/>
          <w:szCs w:val="32"/>
          <w:lang w:val="en-US" w:eastAsia="zh-CN"/>
        </w:rPr>
        <w:t>40</w:t>
      </w:r>
      <w:r>
        <w:rPr>
          <w:rFonts w:hint="eastAsia" w:ascii="仿宋" w:hAnsi="仿宋" w:eastAsia="仿宋" w:cs="仿宋"/>
          <w:sz w:val="32"/>
          <w:szCs w:val="32"/>
          <w:lang w:eastAsia="zh-CN"/>
        </w:rPr>
        <w:t>分（包含经济效益、社会效益、生态效益、可持续影响)、满意度指标10 分，若被评价项目不涉及服务对象满意度内容或因服务对象满意度获取难度较大、成本较高而未能获取，则服务对象满意度的10分调入绩效考核事项。二、三级指标所占权重应当根据指标重要程度、项目实施阶段等因素综合确定，准确反映预算项目的产出和效果。同类评价对象的指标权重设置应当基本一致，便于评价结果相互比较。</w:t>
      </w:r>
      <w:r>
        <w:rPr>
          <w:rFonts w:hint="eastAsia" w:ascii="仿宋" w:hAnsi="仿宋" w:eastAsia="仿宋" w:cs="仿宋"/>
          <w:sz w:val="32"/>
          <w:szCs w:val="32"/>
        </w:rPr>
        <w:t>通过部门项目绩效自评小组集中评审，</w:t>
      </w:r>
      <w:r>
        <w:rPr>
          <w:rFonts w:hint="eastAsia" w:ascii="仿宋" w:hAnsi="仿宋" w:eastAsia="仿宋" w:cs="仿宋"/>
          <w:sz w:val="32"/>
          <w:szCs w:val="32"/>
          <w:lang w:eastAsia="zh-CN"/>
        </w:rPr>
        <w:t>我</w:t>
      </w:r>
      <w:r>
        <w:rPr>
          <w:rFonts w:hint="eastAsia" w:ascii="仿宋" w:hAnsi="仿宋" w:eastAsia="仿宋" w:cs="仿宋"/>
          <w:sz w:val="32"/>
          <w:szCs w:val="32"/>
        </w:rPr>
        <w:t>部门开展的项目评价等级均达到优。</w:t>
      </w:r>
    </w:p>
    <w:p w14:paraId="1AA21B47">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069C717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0003F30F">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default" w:ascii="仿宋" w:hAnsi="仿宋" w:eastAsia="仿宋" w:cs="仿宋"/>
          <w:sz w:val="30"/>
          <w:szCs w:val="30"/>
          <w:lang w:val="en-US"/>
        </w:rPr>
      </w:pPr>
      <w:r>
        <w:rPr>
          <w:rFonts w:hint="eastAsia" w:ascii="黑体" w:hAnsi="黑体" w:eastAsia="黑体" w:cs="仿宋"/>
          <w:sz w:val="30"/>
          <w:szCs w:val="30"/>
          <w:lang w:val="en-US" w:eastAsia="zh-CN"/>
        </w:rPr>
        <w:t>1、加强理论武装，</w:t>
      </w:r>
      <w:r>
        <w:rPr>
          <w:rFonts w:hint="eastAsia" w:ascii="黑体" w:hAnsi="黑体" w:eastAsia="黑体" w:cs="仿宋"/>
          <w:sz w:val="30"/>
          <w:szCs w:val="30"/>
          <w:lang w:eastAsia="zh-CN"/>
        </w:rPr>
        <w:t>建组织、强</w:t>
      </w:r>
      <w:r>
        <w:rPr>
          <w:rFonts w:hint="eastAsia" w:ascii="黑体" w:hAnsi="黑体" w:eastAsia="黑体" w:cs="仿宋"/>
          <w:sz w:val="30"/>
          <w:szCs w:val="30"/>
          <w:lang w:val="en-US" w:eastAsia="zh-CN"/>
        </w:rPr>
        <w:t>队伍</w:t>
      </w:r>
    </w:p>
    <w:p w14:paraId="248C6F17">
      <w:pPr>
        <w:pStyle w:val="13"/>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val="en-US" w:eastAsia="zh-CN"/>
        </w:rPr>
        <w:t>一是</w:t>
      </w:r>
      <w:r>
        <w:rPr>
          <w:rFonts w:hint="eastAsia" w:ascii="仿宋_GB2312" w:hAnsi="仿宋_GB2312" w:eastAsia="仿宋_GB2312" w:cs="仿宋_GB2312"/>
          <w:b w:val="0"/>
          <w:bCs w:val="0"/>
          <w:sz w:val="32"/>
          <w:szCs w:val="32"/>
          <w:lang w:val="en-US" w:eastAsia="zh-CN"/>
        </w:rPr>
        <w:t>强化理论学习，坚持以习近平新时代中国特色社会主义思想为根本遵循，全面贯彻落实党的二十大和二十届三中全会精神。</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规范文艺家协会管理，结合各协会发展现状，推动完成了12个文艺家协会换届工作。三</w:t>
      </w:r>
      <w:r>
        <w:rPr>
          <w:rFonts w:hint="eastAsia" w:ascii="仿宋_GB2312" w:hAnsi="仿宋_GB2312" w:eastAsia="仿宋_GB2312" w:cs="仿宋_GB2312"/>
          <w:b/>
          <w:bCs/>
          <w:sz w:val="32"/>
          <w:szCs w:val="32"/>
          <w:lang w:val="en-US" w:eastAsia="zh-CN"/>
        </w:rPr>
        <w:t>是</w:t>
      </w:r>
      <w:r>
        <w:rPr>
          <w:rFonts w:hint="eastAsia" w:ascii="仿宋_GB2312" w:hAnsi="仿宋_GB2312" w:eastAsia="仿宋_GB2312" w:cs="仿宋_GB2312"/>
          <w:sz w:val="32"/>
          <w:szCs w:val="32"/>
          <w:lang w:val="en-US" w:eastAsia="zh-CN"/>
        </w:rPr>
        <w:t>进一步加强文联自身建设，研究制定区文联党组落实全面从严治党主体责任2024年度任务安排和责任清单。</w:t>
      </w:r>
    </w:p>
    <w:p w14:paraId="0DFE32A0">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_GB2312" w:hAnsi="仿宋_GB2312" w:eastAsia="仿宋_GB2312" w:cs="仿宋_GB2312"/>
          <w:sz w:val="30"/>
          <w:szCs w:val="30"/>
          <w:lang w:eastAsia="zh-CN"/>
        </w:rPr>
      </w:pPr>
      <w:r>
        <w:rPr>
          <w:rFonts w:hint="eastAsia" w:ascii="黑体" w:hAnsi="黑体" w:eastAsia="黑体" w:cs="仿宋"/>
          <w:sz w:val="30"/>
          <w:szCs w:val="30"/>
          <w:lang w:val="en-US" w:eastAsia="zh-CN"/>
        </w:rPr>
        <w:t>2、</w:t>
      </w:r>
      <w:r>
        <w:rPr>
          <w:rFonts w:hint="eastAsia" w:ascii="黑体" w:hAnsi="黑体" w:eastAsia="黑体" w:cs="仿宋"/>
          <w:sz w:val="30"/>
          <w:szCs w:val="30"/>
          <w:lang w:eastAsia="zh-CN"/>
        </w:rPr>
        <w:t>打造双推平台</w:t>
      </w:r>
      <w:r>
        <w:rPr>
          <w:rFonts w:hint="eastAsia" w:ascii="黑体" w:hAnsi="黑体" w:eastAsia="黑体" w:cs="仿宋"/>
          <w:sz w:val="30"/>
          <w:szCs w:val="30"/>
        </w:rPr>
        <w:t>，</w:t>
      </w:r>
      <w:r>
        <w:rPr>
          <w:rFonts w:hint="eastAsia" w:ascii="黑体" w:hAnsi="黑体" w:eastAsia="黑体" w:cs="仿宋"/>
          <w:sz w:val="30"/>
          <w:szCs w:val="30"/>
          <w:lang w:eastAsia="zh-CN"/>
        </w:rPr>
        <w:t>推精品、推人才</w:t>
      </w:r>
    </w:p>
    <w:p w14:paraId="02AB4C58">
      <w:pPr>
        <w:numPr>
          <w:ilvl w:val="0"/>
          <w:numId w:val="0"/>
        </w:numPr>
        <w:ind w:firstLine="640" w:firstLineChars="200"/>
        <w:rPr>
          <w:rFonts w:hint="eastAsia" w:ascii="仿宋_GB2312" w:hAnsi="仿宋_GB2312" w:eastAsia="仿宋_GB2312" w:cs="仿宋_GB2312"/>
          <w:b w:val="0"/>
          <w:bCs w:val="0"/>
          <w:color w:val="auto"/>
          <w:sz w:val="32"/>
          <w:szCs w:val="32"/>
          <w:u w:val="none" w:color="auto"/>
          <w:lang w:val="en-US" w:eastAsia="zh-CN"/>
        </w:rPr>
      </w:pPr>
      <w:r>
        <w:rPr>
          <w:rFonts w:hint="eastAsia" w:ascii="楷体" w:hAnsi="楷体" w:eastAsia="楷体" w:cs="仿宋_GB2312"/>
          <w:sz w:val="32"/>
          <w:szCs w:val="32"/>
          <w:lang w:val="en-US" w:eastAsia="zh-CN"/>
        </w:rPr>
        <w:t>一是</w:t>
      </w:r>
      <w:r>
        <w:rPr>
          <w:rFonts w:hint="eastAsia" w:ascii="楷体" w:hAnsi="楷体" w:eastAsia="楷体" w:cs="仿宋_GB2312"/>
          <w:sz w:val="32"/>
          <w:szCs w:val="32"/>
        </w:rPr>
        <w:t>搭建</w:t>
      </w:r>
      <w:r>
        <w:rPr>
          <w:rFonts w:hint="eastAsia" w:ascii="楷体" w:hAnsi="楷体" w:eastAsia="楷体" w:cs="仿宋_GB2312"/>
          <w:sz w:val="32"/>
          <w:szCs w:val="32"/>
          <w:lang w:eastAsia="zh-CN"/>
        </w:rPr>
        <w:t>精品</w:t>
      </w:r>
      <w:r>
        <w:rPr>
          <w:rFonts w:hint="eastAsia" w:ascii="楷体" w:hAnsi="楷体" w:eastAsia="楷体" w:cs="仿宋_GB2312"/>
          <w:sz w:val="32"/>
          <w:szCs w:val="32"/>
        </w:rPr>
        <w:t>推介平台。</w:t>
      </w:r>
      <w:r>
        <w:rPr>
          <w:rFonts w:hint="eastAsia" w:ascii="仿宋_GB2312" w:hAnsi="仿宋_GB2312" w:eastAsia="仿宋_GB2312" w:cs="仿宋_GB2312"/>
          <w:sz w:val="32"/>
          <w:szCs w:val="32"/>
          <w:lang w:eastAsia="zh-CN"/>
        </w:rPr>
        <w:t>鼓励广大文艺工作者出精品，</w:t>
      </w:r>
      <w:r>
        <w:rPr>
          <w:rFonts w:hint="eastAsia" w:ascii="仿宋_GB2312" w:hAnsi="仿宋_GB2312" w:eastAsia="仿宋_GB2312" w:cs="仿宋_GB2312"/>
          <w:sz w:val="32"/>
          <w:szCs w:val="32"/>
          <w:lang w:val="en-US" w:eastAsia="zh-CN"/>
        </w:rPr>
        <w:t>提升全区文化影响力</w:t>
      </w:r>
      <w:r>
        <w:rPr>
          <w:rFonts w:hint="eastAsia" w:ascii="仿宋_GB2312" w:hAnsi="仿宋_GB2312" w:eastAsia="仿宋_GB2312" w:cs="仿宋_GB2312"/>
          <w:sz w:val="32"/>
          <w:szCs w:val="32"/>
          <w:lang w:eastAsia="zh-CN"/>
        </w:rPr>
        <w:t>。区作协会员</w:t>
      </w:r>
      <w:r>
        <w:rPr>
          <w:rFonts w:hint="eastAsia" w:ascii="仿宋_GB2312" w:hAnsi="仿宋_GB2312" w:eastAsia="仿宋_GB2312" w:cs="仿宋_GB2312"/>
          <w:sz w:val="32"/>
          <w:szCs w:val="32"/>
          <w:lang w:val="en-US" w:eastAsia="zh-CN"/>
        </w:rPr>
        <w:t>陈晔报告文学作品《青竹》被河北经济日报刊发，魏宝作品在河北省职工文化“五个一“精品创作大赛活动中获奖，小作者苏墨琰、石馨笛第一届河北省才艺小神童。苏墨琰诗歌在《人民文学》刊登、石馨笛童诗在《河北青年报》刊登</w:t>
      </w:r>
      <w:r>
        <w:rPr>
          <w:rFonts w:hint="eastAsia" w:ascii="仿宋" w:hAnsi="仿宋" w:eastAsia="仿宋" w:cs="仿宋"/>
          <w:sz w:val="32"/>
          <w:szCs w:val="32"/>
          <w:lang w:val="en-US" w:eastAsia="zh-CN"/>
        </w:rPr>
        <w:t>；区书协李建强书法作品《尊经阁记》荣获第十四届河北省文艺振兴奖，李尧乾入展全国第十三届书法篆刻作品展；</w:t>
      </w:r>
      <w:r>
        <w:rPr>
          <w:rFonts w:hint="eastAsia" w:ascii="仿宋_GB2312" w:hAnsi="仿宋_GB2312" w:eastAsia="仿宋_GB2312" w:cs="仿宋_GB2312"/>
          <w:sz w:val="32"/>
          <w:szCs w:val="32"/>
          <w:lang w:val="en-US" w:eastAsia="zh-CN"/>
        </w:rPr>
        <w:t>区</w:t>
      </w:r>
      <w:r>
        <w:rPr>
          <w:rFonts w:hint="eastAsia" w:ascii="仿宋_GB2312" w:hAnsi="仿宋_GB2312" w:eastAsia="仿宋_GB2312" w:cs="仿宋_GB2312"/>
          <w:sz w:val="32"/>
          <w:szCs w:val="32"/>
        </w:rPr>
        <w:t>美协1</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位</w:t>
      </w:r>
      <w:r>
        <w:rPr>
          <w:rFonts w:hint="eastAsia" w:ascii="仿宋_GB2312" w:hAnsi="仿宋_GB2312" w:eastAsia="仿宋_GB2312" w:cs="仿宋_GB2312"/>
          <w:sz w:val="32"/>
          <w:szCs w:val="32"/>
          <w:lang w:eastAsia="zh-CN"/>
        </w:rPr>
        <w:t>会员作品</w:t>
      </w:r>
      <w:r>
        <w:rPr>
          <w:rFonts w:hint="eastAsia" w:ascii="仿宋_GB2312" w:hAnsi="仿宋_GB2312" w:eastAsia="仿宋_GB2312" w:cs="仿宋_GB2312"/>
          <w:sz w:val="32"/>
          <w:szCs w:val="32"/>
        </w:rPr>
        <w:t>入选“第十四届全国美展河北省选送作品暨庆祝中华人民共和国成立七十五周年河北省优秀美术作品展览”；</w:t>
      </w:r>
      <w:r>
        <w:rPr>
          <w:rFonts w:hint="eastAsia" w:ascii="仿宋_GB2312" w:hAnsi="仿宋_GB2312" w:eastAsia="仿宋_GB2312" w:cs="仿宋_GB2312"/>
          <w:b w:val="0"/>
          <w:bCs w:val="0"/>
          <w:color w:val="auto"/>
          <w:sz w:val="32"/>
          <w:szCs w:val="32"/>
          <w:u w:val="none" w:color="auto"/>
          <w:lang w:val="en-US" w:eastAsia="zh-CN"/>
        </w:rPr>
        <w:t>区音乐家协会组建并带队的“石家庄青少年交响管乐团”获“中华杯”中国第十七届优秀管乐团队展演示范乐团奖（金奖）。区曲协樊秋红在“双争有我</w:t>
      </w:r>
      <w:r>
        <w:rPr>
          <w:rFonts w:hint="eastAsia" w:ascii="宋体" w:hAnsi="宋体" w:eastAsia="宋体" w:cs="宋体"/>
          <w:b w:val="0"/>
          <w:bCs w:val="0"/>
          <w:color w:val="auto"/>
          <w:sz w:val="32"/>
          <w:szCs w:val="32"/>
          <w:u w:val="none" w:color="auto"/>
          <w:lang w:val="en-US" w:eastAsia="zh-CN"/>
        </w:rPr>
        <w:t>·</w:t>
      </w:r>
      <w:r>
        <w:rPr>
          <w:rFonts w:hint="eastAsia" w:ascii="仿宋_GB2312" w:hAnsi="仿宋_GB2312" w:eastAsia="仿宋_GB2312" w:cs="仿宋_GB2312"/>
          <w:b w:val="0"/>
          <w:bCs w:val="0"/>
          <w:color w:val="auto"/>
          <w:sz w:val="32"/>
          <w:szCs w:val="32"/>
          <w:u w:val="none" w:color="auto"/>
          <w:lang w:val="en-US" w:eastAsia="zh-CN"/>
        </w:rPr>
        <w:t>唱响河北”2023年河北省中青年曲艺人才比武活动中荣获优秀表演奖。区戏剧家协会聂翠敏获得全国首届“星光奖”戏曲演唱公开大奖赛“星光奖潜力之星”“星光奖金奖”荣誉。区琴筝协会两次受邀参加中央电视台节目录制，并受邀参加9·28全球华人国学盛典国乐艺术节”。</w:t>
      </w:r>
      <w:r>
        <w:rPr>
          <w:rFonts w:hint="eastAsia" w:ascii="仿宋_GB2312" w:hAnsi="仿宋_GB2312" w:eastAsia="仿宋_GB2312" w:cs="仿宋_GB2312"/>
          <w:sz w:val="32"/>
          <w:szCs w:val="32"/>
          <w:lang w:val="en-US" w:eastAsia="zh-CN"/>
        </w:rPr>
        <w:t>二</w:t>
      </w:r>
      <w:r>
        <w:rPr>
          <w:rFonts w:hint="eastAsia" w:ascii="楷体" w:hAnsi="楷体" w:eastAsia="楷体" w:cs="楷体"/>
          <w:sz w:val="32"/>
          <w:szCs w:val="24"/>
          <w:lang w:eastAsia="zh-CN"/>
        </w:rPr>
        <w:t>是搭建人才推优平台。</w:t>
      </w:r>
      <w:r>
        <w:rPr>
          <w:rFonts w:hint="eastAsia" w:ascii="仿宋_GB2312" w:hAnsi="仿宋_GB2312" w:eastAsia="仿宋_GB2312" w:cs="仿宋_GB2312"/>
          <w:sz w:val="32"/>
          <w:szCs w:val="24"/>
          <w:lang w:val="en-US" w:eastAsia="zh-CN"/>
        </w:rPr>
        <w:t>积极向各级人才平台推荐选送各类优秀文艺人才，</w:t>
      </w:r>
      <w:r>
        <w:rPr>
          <w:rFonts w:hint="eastAsia" w:ascii="仿宋_GB2312" w:hAnsi="仿宋_GB2312" w:eastAsia="仿宋_GB2312" w:cs="仿宋_GB2312"/>
          <w:b w:val="0"/>
          <w:bCs w:val="0"/>
          <w:color w:val="auto"/>
          <w:sz w:val="32"/>
          <w:szCs w:val="32"/>
          <w:u w:val="none" w:color="auto"/>
          <w:lang w:val="en-US" w:eastAsia="zh-CN"/>
        </w:rPr>
        <w:t>区摄协会员徐东坡作为全省9名优秀文艺家之一，参与了省文联开展的宣传推介优秀文艺家——河北书法美术摄影文艺名家工作室“传帮带”采风创作活动；</w:t>
      </w:r>
      <w:r>
        <w:rPr>
          <w:rFonts w:hint="eastAsia" w:ascii="仿宋_GB2312" w:hAnsi="仿宋_GB2312" w:eastAsia="仿宋_GB2312" w:cs="仿宋_GB2312"/>
          <w:sz w:val="32"/>
          <w:szCs w:val="32"/>
          <w:lang w:val="en-US" w:eastAsia="zh-CN"/>
        </w:rPr>
        <w:t>4名文艺人才入选</w:t>
      </w:r>
      <w:r>
        <w:rPr>
          <w:rFonts w:hint="eastAsia" w:ascii="仿宋_GB2312" w:hAnsi="仿宋_GB2312" w:eastAsia="仿宋_GB2312" w:cs="仿宋_GB2312"/>
          <w:sz w:val="32"/>
          <w:szCs w:val="32"/>
          <w:lang w:eastAsia="zh-CN"/>
        </w:rPr>
        <w:t>藁城区</w:t>
      </w:r>
      <w:r>
        <w:rPr>
          <w:rFonts w:hint="eastAsia" w:ascii="仿宋_GB2312" w:hAnsi="仿宋_GB2312" w:eastAsia="仿宋_GB2312" w:cs="仿宋_GB2312"/>
          <w:sz w:val="32"/>
          <w:szCs w:val="32"/>
        </w:rPr>
        <w:t>拔尖人才</w:t>
      </w:r>
      <w:r>
        <w:rPr>
          <w:rFonts w:hint="eastAsia" w:ascii="仿宋_GB2312" w:hAnsi="仿宋_GB2312" w:eastAsia="仿宋_GB2312" w:cs="仿宋_GB2312"/>
          <w:sz w:val="32"/>
          <w:szCs w:val="32"/>
          <w:lang w:val="en-US" w:eastAsia="zh-CN"/>
        </w:rPr>
        <w:t>；何国进、李艳锋等4人当选市级协会副主席；</w:t>
      </w:r>
      <w:r>
        <w:rPr>
          <w:rFonts w:hint="eastAsia" w:ascii="仿宋_GB2312" w:hAnsi="仿宋_GB2312" w:eastAsia="仿宋_GB2312" w:cs="仿宋_GB2312"/>
          <w:b w:val="0"/>
          <w:bCs w:val="0"/>
          <w:color w:val="auto"/>
          <w:sz w:val="32"/>
          <w:szCs w:val="32"/>
          <w:u w:val="none" w:color="auto"/>
          <w:lang w:val="en-US" w:eastAsia="zh-CN"/>
        </w:rPr>
        <w:t>区书协李建强作为石家庄市唯一代表参加全国基层书法创作类会员培训班，樊秋红参加“学习贯彻习近平文化思想 勇担新的使命”河北省中青年文艺人才培训班，姚占理等四人入选石家庄市“记录冲刺风采 展示决胜成果”创作骨干。4名花艺文化协会会员入选中国花卉协会会员。</w:t>
      </w:r>
    </w:p>
    <w:p w14:paraId="1F6E8BB9">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_GB2312" w:hAnsi="仿宋_GB2312" w:eastAsia="仿宋_GB2312" w:cs="仿宋_GB2312"/>
          <w:sz w:val="30"/>
          <w:szCs w:val="30"/>
          <w:lang w:eastAsia="zh-CN"/>
        </w:rPr>
      </w:pPr>
      <w:r>
        <w:rPr>
          <w:rFonts w:hint="eastAsia" w:ascii="黑体" w:hAnsi="黑体" w:eastAsia="黑体" w:cs="仿宋"/>
          <w:sz w:val="30"/>
          <w:szCs w:val="30"/>
          <w:lang w:val="en-US" w:eastAsia="zh-CN"/>
        </w:rPr>
        <w:t>3、</w:t>
      </w:r>
      <w:r>
        <w:rPr>
          <w:rFonts w:hint="eastAsia" w:ascii="黑体" w:hAnsi="黑体" w:eastAsia="黑体" w:cs="仿宋"/>
          <w:sz w:val="30"/>
          <w:szCs w:val="30"/>
          <w:lang w:eastAsia="zh-CN"/>
        </w:rPr>
        <w:t>围绕中心工作</w:t>
      </w:r>
      <w:r>
        <w:rPr>
          <w:rFonts w:hint="eastAsia" w:ascii="黑体" w:hAnsi="黑体" w:eastAsia="黑体" w:cs="仿宋"/>
          <w:sz w:val="30"/>
          <w:szCs w:val="30"/>
        </w:rPr>
        <w:t>，</w:t>
      </w:r>
      <w:r>
        <w:rPr>
          <w:rFonts w:hint="eastAsia" w:ascii="黑体" w:hAnsi="黑体" w:eastAsia="黑体" w:cs="仿宋"/>
          <w:sz w:val="30"/>
          <w:szCs w:val="30"/>
          <w:lang w:eastAsia="zh-CN"/>
        </w:rPr>
        <w:t>办活动、惠民心</w:t>
      </w:r>
    </w:p>
    <w:p w14:paraId="69712B19">
      <w:pPr>
        <w:pStyle w:val="5"/>
        <w:rPr>
          <w:rFonts w:hint="eastAsia"/>
          <w:lang w:val="en-US" w:eastAsia="zh-CN"/>
        </w:rPr>
      </w:pPr>
    </w:p>
    <w:p w14:paraId="05C6F56B">
      <w:pPr>
        <w:numPr>
          <w:ilvl w:val="0"/>
          <w:numId w:val="0"/>
        </w:numPr>
        <w:ind w:firstLine="640" w:firstLineChars="200"/>
        <w:rPr>
          <w:rFonts w:hint="default" w:ascii="仿宋_GB2312" w:hAnsi="仿宋_GB2312" w:eastAsia="仿宋_GB2312" w:cs="仿宋_GB2312"/>
          <w:b w:val="0"/>
          <w:bCs w:val="0"/>
          <w:color w:val="auto"/>
          <w:sz w:val="32"/>
          <w:szCs w:val="32"/>
          <w:u w:val="none" w:color="auto"/>
          <w:lang w:val="en-US" w:eastAsia="zh-CN"/>
        </w:rPr>
      </w:pPr>
      <w:r>
        <w:rPr>
          <w:rFonts w:hint="eastAsia" w:ascii="楷体" w:hAnsi="楷体" w:eastAsia="楷体" w:cs="仿宋_GB2312"/>
          <w:sz w:val="32"/>
          <w:szCs w:val="32"/>
          <w:lang w:val="en-US" w:eastAsia="zh-CN"/>
        </w:rPr>
        <w:t>一是</w:t>
      </w:r>
      <w:r>
        <w:rPr>
          <w:rFonts w:hint="eastAsia" w:ascii="仿宋_GB2312" w:hAnsi="仿宋_GB2312" w:eastAsia="仿宋_GB2312" w:cs="仿宋_GB2312"/>
          <w:b w:val="0"/>
          <w:bCs w:val="0"/>
          <w:color w:val="auto"/>
          <w:sz w:val="32"/>
          <w:szCs w:val="32"/>
          <w:u w:val="none" w:color="auto"/>
          <w:lang w:val="en-US" w:eastAsia="zh-CN"/>
        </w:rPr>
        <w:t>着眼于满足群众精神文化需求，围绕全区中心工作，组织开展形式多样的文艺志愿服务活动。以重要节庆主题为契机，组织开展举办迎新春演唱会、新年音乐会，元旦、清明、五一、七一、彩色周末等主题诗歌展、书画展、文艺汇演活动30余场，</w:t>
      </w:r>
      <w:r>
        <w:rPr>
          <w:rFonts w:hint="eastAsia" w:ascii="仿宋_GB2312" w:hAnsi="仿宋_GB2312" w:eastAsia="仿宋_GB2312" w:cs="仿宋_GB2312"/>
          <w:sz w:val="32"/>
          <w:szCs w:val="32"/>
          <w:lang w:val="en-US" w:eastAsia="zh-CN"/>
        </w:rPr>
        <w:t>举办的“名家和你过大年”文化惠民活动、国潮音乐节活动被全国市县文联公众号刊登，“遇见”藁城区首届花艺作品展被河北电视台农民频道、石家庄日报刊发。强基工程-文化助力基层系列演出、新画卷摄影展、助力基层精神文明建设交响音乐会、“学习贯彻党的二十大书法作品展”、“庆祝新中国成立75周年美术采风作品展”影响广泛。</w:t>
      </w:r>
      <w:r>
        <w:rPr>
          <w:rFonts w:hint="eastAsia" w:ascii="楷体" w:hAnsi="楷体" w:eastAsia="楷体" w:cs="仿宋_GB2312"/>
          <w:sz w:val="32"/>
          <w:szCs w:val="32"/>
          <w:lang w:val="en-US" w:eastAsia="zh-CN"/>
        </w:rPr>
        <w:t>二是</w:t>
      </w:r>
      <w:r>
        <w:rPr>
          <w:rFonts w:hint="eastAsia" w:ascii="仿宋_GB2312" w:hAnsi="仿宋_GB2312" w:eastAsia="仿宋_GB2312" w:cs="仿宋_GB2312"/>
          <w:b w:val="0"/>
          <w:bCs w:val="0"/>
          <w:color w:val="auto"/>
          <w:sz w:val="32"/>
          <w:szCs w:val="32"/>
          <w:u w:val="none" w:color="auto"/>
          <w:lang w:val="en-US" w:eastAsia="zh-CN"/>
        </w:rPr>
        <w:t>致力于推动文化服务提质升级，落实强基工程活动要求，统筹活动示范点和各类文化活动场所，组织各协会常态化开展培训、交流、展览、展演等活动，累计各类文艺志愿服务活动80余次，</w:t>
      </w:r>
      <w:r>
        <w:rPr>
          <w:rFonts w:hint="eastAsia" w:ascii="仿宋_GB2312" w:hAnsi="仿宋_GB2312" w:eastAsia="仿宋_GB2312" w:cs="仿宋_GB2312"/>
          <w:sz w:val="32"/>
          <w:szCs w:val="32"/>
          <w:lang w:eastAsia="zh-CN"/>
        </w:rPr>
        <w:t>打通了文化惠民服务“最后一公里”。</w:t>
      </w:r>
      <w:r>
        <w:rPr>
          <w:rFonts w:hint="eastAsia" w:ascii="仿宋_GB2312" w:hAnsi="仿宋_GB2312" w:eastAsia="仿宋_GB2312" w:cs="仿宋_GB2312"/>
          <w:b w:val="0"/>
          <w:bCs w:val="0"/>
          <w:color w:val="auto"/>
          <w:sz w:val="32"/>
          <w:szCs w:val="32"/>
          <w:u w:val="none" w:color="auto"/>
          <w:lang w:val="en-US" w:eastAsia="zh-CN"/>
        </w:rPr>
        <w:t>三</w:t>
      </w:r>
      <w:r>
        <w:rPr>
          <w:rFonts w:hint="eastAsia" w:ascii="楷体" w:hAnsi="楷体" w:eastAsia="楷体" w:cs="仿宋_GB2312"/>
          <w:sz w:val="32"/>
          <w:szCs w:val="32"/>
          <w:lang w:val="en-US" w:eastAsia="zh-CN"/>
        </w:rPr>
        <w:t>是</w:t>
      </w:r>
      <w:r>
        <w:rPr>
          <w:rFonts w:hint="eastAsia" w:ascii="仿宋_GB2312" w:hAnsi="仿宋_GB2312" w:eastAsia="仿宋_GB2312" w:cs="仿宋_GB2312"/>
          <w:b w:val="0"/>
          <w:bCs w:val="0"/>
          <w:color w:val="auto"/>
          <w:sz w:val="32"/>
          <w:szCs w:val="32"/>
          <w:u w:val="none" w:color="auto"/>
          <w:lang w:val="en-US" w:eastAsia="zh-CN"/>
        </w:rPr>
        <w:t>开展各类主题创作和公益培训活动。开展线上作品征集展览活动13次，组织主题采风创作活动8次，书美协的文艺志愿者常态化在西城街、站南等社区开展公益书法、国画培训，花协、书协、剧协的文艺志愿者开展了插花、书法、戏曲培训进校园、进企业活动，共举办各类公益培训及讲座60余场，惠及群众近4000人次。2024年度项目预算执行完成率为100%。</w:t>
      </w:r>
    </w:p>
    <w:p w14:paraId="5464518E">
      <w:pPr>
        <w:pStyle w:val="5"/>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color w:val="auto"/>
          <w:sz w:val="32"/>
          <w:szCs w:val="32"/>
          <w:u w:val="none" w:color="auto"/>
          <w:lang w:val="en-US" w:eastAsia="zh-CN"/>
        </w:rPr>
        <w:t>下一步</w:t>
      </w:r>
    </w:p>
    <w:p w14:paraId="3960961A">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5022651B">
      <w:pPr>
        <w:keepNext w:val="0"/>
        <w:keepLines w:val="0"/>
        <w:pageBreakBefore w:val="0"/>
        <w:widowControl w:val="0"/>
        <w:numPr>
          <w:ilvl w:val="0"/>
          <w:numId w:val="0"/>
        </w:numPr>
        <w:kinsoku/>
        <w:wordWrap/>
        <w:overflowPunct/>
        <w:topLinePunct w:val="0"/>
        <w:autoSpaceDE/>
        <w:autoSpaceDN/>
        <w:bidi w:val="0"/>
        <w:spacing w:line="560" w:lineRule="exact"/>
        <w:ind w:leftChars="0" w:right="0" w:rightChars="0" w:firstLine="320" w:firstLineChars="100"/>
        <w:textAlignment w:val="auto"/>
        <w:outlineLvl w:val="9"/>
        <w:rPr>
          <w:rFonts w:ascii="仿宋" w:hAnsi="仿宋" w:eastAsia="仿宋" w:cs="楷体_GB2312"/>
          <w:b w:val="0"/>
          <w:bCs w:val="0"/>
          <w:sz w:val="32"/>
          <w:szCs w:val="32"/>
        </w:rPr>
      </w:pPr>
      <w:r>
        <w:rPr>
          <w:rFonts w:hint="eastAsia" w:ascii="仿宋" w:hAnsi="仿宋" w:eastAsia="仿宋" w:cs="楷体_GB2312"/>
          <w:b w:val="0"/>
          <w:bCs w:val="0"/>
          <w:sz w:val="32"/>
          <w:szCs w:val="32"/>
          <w:lang w:val="en-US" w:eastAsia="zh-CN"/>
        </w:rPr>
        <w:t>1、</w:t>
      </w:r>
      <w:r>
        <w:rPr>
          <w:rFonts w:hint="eastAsia" w:ascii="仿宋" w:hAnsi="仿宋" w:eastAsia="仿宋" w:cs="楷体_GB2312"/>
          <w:b w:val="0"/>
          <w:bCs w:val="0"/>
          <w:sz w:val="32"/>
          <w:szCs w:val="32"/>
        </w:rPr>
        <w:t>预算执行情况</w:t>
      </w:r>
    </w:p>
    <w:p w14:paraId="7D0DDFB7">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textAlignment w:val="auto"/>
        <w:outlineLvl w:val="9"/>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eastAsia="zh-CN"/>
        </w:rPr>
        <w:t>该项目年初预算数</w:t>
      </w:r>
      <w:r>
        <w:rPr>
          <w:rFonts w:hint="eastAsia" w:ascii="仿宋" w:hAnsi="仿宋" w:eastAsia="仿宋" w:cs="楷体_GB2312"/>
          <w:b w:val="0"/>
          <w:bCs w:val="0"/>
          <w:sz w:val="32"/>
          <w:szCs w:val="32"/>
          <w:lang w:val="en-US" w:eastAsia="zh-CN"/>
        </w:rPr>
        <w:t>10万，年终实际资金执行数10万，预算资金使用率100%，分值10分。</w:t>
      </w:r>
    </w:p>
    <w:p w14:paraId="37BB066D">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320" w:firstLineChars="100"/>
        <w:textAlignment w:val="auto"/>
        <w:outlineLvl w:val="9"/>
        <w:rPr>
          <w:rFonts w:ascii="仿宋" w:hAnsi="仿宋" w:eastAsia="仿宋"/>
          <w:b w:val="0"/>
          <w:bCs w:val="0"/>
          <w:sz w:val="32"/>
          <w:szCs w:val="32"/>
        </w:rPr>
      </w:pPr>
      <w:r>
        <w:rPr>
          <w:rFonts w:hint="eastAsia" w:ascii="仿宋" w:hAnsi="仿宋" w:eastAsia="仿宋" w:cs="楷体_GB2312"/>
          <w:b w:val="0"/>
          <w:bCs w:val="0"/>
          <w:sz w:val="32"/>
          <w:szCs w:val="32"/>
          <w:lang w:val="en-US" w:eastAsia="zh-CN"/>
        </w:rPr>
        <w:t>2、</w:t>
      </w:r>
      <w:r>
        <w:rPr>
          <w:rFonts w:hint="eastAsia" w:ascii="仿宋" w:hAnsi="仿宋" w:eastAsia="仿宋" w:cs="楷体_GB2312"/>
          <w:b w:val="0"/>
          <w:bCs w:val="0"/>
          <w:sz w:val="32"/>
          <w:szCs w:val="32"/>
        </w:rPr>
        <w:t>项目产出</w:t>
      </w:r>
    </w:p>
    <w:p w14:paraId="441750DD">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hint="default" w:ascii="仿宋" w:hAnsi="仿宋" w:eastAsia="仿宋"/>
          <w:sz w:val="32"/>
          <w:szCs w:val="32"/>
          <w:lang w:val="en-US"/>
        </w:rPr>
      </w:pPr>
      <w:r>
        <w:rPr>
          <w:rFonts w:hint="eastAsia" w:ascii="仿宋" w:hAnsi="仿宋" w:eastAsia="仿宋"/>
          <w:sz w:val="32"/>
          <w:szCs w:val="32"/>
          <w:lang w:val="en-US" w:eastAsia="zh-CN"/>
        </w:rPr>
        <w:t>通过实地查证资料及媒体报道和会计核对，</w:t>
      </w:r>
      <w:r>
        <w:rPr>
          <w:rFonts w:hint="eastAsia" w:ascii="仿宋" w:hAnsi="仿宋" w:eastAsia="仿宋"/>
          <w:sz w:val="32"/>
          <w:szCs w:val="32"/>
          <w:lang w:eastAsia="zh-CN"/>
        </w:rPr>
        <w:t>该项目产出指标</w:t>
      </w:r>
      <w:r>
        <w:rPr>
          <w:rFonts w:hint="eastAsia" w:ascii="仿宋" w:hAnsi="仿宋" w:eastAsia="仿宋" w:cs="仿宋"/>
          <w:sz w:val="32"/>
          <w:szCs w:val="32"/>
          <w:lang w:val="en-US" w:eastAsia="zh-CN"/>
        </w:rPr>
        <w:t>文艺研修教育人数得</w:t>
      </w:r>
      <w:r>
        <w:rPr>
          <w:rFonts w:hint="eastAsia" w:ascii="仿宋" w:hAnsi="仿宋" w:eastAsia="仿宋"/>
          <w:sz w:val="32"/>
          <w:szCs w:val="32"/>
          <w:lang w:val="en-US" w:eastAsia="zh-CN"/>
        </w:rPr>
        <w:t>2分；</w:t>
      </w:r>
      <w:r>
        <w:rPr>
          <w:rFonts w:hint="eastAsia" w:ascii="仿宋" w:hAnsi="仿宋" w:eastAsia="仿宋" w:cs="仿宋"/>
          <w:sz w:val="32"/>
          <w:szCs w:val="32"/>
          <w:lang w:val="en-US" w:eastAsia="zh-CN"/>
        </w:rPr>
        <w:t>文艺人才资源库人数3</w:t>
      </w:r>
      <w:r>
        <w:rPr>
          <w:rFonts w:hint="eastAsia" w:ascii="仿宋" w:hAnsi="仿宋" w:eastAsia="仿宋"/>
          <w:sz w:val="32"/>
          <w:szCs w:val="32"/>
          <w:lang w:val="en-US" w:eastAsia="zh-CN"/>
        </w:rPr>
        <w:t>分；</w:t>
      </w:r>
      <w:r>
        <w:rPr>
          <w:rFonts w:hint="eastAsia" w:ascii="仿宋" w:hAnsi="仿宋" w:eastAsia="仿宋" w:cs="仿宋"/>
          <w:sz w:val="32"/>
          <w:szCs w:val="32"/>
          <w:lang w:val="en-US" w:eastAsia="zh-CN"/>
        </w:rPr>
        <w:t>组织活动的场次</w:t>
      </w:r>
      <w:r>
        <w:rPr>
          <w:rFonts w:hint="eastAsia" w:ascii="仿宋" w:hAnsi="仿宋" w:eastAsia="仿宋"/>
          <w:sz w:val="32"/>
          <w:szCs w:val="32"/>
          <w:lang w:val="en-US" w:eastAsia="zh-CN"/>
        </w:rPr>
        <w:t>3分；</w:t>
      </w:r>
      <w:r>
        <w:rPr>
          <w:rFonts w:hint="eastAsia" w:ascii="仿宋" w:hAnsi="仿宋" w:eastAsia="仿宋" w:cs="仿宋"/>
          <w:sz w:val="32"/>
          <w:szCs w:val="32"/>
          <w:lang w:val="en-US" w:eastAsia="zh-CN"/>
        </w:rPr>
        <w:t>组织艺术家创作次数3分；文艺精品生产数量4分；组织研讨推介活动次数3分；媒体宣传、信息数量（篇）3分；组织对外交流次数、组织民间文化交流次数3分；文艺活动完成率15分；文艺活动完成及时率5分；单位资金成本5分；共分值39分。</w:t>
      </w:r>
    </w:p>
    <w:p w14:paraId="4AC5501B">
      <w:pPr>
        <w:keepNext w:val="0"/>
        <w:keepLines w:val="0"/>
        <w:pageBreakBefore w:val="0"/>
        <w:widowControl w:val="0"/>
        <w:kinsoku/>
        <w:wordWrap/>
        <w:overflowPunct/>
        <w:topLinePunct w:val="0"/>
        <w:autoSpaceDE/>
        <w:autoSpaceDN/>
        <w:bidi w:val="0"/>
        <w:spacing w:line="560" w:lineRule="exact"/>
        <w:ind w:right="0" w:firstLine="320" w:firstLineChars="100"/>
        <w:textAlignment w:val="auto"/>
        <w:outlineLvl w:val="9"/>
        <w:rPr>
          <w:rFonts w:ascii="仿宋" w:hAnsi="仿宋" w:eastAsia="仿宋" w:cs="楷体_GB2312"/>
          <w:b w:val="0"/>
          <w:bCs w:val="0"/>
          <w:sz w:val="32"/>
          <w:szCs w:val="32"/>
        </w:rPr>
      </w:pPr>
      <w:r>
        <w:rPr>
          <w:rFonts w:hint="eastAsia" w:ascii="仿宋" w:hAnsi="仿宋" w:eastAsia="仿宋" w:cs="楷体_GB2312"/>
          <w:b w:val="0"/>
          <w:bCs w:val="0"/>
          <w:sz w:val="32"/>
          <w:szCs w:val="32"/>
          <w:lang w:val="en-US" w:eastAsia="zh-CN"/>
        </w:rPr>
        <w:t>3、</w:t>
      </w:r>
      <w:r>
        <w:rPr>
          <w:rFonts w:hint="eastAsia" w:ascii="仿宋" w:hAnsi="仿宋" w:eastAsia="仿宋" w:cs="楷体_GB2312"/>
          <w:b w:val="0"/>
          <w:bCs w:val="0"/>
          <w:sz w:val="32"/>
          <w:szCs w:val="32"/>
        </w:rPr>
        <w:t>项目效益</w:t>
      </w:r>
    </w:p>
    <w:p w14:paraId="49E9C820">
      <w:pPr>
        <w:keepNext w:val="0"/>
        <w:keepLines w:val="0"/>
        <w:pageBreakBefore w:val="0"/>
        <w:widowControl w:val="0"/>
        <w:kinsoku/>
        <w:wordWrap/>
        <w:overflowPunct/>
        <w:topLinePunct w:val="0"/>
        <w:autoSpaceDE/>
        <w:autoSpaceDN/>
        <w:bidi w:val="0"/>
        <w:spacing w:line="560" w:lineRule="exact"/>
        <w:ind w:right="0" w:firstLine="640" w:firstLineChars="200"/>
        <w:textAlignment w:val="auto"/>
        <w:outlineLvl w:val="9"/>
        <w:rPr>
          <w:rFonts w:ascii="仿宋" w:hAnsi="仿宋" w:eastAsia="仿宋"/>
          <w:sz w:val="32"/>
          <w:szCs w:val="32"/>
        </w:rPr>
      </w:pPr>
      <w:r>
        <w:rPr>
          <w:rFonts w:hint="eastAsia" w:ascii="仿宋" w:hAnsi="仿宋" w:eastAsia="仿宋"/>
          <w:sz w:val="32"/>
          <w:szCs w:val="32"/>
          <w:lang w:val="en-US" w:eastAsia="zh-CN"/>
        </w:rPr>
        <w:t>文艺联络交流经费</w:t>
      </w:r>
      <w:r>
        <w:rPr>
          <w:rFonts w:hint="eastAsia" w:ascii="仿宋" w:hAnsi="仿宋" w:eastAsia="仿宋"/>
          <w:sz w:val="32"/>
          <w:szCs w:val="32"/>
        </w:rPr>
        <w:t>资金项目</w:t>
      </w:r>
      <w:r>
        <w:rPr>
          <w:rFonts w:hint="eastAsia" w:ascii="仿宋" w:hAnsi="仿宋" w:eastAsia="仿宋"/>
          <w:sz w:val="32"/>
          <w:szCs w:val="32"/>
          <w:lang w:eastAsia="zh-CN"/>
        </w:rPr>
        <w:t>创作</w:t>
      </w:r>
      <w:r>
        <w:rPr>
          <w:rFonts w:hint="eastAsia" w:ascii="仿宋" w:hAnsi="仿宋" w:eastAsia="仿宋"/>
          <w:sz w:val="32"/>
          <w:szCs w:val="32"/>
        </w:rPr>
        <w:t>的</w:t>
      </w:r>
      <w:r>
        <w:rPr>
          <w:rFonts w:hint="eastAsia" w:ascii="仿宋" w:hAnsi="仿宋" w:eastAsia="仿宋"/>
          <w:sz w:val="32"/>
          <w:szCs w:val="32"/>
          <w:lang w:eastAsia="zh-CN"/>
        </w:rPr>
        <w:t>文艺精品可持续影响深远，自评分值</w:t>
      </w:r>
      <w:r>
        <w:rPr>
          <w:rFonts w:hint="eastAsia" w:ascii="仿宋" w:hAnsi="仿宋" w:eastAsia="仿宋"/>
          <w:sz w:val="32"/>
          <w:szCs w:val="32"/>
          <w:lang w:val="en-US" w:eastAsia="zh-CN"/>
        </w:rPr>
        <w:t>39分</w:t>
      </w:r>
      <w:r>
        <w:rPr>
          <w:rFonts w:hint="eastAsia" w:ascii="仿宋" w:hAnsi="仿宋" w:eastAsia="仿宋"/>
          <w:sz w:val="32"/>
          <w:szCs w:val="32"/>
        </w:rPr>
        <w:t>。</w:t>
      </w:r>
    </w:p>
    <w:p w14:paraId="45501F66">
      <w:pPr>
        <w:keepNext w:val="0"/>
        <w:keepLines w:val="0"/>
        <w:pageBreakBefore w:val="0"/>
        <w:widowControl w:val="0"/>
        <w:kinsoku/>
        <w:wordWrap/>
        <w:overflowPunct/>
        <w:topLinePunct w:val="0"/>
        <w:autoSpaceDE/>
        <w:autoSpaceDN/>
        <w:bidi w:val="0"/>
        <w:spacing w:line="560" w:lineRule="exact"/>
        <w:ind w:right="0" w:firstLine="320" w:firstLineChars="100"/>
        <w:textAlignment w:val="auto"/>
        <w:outlineLvl w:val="9"/>
        <w:rPr>
          <w:rFonts w:ascii="仿宋" w:hAnsi="仿宋" w:eastAsia="仿宋" w:cs="楷体_GB2312"/>
          <w:b w:val="0"/>
          <w:bCs w:val="0"/>
          <w:sz w:val="32"/>
          <w:szCs w:val="32"/>
        </w:rPr>
      </w:pPr>
      <w:r>
        <w:rPr>
          <w:rFonts w:hint="eastAsia" w:ascii="仿宋" w:hAnsi="仿宋" w:eastAsia="仿宋" w:cs="楷体_GB2312"/>
          <w:b w:val="0"/>
          <w:bCs w:val="0"/>
          <w:sz w:val="32"/>
          <w:szCs w:val="32"/>
          <w:lang w:val="en-US" w:eastAsia="zh-CN"/>
        </w:rPr>
        <w:t>4、</w:t>
      </w:r>
      <w:r>
        <w:rPr>
          <w:rFonts w:hint="eastAsia" w:ascii="仿宋" w:hAnsi="仿宋" w:eastAsia="仿宋" w:cs="楷体_GB2312"/>
          <w:b w:val="0"/>
          <w:bCs w:val="0"/>
          <w:sz w:val="32"/>
          <w:szCs w:val="32"/>
        </w:rPr>
        <w:t>满意度</w:t>
      </w:r>
    </w:p>
    <w:p w14:paraId="0A5F079A">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ascii="仿宋" w:hAnsi="仿宋" w:eastAsia="仿宋" w:cs="楷体_GB2312"/>
          <w:b/>
          <w:bCs/>
          <w:sz w:val="32"/>
          <w:szCs w:val="32"/>
        </w:rPr>
      </w:pPr>
      <w:r>
        <w:rPr>
          <w:rFonts w:hint="eastAsia" w:ascii="仿宋" w:hAnsi="仿宋" w:eastAsia="仿宋"/>
          <w:sz w:val="32"/>
          <w:szCs w:val="32"/>
          <w:lang w:eastAsia="zh-CN"/>
        </w:rPr>
        <w:t>通过对该项目的</w:t>
      </w:r>
      <w:r>
        <w:rPr>
          <w:rFonts w:hint="eastAsia" w:ascii="仿宋" w:hAnsi="仿宋" w:eastAsia="仿宋"/>
          <w:sz w:val="32"/>
          <w:szCs w:val="32"/>
        </w:rPr>
        <w:t>服务对象满意度进行</w:t>
      </w:r>
      <w:r>
        <w:rPr>
          <w:rFonts w:hint="eastAsia" w:ascii="仿宋" w:hAnsi="仿宋" w:eastAsia="仿宋"/>
          <w:sz w:val="32"/>
          <w:szCs w:val="32"/>
          <w:lang w:eastAsia="zh-CN"/>
        </w:rPr>
        <w:t>调查</w:t>
      </w:r>
      <w:r>
        <w:rPr>
          <w:rFonts w:hint="eastAsia" w:ascii="仿宋" w:hAnsi="仿宋" w:eastAsia="仿宋"/>
          <w:sz w:val="32"/>
          <w:szCs w:val="32"/>
        </w:rPr>
        <w:t>，</w:t>
      </w:r>
      <w:r>
        <w:rPr>
          <w:rFonts w:hint="eastAsia" w:ascii="仿宋" w:hAnsi="仿宋" w:eastAsia="仿宋"/>
          <w:sz w:val="32"/>
          <w:szCs w:val="32"/>
          <w:lang w:eastAsia="zh-CN"/>
        </w:rPr>
        <w:t>满意率</w:t>
      </w:r>
      <w:r>
        <w:rPr>
          <w:rFonts w:hint="eastAsia" w:ascii="仿宋" w:hAnsi="仿宋" w:eastAsia="仿宋"/>
          <w:sz w:val="32"/>
          <w:szCs w:val="32"/>
          <w:lang w:val="en-US" w:eastAsia="zh-CN"/>
        </w:rPr>
        <w:t>96%，分值9分</w:t>
      </w:r>
      <w:r>
        <w:rPr>
          <w:rFonts w:hint="eastAsia" w:ascii="仿宋" w:hAnsi="仿宋" w:eastAsia="仿宋"/>
          <w:sz w:val="32"/>
          <w:szCs w:val="32"/>
        </w:rPr>
        <w:t>。</w:t>
      </w:r>
    </w:p>
    <w:p w14:paraId="6BB95285">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tbl>
      <w:tblPr>
        <w:tblStyle w:val="7"/>
        <w:tblpPr w:leftFromText="180" w:rightFromText="180" w:vertAnchor="text" w:horzAnchor="page" w:tblpX="1408" w:tblpY="584"/>
        <w:tblOverlap w:val="never"/>
        <w:tblW w:w="934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65"/>
        <w:gridCol w:w="1395"/>
        <w:gridCol w:w="1335"/>
        <w:gridCol w:w="1560"/>
        <w:gridCol w:w="1485"/>
        <w:gridCol w:w="900"/>
      </w:tblGrid>
      <w:tr w14:paraId="352DF9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tcPr>
          <w:p w14:paraId="6E35779A">
            <w:pPr>
              <w:snapToGrid w:val="0"/>
              <w:spacing w:line="360" w:lineRule="auto"/>
              <w:ind w:firstLine="720" w:firstLineChars="300"/>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项目名称</w:t>
            </w:r>
          </w:p>
        </w:tc>
        <w:tc>
          <w:tcPr>
            <w:tcW w:w="1395" w:type="dxa"/>
          </w:tcPr>
          <w:p w14:paraId="5B1FB483">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产出</w:t>
            </w:r>
            <w:r>
              <w:rPr>
                <w:rFonts w:hint="eastAsia" w:ascii="仿宋" w:hAnsi="仿宋" w:eastAsia="仿宋" w:cs="黑体"/>
                <w:sz w:val="24"/>
                <w:highlight w:val="none"/>
              </w:rPr>
              <w:t>指标</w:t>
            </w:r>
            <w:r>
              <w:rPr>
                <w:rFonts w:hint="eastAsia" w:ascii="仿宋" w:hAnsi="仿宋" w:eastAsia="仿宋" w:cs="黑体"/>
                <w:sz w:val="24"/>
                <w:highlight w:val="none"/>
                <w:lang w:eastAsia="zh-CN"/>
              </w:rPr>
              <w:t>完成得分情况</w:t>
            </w:r>
          </w:p>
        </w:tc>
        <w:tc>
          <w:tcPr>
            <w:tcW w:w="1335" w:type="dxa"/>
          </w:tcPr>
          <w:p w14:paraId="3A29DA00">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预算执行率指标完成得分情况</w:t>
            </w:r>
          </w:p>
        </w:tc>
        <w:tc>
          <w:tcPr>
            <w:tcW w:w="1560" w:type="dxa"/>
          </w:tcPr>
          <w:p w14:paraId="584567A7">
            <w:pPr>
              <w:snapToGrid w:val="0"/>
              <w:spacing w:line="360" w:lineRule="auto"/>
              <w:rPr>
                <w:rFonts w:ascii="仿宋" w:hAnsi="仿宋" w:eastAsia="仿宋" w:cs="黑体"/>
                <w:sz w:val="24"/>
                <w:highlight w:val="none"/>
              </w:rPr>
            </w:pPr>
            <w:r>
              <w:rPr>
                <w:rFonts w:hint="eastAsia" w:ascii="仿宋" w:hAnsi="仿宋" w:eastAsia="仿宋" w:cs="黑体"/>
                <w:sz w:val="24"/>
                <w:highlight w:val="none"/>
                <w:lang w:eastAsia="zh-CN"/>
              </w:rPr>
              <w:t>效益指标完成得分情况</w:t>
            </w:r>
          </w:p>
        </w:tc>
        <w:tc>
          <w:tcPr>
            <w:tcW w:w="1485" w:type="dxa"/>
          </w:tcPr>
          <w:p w14:paraId="66BBB040">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满意度指标完成得分情况</w:t>
            </w:r>
          </w:p>
        </w:tc>
        <w:tc>
          <w:tcPr>
            <w:tcW w:w="900" w:type="dxa"/>
          </w:tcPr>
          <w:p w14:paraId="5C5A7F37">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自评得分</w:t>
            </w:r>
          </w:p>
        </w:tc>
      </w:tr>
      <w:tr w14:paraId="682EE4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vAlign w:val="center"/>
          </w:tcPr>
          <w:p w14:paraId="50109DD4">
            <w:pPr>
              <w:snapToGrid w:val="0"/>
              <w:spacing w:line="360" w:lineRule="auto"/>
              <w:jc w:val="center"/>
              <w:rPr>
                <w:rFonts w:hint="eastAsia" w:ascii="仿宋" w:hAnsi="仿宋" w:eastAsia="仿宋" w:cs="黑体"/>
                <w:sz w:val="24"/>
                <w:highlight w:val="none"/>
                <w:lang w:eastAsia="zh-CN"/>
              </w:rPr>
            </w:pPr>
            <w:r>
              <w:rPr>
                <w:rFonts w:hint="eastAsia" w:ascii="仿宋" w:hAnsi="仿宋" w:eastAsia="仿宋" w:cs="黑体"/>
                <w:sz w:val="24"/>
                <w:highlight w:val="none"/>
                <w:lang w:val="en-US" w:eastAsia="zh-CN"/>
              </w:rPr>
              <w:t>1</w:t>
            </w:r>
            <w:r>
              <w:rPr>
                <w:rFonts w:hint="eastAsia" w:ascii="仿宋" w:hAnsi="仿宋" w:eastAsia="仿宋" w:cs="黑体"/>
                <w:sz w:val="24"/>
                <w:highlight w:val="none"/>
              </w:rPr>
              <w:t>、</w:t>
            </w:r>
            <w:r>
              <w:rPr>
                <w:rFonts w:hint="eastAsia" w:ascii="仿宋" w:hAnsi="仿宋" w:eastAsia="仿宋" w:cs="黑体"/>
                <w:sz w:val="24"/>
                <w:highlight w:val="none"/>
                <w:lang w:eastAsia="zh-CN"/>
              </w:rPr>
              <w:t>文艺联络交流经费</w:t>
            </w:r>
          </w:p>
        </w:tc>
        <w:tc>
          <w:tcPr>
            <w:tcW w:w="1395" w:type="dxa"/>
            <w:vAlign w:val="center"/>
          </w:tcPr>
          <w:p w14:paraId="4EE69E8C">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39</w:t>
            </w:r>
          </w:p>
        </w:tc>
        <w:tc>
          <w:tcPr>
            <w:tcW w:w="1335" w:type="dxa"/>
            <w:vAlign w:val="center"/>
          </w:tcPr>
          <w:p w14:paraId="428A9ECC">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1560" w:type="dxa"/>
            <w:vAlign w:val="center"/>
          </w:tcPr>
          <w:p w14:paraId="05BAEC64">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39</w:t>
            </w:r>
          </w:p>
        </w:tc>
        <w:tc>
          <w:tcPr>
            <w:tcW w:w="1485" w:type="dxa"/>
            <w:vAlign w:val="center"/>
          </w:tcPr>
          <w:p w14:paraId="6597F854">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w:t>
            </w:r>
          </w:p>
        </w:tc>
        <w:tc>
          <w:tcPr>
            <w:tcW w:w="900" w:type="dxa"/>
            <w:vAlign w:val="center"/>
          </w:tcPr>
          <w:p w14:paraId="5E8192B2">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97</w:t>
            </w:r>
          </w:p>
        </w:tc>
      </w:tr>
    </w:tbl>
    <w:p w14:paraId="25370B48">
      <w:pPr>
        <w:widowControl w:val="0"/>
        <w:wordWrap/>
        <w:adjustRightInd w:val="0"/>
        <w:snapToGrid w:val="0"/>
        <w:spacing w:line="560" w:lineRule="exact"/>
        <w:ind w:right="0"/>
        <w:textAlignment w:val="auto"/>
        <w:outlineLvl w:val="9"/>
        <w:rPr>
          <w:rFonts w:hint="eastAsia" w:ascii="仿宋" w:hAnsi="仿宋" w:eastAsia="仿宋"/>
          <w:sz w:val="32"/>
          <w:szCs w:val="32"/>
        </w:rPr>
      </w:pPr>
    </w:p>
    <w:p w14:paraId="6EC376A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eastAsia="zh-CN"/>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w:t>
      </w:r>
      <w:r>
        <w:rPr>
          <w:rFonts w:hint="eastAsia" w:ascii="仿宋" w:hAnsi="仿宋" w:eastAsia="仿宋"/>
          <w:sz w:val="32"/>
          <w:szCs w:val="32"/>
          <w:lang w:eastAsia="zh-CN"/>
        </w:rPr>
        <w:t>，并</w:t>
      </w:r>
      <w:r>
        <w:rPr>
          <w:rFonts w:hint="eastAsia" w:ascii="仿宋" w:hAnsi="仿宋" w:eastAsia="仿宋"/>
          <w:sz w:val="32"/>
          <w:szCs w:val="32"/>
        </w:rPr>
        <w:t>得出综合绩效评价等级。</w:t>
      </w:r>
      <w:r>
        <w:rPr>
          <w:rFonts w:hint="eastAsia" w:ascii="仿宋_GB2312" w:hAnsi="仿宋_GB2312" w:eastAsia="仿宋_GB2312" w:cs="仿宋_GB2312"/>
          <w:sz w:val="32"/>
          <w:szCs w:val="32"/>
          <w:highlight w:val="none"/>
          <w:lang w:eastAsia="zh-CN"/>
        </w:rPr>
        <w:t>部门整体支出综合绩效评价分为4个等级：得分≥85分为优秀；75≤得分＜85分为良好；60≤得分＜75分为一般；得分＜60分为较差。</w:t>
      </w:r>
      <w:r>
        <w:rPr>
          <w:rFonts w:hint="eastAsia" w:ascii="仿宋" w:hAnsi="仿宋" w:eastAsia="仿宋"/>
          <w:sz w:val="32"/>
          <w:szCs w:val="32"/>
          <w:lang w:eastAsia="zh-CN"/>
        </w:rPr>
        <w:t>我部门整体支出</w:t>
      </w:r>
      <w:r>
        <w:rPr>
          <w:rFonts w:hint="eastAsia" w:ascii="仿宋" w:hAnsi="仿宋" w:eastAsia="仿宋"/>
          <w:sz w:val="32"/>
          <w:szCs w:val="32"/>
        </w:rPr>
        <w:t>综合绩效评价</w:t>
      </w:r>
      <w:r>
        <w:rPr>
          <w:rFonts w:hint="eastAsia" w:ascii="仿宋" w:hAnsi="仿宋" w:eastAsia="仿宋"/>
          <w:sz w:val="32"/>
          <w:szCs w:val="32"/>
          <w:lang w:eastAsia="zh-CN"/>
        </w:rPr>
        <w:t>得分</w:t>
      </w:r>
      <w:r>
        <w:rPr>
          <w:rFonts w:hint="eastAsia" w:ascii="仿宋" w:hAnsi="仿宋" w:eastAsia="仿宋"/>
          <w:sz w:val="32"/>
          <w:szCs w:val="32"/>
          <w:lang w:val="en-US" w:eastAsia="zh-CN"/>
        </w:rPr>
        <w:t>97分，</w:t>
      </w:r>
      <w:r>
        <w:rPr>
          <w:rFonts w:hint="eastAsia" w:ascii="仿宋" w:hAnsi="仿宋" w:eastAsia="仿宋"/>
          <w:sz w:val="32"/>
          <w:szCs w:val="32"/>
        </w:rPr>
        <w:t>绩效评价等级</w:t>
      </w:r>
      <w:r>
        <w:rPr>
          <w:rFonts w:hint="eastAsia" w:ascii="仿宋" w:hAnsi="仿宋" w:eastAsia="仿宋"/>
          <w:sz w:val="32"/>
          <w:szCs w:val="32"/>
          <w:lang w:eastAsia="zh-CN"/>
        </w:rPr>
        <w:t>为</w:t>
      </w:r>
      <w:r>
        <w:rPr>
          <w:rFonts w:hint="eastAsia" w:ascii="仿宋" w:hAnsi="仿宋" w:eastAsia="仿宋"/>
          <w:sz w:val="32"/>
          <w:szCs w:val="32"/>
          <w:lang w:val="en-US" w:eastAsia="zh-CN"/>
        </w:rPr>
        <w:t>优秀。</w:t>
      </w:r>
    </w:p>
    <w:p w14:paraId="32129DE3">
      <w:pPr>
        <w:keepNext w:val="0"/>
        <w:keepLines w:val="0"/>
        <w:pageBreakBefore w:val="0"/>
        <w:widowControl w:val="0"/>
        <w:numPr>
          <w:ilvl w:val="0"/>
          <w:numId w:val="5"/>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74A013D1">
      <w:pPr>
        <w:keepNext w:val="0"/>
        <w:keepLines w:val="0"/>
        <w:pageBreakBefore w:val="0"/>
        <w:widowControl w:val="0"/>
        <w:numPr>
          <w:ilvl w:val="0"/>
          <w:numId w:val="6"/>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14:paraId="6E5A50FC">
      <w:pPr>
        <w:pStyle w:val="2"/>
        <w:numPr>
          <w:ilvl w:val="0"/>
          <w:numId w:val="0"/>
        </w:numPr>
        <w:ind w:firstLine="640" w:firstLineChars="200"/>
        <w:rPr>
          <w:rFonts w:hint="eastAsia"/>
        </w:rPr>
      </w:pPr>
      <w:r>
        <w:rPr>
          <w:rFonts w:hint="eastAsia"/>
          <w:lang w:val="en-US" w:eastAsia="zh-CN"/>
        </w:rPr>
        <w:t>我部门2024年度绩效目标全部按时完成，在绩效评价工作过程中，我部门预算绩效管理评价工作小组发现，有个别项目年初绩效指标设定还是较为简单、不够全面、不易评价，不够详尽。</w:t>
      </w:r>
    </w:p>
    <w:p w14:paraId="1E0F5BFC">
      <w:pPr>
        <w:keepNext w:val="0"/>
        <w:keepLines w:val="0"/>
        <w:pageBreakBefore w:val="0"/>
        <w:widowControl w:val="0"/>
        <w:numPr>
          <w:ilvl w:val="0"/>
          <w:numId w:val="6"/>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14:paraId="099964F7">
      <w:pPr>
        <w:pStyle w:val="2"/>
        <w:ind w:firstLine="640" w:firstLineChars="200"/>
        <w:rPr>
          <w:rFonts w:hint="eastAsia"/>
        </w:rPr>
      </w:pPr>
      <w:r>
        <w:rPr>
          <w:rFonts w:hint="eastAsia"/>
          <w:sz w:val="32"/>
          <w:lang w:val="en-US" w:eastAsia="zh-CN"/>
        </w:rPr>
        <w:t>在今后的年度预算工作中将进行进一步加强对绩效管理工作的组织领导，提高于部职工对绩效自评的认识，完善工作方法，及时发现项目运行过程中出现的问题并加以改进，争取建立更加科学合理全面的绩效评价体系。</w:t>
      </w:r>
    </w:p>
    <w:p w14:paraId="4360E7CD">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8"/>
        <w:tblpPr w:leftFromText="180" w:rightFromText="180" w:vertAnchor="text" w:horzAnchor="page" w:tblpX="1962" w:tblpY="668"/>
        <w:tblOverlap w:val="never"/>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4"/>
        <w:gridCol w:w="1704"/>
        <w:gridCol w:w="1704"/>
        <w:gridCol w:w="1705"/>
        <w:gridCol w:w="1705"/>
      </w:tblGrid>
      <w:tr w14:paraId="47A27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704" w:type="dxa"/>
            <w:noWrap w:val="0"/>
            <w:vAlign w:val="center"/>
          </w:tcPr>
          <w:p w14:paraId="47804E58">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序号</w:t>
            </w:r>
          </w:p>
        </w:tc>
        <w:tc>
          <w:tcPr>
            <w:tcW w:w="1704" w:type="dxa"/>
            <w:noWrap w:val="0"/>
            <w:vAlign w:val="center"/>
          </w:tcPr>
          <w:p w14:paraId="431D6081">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姓名</w:t>
            </w:r>
          </w:p>
        </w:tc>
        <w:tc>
          <w:tcPr>
            <w:tcW w:w="1704" w:type="dxa"/>
            <w:noWrap w:val="0"/>
            <w:vAlign w:val="center"/>
          </w:tcPr>
          <w:p w14:paraId="744D0CE8">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工作单位</w:t>
            </w:r>
          </w:p>
        </w:tc>
        <w:tc>
          <w:tcPr>
            <w:tcW w:w="1705" w:type="dxa"/>
            <w:noWrap w:val="0"/>
            <w:vAlign w:val="center"/>
          </w:tcPr>
          <w:p w14:paraId="54D5F4A2">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职务</w:t>
            </w:r>
          </w:p>
        </w:tc>
        <w:tc>
          <w:tcPr>
            <w:tcW w:w="1705" w:type="dxa"/>
            <w:noWrap w:val="0"/>
            <w:vAlign w:val="center"/>
          </w:tcPr>
          <w:p w14:paraId="12543CA3">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签字</w:t>
            </w:r>
          </w:p>
        </w:tc>
      </w:tr>
      <w:tr w14:paraId="6B0B8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1704" w:type="dxa"/>
            <w:noWrap w:val="0"/>
            <w:vAlign w:val="center"/>
          </w:tcPr>
          <w:p w14:paraId="085E5BB5">
            <w:pPr>
              <w:numPr>
                <w:ilvl w:val="0"/>
                <w:numId w:val="0"/>
              </w:numPr>
              <w:adjustRightInd w:val="0"/>
              <w:snapToGrid w:val="0"/>
              <w:spacing w:line="360" w:lineRule="auto"/>
              <w:jc w:val="center"/>
              <w:rPr>
                <w:rFonts w:hint="eastAsia"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1</w:t>
            </w:r>
          </w:p>
        </w:tc>
        <w:tc>
          <w:tcPr>
            <w:tcW w:w="1704" w:type="dxa"/>
            <w:noWrap w:val="0"/>
            <w:vAlign w:val="center"/>
          </w:tcPr>
          <w:p w14:paraId="0FE63758">
            <w:pPr>
              <w:numPr>
                <w:ilvl w:val="0"/>
                <w:numId w:val="0"/>
              </w:numPr>
              <w:adjustRightInd w:val="0"/>
              <w:snapToGrid w:val="0"/>
              <w:spacing w:line="360" w:lineRule="auto"/>
              <w:jc w:val="center"/>
              <w:rPr>
                <w:rFonts w:hint="eastAsia"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王敏</w:t>
            </w:r>
          </w:p>
        </w:tc>
        <w:tc>
          <w:tcPr>
            <w:tcW w:w="1704" w:type="dxa"/>
            <w:noWrap w:val="0"/>
            <w:vAlign w:val="center"/>
          </w:tcPr>
          <w:p w14:paraId="75485435">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区文联</w:t>
            </w:r>
          </w:p>
        </w:tc>
        <w:tc>
          <w:tcPr>
            <w:tcW w:w="1705" w:type="dxa"/>
            <w:noWrap w:val="0"/>
            <w:vAlign w:val="center"/>
          </w:tcPr>
          <w:p w14:paraId="38A6D9D7">
            <w:pPr>
              <w:numPr>
                <w:ilvl w:val="0"/>
                <w:numId w:val="0"/>
              </w:numPr>
              <w:adjustRightInd w:val="0"/>
              <w:snapToGrid w:val="0"/>
              <w:spacing w:line="360" w:lineRule="auto"/>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党组书记、主席</w:t>
            </w:r>
          </w:p>
        </w:tc>
        <w:tc>
          <w:tcPr>
            <w:tcW w:w="1705" w:type="dxa"/>
            <w:noWrap w:val="0"/>
            <w:vAlign w:val="center"/>
          </w:tcPr>
          <w:p w14:paraId="666AEA45">
            <w:pPr>
              <w:numPr>
                <w:ilvl w:val="0"/>
                <w:numId w:val="0"/>
              </w:numPr>
              <w:adjustRightInd w:val="0"/>
              <w:snapToGrid w:val="0"/>
              <w:spacing w:line="360" w:lineRule="auto"/>
              <w:jc w:val="center"/>
              <w:rPr>
                <w:rFonts w:hint="eastAsia" w:ascii="仿宋" w:hAnsi="仿宋" w:eastAsia="仿宋" w:cs="仿宋"/>
                <w:sz w:val="30"/>
                <w:szCs w:val="30"/>
                <w:vertAlign w:val="baseline"/>
              </w:rPr>
            </w:pPr>
          </w:p>
        </w:tc>
      </w:tr>
      <w:tr w14:paraId="6B74E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1704" w:type="dxa"/>
            <w:noWrap w:val="0"/>
            <w:vAlign w:val="center"/>
          </w:tcPr>
          <w:p w14:paraId="476FDC9E">
            <w:pPr>
              <w:numPr>
                <w:ilvl w:val="0"/>
                <w:numId w:val="0"/>
              </w:numPr>
              <w:adjustRightInd w:val="0"/>
              <w:snapToGrid w:val="0"/>
              <w:spacing w:line="360" w:lineRule="auto"/>
              <w:ind w:left="0" w:leftChars="0" w:firstLine="0" w:firstLineChars="0"/>
              <w:jc w:val="center"/>
              <w:rPr>
                <w:rFonts w:hint="default"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2</w:t>
            </w:r>
          </w:p>
        </w:tc>
        <w:tc>
          <w:tcPr>
            <w:tcW w:w="1704" w:type="dxa"/>
            <w:noWrap w:val="0"/>
            <w:vAlign w:val="center"/>
          </w:tcPr>
          <w:p w14:paraId="046B93B0">
            <w:pPr>
              <w:numPr>
                <w:ilvl w:val="0"/>
                <w:numId w:val="0"/>
              </w:numPr>
              <w:adjustRightInd w:val="0"/>
              <w:snapToGrid w:val="0"/>
              <w:spacing w:line="360" w:lineRule="auto"/>
              <w:ind w:left="0" w:leftChars="0" w:firstLine="0" w:firstLineChars="0"/>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杜宏军</w:t>
            </w:r>
          </w:p>
        </w:tc>
        <w:tc>
          <w:tcPr>
            <w:tcW w:w="1704" w:type="dxa"/>
            <w:noWrap w:val="0"/>
            <w:vAlign w:val="center"/>
          </w:tcPr>
          <w:p w14:paraId="510FD9AA">
            <w:pPr>
              <w:numPr>
                <w:ilvl w:val="0"/>
                <w:numId w:val="0"/>
              </w:numPr>
              <w:adjustRightInd w:val="0"/>
              <w:snapToGrid w:val="0"/>
              <w:spacing w:line="360" w:lineRule="auto"/>
              <w:ind w:left="0" w:leftChars="0" w:firstLine="0" w:firstLineChars="0"/>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区文联</w:t>
            </w:r>
          </w:p>
        </w:tc>
        <w:tc>
          <w:tcPr>
            <w:tcW w:w="1705" w:type="dxa"/>
            <w:noWrap w:val="0"/>
            <w:vAlign w:val="center"/>
          </w:tcPr>
          <w:p w14:paraId="793AEC67">
            <w:pPr>
              <w:numPr>
                <w:ilvl w:val="0"/>
                <w:numId w:val="0"/>
              </w:numPr>
              <w:adjustRightInd w:val="0"/>
              <w:snapToGrid w:val="0"/>
              <w:spacing w:line="360" w:lineRule="auto"/>
              <w:ind w:left="0" w:leftChars="0" w:firstLine="0" w:firstLineChars="0"/>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党组成员、副主席</w:t>
            </w:r>
          </w:p>
        </w:tc>
        <w:tc>
          <w:tcPr>
            <w:tcW w:w="1705" w:type="dxa"/>
            <w:noWrap w:val="0"/>
            <w:vAlign w:val="center"/>
          </w:tcPr>
          <w:p w14:paraId="02B41A73">
            <w:pPr>
              <w:numPr>
                <w:ilvl w:val="0"/>
                <w:numId w:val="0"/>
              </w:numPr>
              <w:adjustRightInd w:val="0"/>
              <w:snapToGrid w:val="0"/>
              <w:spacing w:line="360" w:lineRule="auto"/>
              <w:jc w:val="center"/>
              <w:rPr>
                <w:rFonts w:hint="eastAsia" w:ascii="仿宋" w:hAnsi="仿宋" w:eastAsia="仿宋" w:cs="仿宋"/>
                <w:sz w:val="30"/>
                <w:szCs w:val="30"/>
                <w:vertAlign w:val="baseline"/>
              </w:rPr>
            </w:pPr>
          </w:p>
        </w:tc>
      </w:tr>
      <w:tr w14:paraId="4D6DA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center"/>
          </w:tcPr>
          <w:p w14:paraId="07923C83">
            <w:pPr>
              <w:numPr>
                <w:ilvl w:val="0"/>
                <w:numId w:val="0"/>
              </w:numPr>
              <w:adjustRightInd w:val="0"/>
              <w:snapToGrid w:val="0"/>
              <w:spacing w:line="360" w:lineRule="auto"/>
              <w:jc w:val="center"/>
              <w:rPr>
                <w:rFonts w:hint="default"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3</w:t>
            </w:r>
          </w:p>
        </w:tc>
        <w:tc>
          <w:tcPr>
            <w:tcW w:w="1704" w:type="dxa"/>
            <w:noWrap w:val="0"/>
            <w:vAlign w:val="center"/>
          </w:tcPr>
          <w:p w14:paraId="7C10F2D3">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魏颖宁</w:t>
            </w:r>
          </w:p>
        </w:tc>
        <w:tc>
          <w:tcPr>
            <w:tcW w:w="1704" w:type="dxa"/>
            <w:noWrap w:val="0"/>
            <w:vAlign w:val="center"/>
          </w:tcPr>
          <w:p w14:paraId="540DC892">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区文联</w:t>
            </w:r>
          </w:p>
        </w:tc>
        <w:tc>
          <w:tcPr>
            <w:tcW w:w="1705" w:type="dxa"/>
            <w:noWrap w:val="0"/>
            <w:vAlign w:val="center"/>
          </w:tcPr>
          <w:p w14:paraId="088EE280">
            <w:pPr>
              <w:numPr>
                <w:ilvl w:val="0"/>
                <w:numId w:val="0"/>
              </w:numPr>
              <w:adjustRightInd w:val="0"/>
              <w:snapToGrid w:val="0"/>
              <w:spacing w:line="360" w:lineRule="auto"/>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党组成员、办公室主任</w:t>
            </w:r>
          </w:p>
        </w:tc>
        <w:tc>
          <w:tcPr>
            <w:tcW w:w="1705" w:type="dxa"/>
            <w:noWrap w:val="0"/>
            <w:vAlign w:val="center"/>
          </w:tcPr>
          <w:p w14:paraId="1EB7E86D">
            <w:pPr>
              <w:numPr>
                <w:ilvl w:val="0"/>
                <w:numId w:val="0"/>
              </w:numPr>
              <w:adjustRightInd w:val="0"/>
              <w:snapToGrid w:val="0"/>
              <w:spacing w:line="360" w:lineRule="auto"/>
              <w:jc w:val="center"/>
              <w:rPr>
                <w:rFonts w:hint="eastAsia" w:ascii="仿宋" w:hAnsi="仿宋" w:eastAsia="仿宋" w:cs="仿宋"/>
                <w:sz w:val="30"/>
                <w:szCs w:val="30"/>
                <w:vertAlign w:val="baseline"/>
              </w:rPr>
            </w:pPr>
          </w:p>
        </w:tc>
      </w:tr>
      <w:tr w14:paraId="6951B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8" w:hRule="atLeast"/>
        </w:trPr>
        <w:tc>
          <w:tcPr>
            <w:tcW w:w="1704" w:type="dxa"/>
            <w:noWrap w:val="0"/>
            <w:vAlign w:val="center"/>
          </w:tcPr>
          <w:p w14:paraId="702A1155">
            <w:pPr>
              <w:numPr>
                <w:ilvl w:val="0"/>
                <w:numId w:val="0"/>
              </w:numPr>
              <w:adjustRightInd w:val="0"/>
              <w:snapToGrid w:val="0"/>
              <w:spacing w:line="360" w:lineRule="auto"/>
              <w:jc w:val="center"/>
              <w:rPr>
                <w:rFonts w:hint="eastAsia"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4</w:t>
            </w:r>
          </w:p>
        </w:tc>
        <w:tc>
          <w:tcPr>
            <w:tcW w:w="1704" w:type="dxa"/>
            <w:noWrap w:val="0"/>
            <w:vAlign w:val="center"/>
          </w:tcPr>
          <w:p w14:paraId="2D102EF7">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李荣霞</w:t>
            </w:r>
          </w:p>
        </w:tc>
        <w:tc>
          <w:tcPr>
            <w:tcW w:w="1704" w:type="dxa"/>
            <w:noWrap w:val="0"/>
            <w:vAlign w:val="center"/>
          </w:tcPr>
          <w:p w14:paraId="7C77DE53">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区文联</w:t>
            </w:r>
          </w:p>
        </w:tc>
        <w:tc>
          <w:tcPr>
            <w:tcW w:w="1705" w:type="dxa"/>
            <w:noWrap w:val="0"/>
            <w:vAlign w:val="center"/>
          </w:tcPr>
          <w:p w14:paraId="5440B844">
            <w:pPr>
              <w:numPr>
                <w:ilvl w:val="0"/>
                <w:numId w:val="0"/>
              </w:numPr>
              <w:adjustRightInd w:val="0"/>
              <w:snapToGrid w:val="0"/>
              <w:spacing w:line="360" w:lineRule="auto"/>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财务人员</w:t>
            </w:r>
          </w:p>
        </w:tc>
        <w:tc>
          <w:tcPr>
            <w:tcW w:w="1705" w:type="dxa"/>
            <w:noWrap w:val="0"/>
            <w:vAlign w:val="center"/>
          </w:tcPr>
          <w:p w14:paraId="37B70E96">
            <w:pPr>
              <w:numPr>
                <w:ilvl w:val="0"/>
                <w:numId w:val="0"/>
              </w:numPr>
              <w:adjustRightInd w:val="0"/>
              <w:snapToGrid w:val="0"/>
              <w:spacing w:line="360" w:lineRule="auto"/>
              <w:jc w:val="center"/>
              <w:rPr>
                <w:rFonts w:hint="eastAsia" w:ascii="仿宋" w:hAnsi="仿宋" w:eastAsia="仿宋" w:cs="仿宋"/>
                <w:sz w:val="30"/>
                <w:szCs w:val="30"/>
                <w:vertAlign w:val="baseline"/>
              </w:rPr>
            </w:pPr>
          </w:p>
        </w:tc>
      </w:tr>
    </w:tbl>
    <w:p w14:paraId="140E84A7">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小标宋简体">
    <w:altName w:val="方正舒体"/>
    <w:panose1 w:val="02000000000000000000"/>
    <w:charset w:val="86"/>
    <w:family w:val="auto"/>
    <w:pitch w:val="default"/>
    <w:sig w:usb0="00000000" w:usb1="00000000" w:usb2="00000012" w:usb3="00000000" w:csb0="00040001" w:csb1="00000000"/>
  </w:font>
  <w:font w:name="Arial Unicode MS">
    <w:altName w:val="宋体"/>
    <w:panose1 w:val="020B0604020202020204"/>
    <w:charset w:val="86"/>
    <w:family w:val="auto"/>
    <w:pitch w:val="default"/>
    <w:sig w:usb0="00000000" w:usb1="00000000" w:usb2="0000003F" w:usb3="00000000" w:csb0="603F01FF" w:csb1="FFFF0000"/>
  </w:font>
  <w:font w:name="仿宋">
    <w:panose1 w:val="02010609060101010101"/>
    <w:charset w:val="86"/>
    <w:family w:val="auto"/>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99F1B8">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D11840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4D11840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9EDB09">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FCCCFE"/>
    <w:multiLevelType w:val="singleLevel"/>
    <w:tmpl w:val="88FCCCFE"/>
    <w:lvl w:ilvl="0" w:tentative="0">
      <w:start w:val="1"/>
      <w:numFmt w:val="decimal"/>
      <w:suff w:val="nothing"/>
      <w:lvlText w:val="%1、"/>
      <w:lvlJc w:val="left"/>
    </w:lvl>
  </w:abstractNum>
  <w:abstractNum w:abstractNumId="1">
    <w:nsid w:val="92712C47"/>
    <w:multiLevelType w:val="singleLevel"/>
    <w:tmpl w:val="92712C47"/>
    <w:lvl w:ilvl="0" w:tentative="0">
      <w:start w:val="2"/>
      <w:numFmt w:val="chineseCounting"/>
      <w:suff w:val="nothing"/>
      <w:lvlText w:val="（%1）"/>
      <w:lvlJc w:val="left"/>
      <w:rPr>
        <w:rFonts w:hint="eastAsia"/>
      </w:rPr>
    </w:lvl>
  </w:abstractNum>
  <w:abstractNum w:abstractNumId="2">
    <w:nsid w:val="98E0822F"/>
    <w:multiLevelType w:val="singleLevel"/>
    <w:tmpl w:val="98E0822F"/>
    <w:lvl w:ilvl="0" w:tentative="0">
      <w:start w:val="2"/>
      <w:numFmt w:val="chineseCounting"/>
      <w:suff w:val="nothing"/>
      <w:lvlText w:val="%1、"/>
      <w:lvlJc w:val="left"/>
      <w:rPr>
        <w:rFonts w:hint="eastAsia"/>
      </w:rPr>
    </w:lvl>
  </w:abstractNum>
  <w:abstractNum w:abstractNumId="3">
    <w:nsid w:val="A35F25B5"/>
    <w:multiLevelType w:val="singleLevel"/>
    <w:tmpl w:val="A35F25B5"/>
    <w:lvl w:ilvl="0" w:tentative="0">
      <w:start w:val="1"/>
      <w:numFmt w:val="chineseCounting"/>
      <w:suff w:val="nothing"/>
      <w:lvlText w:val="（%1）"/>
      <w:lvlJc w:val="left"/>
      <w:rPr>
        <w:rFonts w:hint="eastAsia"/>
      </w:rPr>
    </w:lvl>
  </w:abstractNum>
  <w:abstractNum w:abstractNumId="4">
    <w:nsid w:val="330718AF"/>
    <w:multiLevelType w:val="singleLevel"/>
    <w:tmpl w:val="330718AF"/>
    <w:lvl w:ilvl="0" w:tentative="0">
      <w:start w:val="5"/>
      <w:numFmt w:val="chineseCounting"/>
      <w:suff w:val="nothing"/>
      <w:lvlText w:val="%1、"/>
      <w:lvlJc w:val="left"/>
      <w:rPr>
        <w:rFonts w:hint="eastAsia"/>
      </w:rPr>
    </w:lvl>
  </w:abstractNum>
  <w:abstractNum w:abstractNumId="5">
    <w:nsid w:val="56BDA001"/>
    <w:multiLevelType w:val="singleLevel"/>
    <w:tmpl w:val="56BDA001"/>
    <w:lvl w:ilvl="0" w:tentative="0">
      <w:start w:val="1"/>
      <w:numFmt w:val="chineseCounting"/>
      <w:suff w:val="nothing"/>
      <w:lvlText w:val="（%1）"/>
      <w:lvlJc w:val="left"/>
      <w:rPr>
        <w:rFonts w:hint="eastAsia"/>
      </w:rPr>
    </w:lvl>
  </w:abstractNum>
  <w:num w:numId="1">
    <w:abstractNumId w:val="0"/>
  </w:num>
  <w:num w:numId="2">
    <w:abstractNumId w:val="1"/>
  </w:num>
  <w:num w:numId="3">
    <w:abstractNumId w:val="2"/>
  </w:num>
  <w:num w:numId="4">
    <w:abstractNumId w:val="5"/>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E2ZDVhYjFkNzNmZjA0ZTExM2M2ODcxZGVjNWRjNGE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975E0"/>
    <w:rsid w:val="00CE156F"/>
    <w:rsid w:val="00DA58E7"/>
    <w:rsid w:val="00DE50A2"/>
    <w:rsid w:val="00DF6FF4"/>
    <w:rsid w:val="00E03726"/>
    <w:rsid w:val="00E17D5D"/>
    <w:rsid w:val="00E61BFC"/>
    <w:rsid w:val="00E841B7"/>
    <w:rsid w:val="00ED5E84"/>
    <w:rsid w:val="00EF16A3"/>
    <w:rsid w:val="00F57E52"/>
    <w:rsid w:val="00FB4297"/>
    <w:rsid w:val="01154EDD"/>
    <w:rsid w:val="03991F18"/>
    <w:rsid w:val="055B525F"/>
    <w:rsid w:val="13B61930"/>
    <w:rsid w:val="14F43330"/>
    <w:rsid w:val="18C379AA"/>
    <w:rsid w:val="1A3B21A2"/>
    <w:rsid w:val="1BAF1154"/>
    <w:rsid w:val="1C655171"/>
    <w:rsid w:val="1D4131C0"/>
    <w:rsid w:val="1FCD2D0E"/>
    <w:rsid w:val="20276775"/>
    <w:rsid w:val="20EB5584"/>
    <w:rsid w:val="21457415"/>
    <w:rsid w:val="26B75F6B"/>
    <w:rsid w:val="272440B4"/>
    <w:rsid w:val="28C74477"/>
    <w:rsid w:val="2F2C2A40"/>
    <w:rsid w:val="2FBB5CAE"/>
    <w:rsid w:val="2FFB1EFC"/>
    <w:rsid w:val="30A721FB"/>
    <w:rsid w:val="344704E1"/>
    <w:rsid w:val="35466FCB"/>
    <w:rsid w:val="357B093C"/>
    <w:rsid w:val="37A30E83"/>
    <w:rsid w:val="39744C0B"/>
    <w:rsid w:val="39B85B8B"/>
    <w:rsid w:val="3A7963F7"/>
    <w:rsid w:val="3AEF6FE7"/>
    <w:rsid w:val="3E110050"/>
    <w:rsid w:val="441F3676"/>
    <w:rsid w:val="493B718D"/>
    <w:rsid w:val="4F9841CB"/>
    <w:rsid w:val="50273148"/>
    <w:rsid w:val="51700AB9"/>
    <w:rsid w:val="53A42ADD"/>
    <w:rsid w:val="541C6B97"/>
    <w:rsid w:val="563B01B4"/>
    <w:rsid w:val="56604927"/>
    <w:rsid w:val="57B5214B"/>
    <w:rsid w:val="590F0BE0"/>
    <w:rsid w:val="59623A34"/>
    <w:rsid w:val="596329A7"/>
    <w:rsid w:val="5995289A"/>
    <w:rsid w:val="5AA54C79"/>
    <w:rsid w:val="5C4A315B"/>
    <w:rsid w:val="5E2B2224"/>
    <w:rsid w:val="63C45C0B"/>
    <w:rsid w:val="65DF3295"/>
    <w:rsid w:val="661D3074"/>
    <w:rsid w:val="68A701C9"/>
    <w:rsid w:val="6B1C1E0E"/>
    <w:rsid w:val="6BDE7164"/>
    <w:rsid w:val="72FE1DE6"/>
    <w:rsid w:val="757325E3"/>
    <w:rsid w:val="788A3AA0"/>
    <w:rsid w:val="79B85E15"/>
    <w:rsid w:val="79BD614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qFormat="1"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Body Text"/>
    <w:basedOn w:val="1"/>
    <w:qFormat/>
    <w:uiPriority w:val="0"/>
    <w:rPr>
      <w:rFonts w:ascii="仿宋_GB2312" w:hAnsi="仿宋_GB2312" w:eastAsia="仿宋_GB2312" w:cs="仿宋_GB2312"/>
      <w:sz w:val="32"/>
      <w:szCs w:val="32"/>
      <w:lang w:val="zh-CN"/>
    </w:r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2"/>
    <w:basedOn w:val="1"/>
    <w:next w:val="1"/>
    <w:qFormat/>
    <w:uiPriority w:val="0"/>
    <w:pPr>
      <w:kinsoku w:val="0"/>
      <w:overflowPunct w:val="0"/>
      <w:autoSpaceDE w:val="0"/>
      <w:autoSpaceDN w:val="0"/>
      <w:spacing w:line="20" w:lineRule="exact"/>
      <w:ind w:firstLine="640" w:firstLineChars="200"/>
    </w:pPr>
    <w:rPr>
      <w:rFonts w:ascii="楷体_GB2312" w:hAnsi="黑体" w:eastAsia="楷体_GB2312" w:cs="楷体_GB2312"/>
      <w:kern w:val="0"/>
      <w:sz w:val="32"/>
      <w:szCs w:val="32"/>
    </w:rPr>
  </w:style>
  <w:style w:type="paragraph" w:styleId="6">
    <w:name w:val="Normal (Web)"/>
    <w:basedOn w:val="1"/>
    <w:qFormat/>
    <w:uiPriority w:val="0"/>
    <w:pPr>
      <w:widowControl/>
      <w:spacing w:before="100" w:beforeAutospacing="1" w:after="100" w:afterAutospacing="1"/>
      <w:jc w:val="left"/>
    </w:pPr>
    <w:rPr>
      <w:rFonts w:ascii="宋体" w:hAnsi="宋体" w:cs="宋体"/>
      <w:kern w:val="0"/>
      <w:sz w:val="24"/>
    </w:rPr>
  </w:style>
  <w:style w:type="table" w:styleId="8">
    <w:name w:val="Table Grid"/>
    <w:basedOn w:val="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
    <w:name w:val="页眉 Char"/>
    <w:basedOn w:val="9"/>
    <w:link w:val="4"/>
    <w:qFormat/>
    <w:uiPriority w:val="99"/>
    <w:rPr>
      <w:sz w:val="18"/>
      <w:szCs w:val="18"/>
    </w:rPr>
  </w:style>
  <w:style w:type="character" w:customStyle="1" w:styleId="11">
    <w:name w:val="页脚 Char"/>
    <w:basedOn w:val="9"/>
    <w:link w:val="3"/>
    <w:qFormat/>
    <w:uiPriority w:val="99"/>
    <w:rPr>
      <w:sz w:val="18"/>
      <w:szCs w:val="18"/>
    </w:rPr>
  </w:style>
  <w:style w:type="paragraph" w:customStyle="1" w:styleId="12">
    <w:name w:val="Normal Indent1"/>
    <w:basedOn w:val="1"/>
    <w:qFormat/>
    <w:uiPriority w:val="0"/>
    <w:pPr>
      <w:ind w:firstLine="420" w:firstLineChars="200"/>
    </w:pPr>
  </w:style>
  <w:style w:type="paragraph" w:customStyle="1" w:styleId="13">
    <w:name w:val="正文 New"/>
    <w:qFormat/>
    <w:uiPriority w:val="0"/>
    <w:pPr>
      <w:widowControl w:val="0"/>
      <w:jc w:val="both"/>
    </w:pPr>
    <w:rPr>
      <w:rFonts w:ascii="Calibri" w:hAnsi="Calibri"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11</Pages>
  <Words>4978</Words>
  <Characters>5138</Characters>
  <Lines>3</Lines>
  <Paragraphs>1</Paragraphs>
  <TotalTime>14</TotalTime>
  <ScaleCrop>false</ScaleCrop>
  <LinksUpToDate>false</LinksUpToDate>
  <CharactersWithSpaces>5148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13323011735</cp:lastModifiedBy>
  <cp:lastPrinted>2021-02-24T05:43:00Z</cp:lastPrinted>
  <dcterms:modified xsi:type="dcterms:W3CDTF">2025-05-16T07:41:14Z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28C64EFCB758481798A31117B3E7B5E3</vt:lpwstr>
  </property>
  <property fmtid="{D5CDD505-2E9C-101B-9397-08002B2CF9AE}" pid="4" name="KSOTemplateDocerSaveRecord">
    <vt:lpwstr>eyJoZGlkIjoiZWFiZDA5ODMyMjczYmM0MDUyYjk1NDhmMzg4ZjdmODkiLCJ1c2VySWQiOiIxNTUwMjQwMDk2In0=</vt:lpwstr>
  </property>
</Properties>
</file>