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714015">
      <w:pPr>
        <w:adjustRightInd w:val="0"/>
        <w:snapToGrid w:val="0"/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25995F73">
      <w:pPr>
        <w:adjustRightInd w:val="0"/>
        <w:snapToGrid w:val="0"/>
        <w:spacing w:line="560" w:lineRule="exact"/>
        <w:rPr>
          <w:rFonts w:ascii="黑体" w:hAnsi="黑体" w:eastAsia="黑体" w:cs="黑体"/>
          <w:sz w:val="32"/>
          <w:szCs w:val="32"/>
        </w:rPr>
      </w:pPr>
    </w:p>
    <w:p w14:paraId="0CF4956D">
      <w:pPr>
        <w:snapToGrid w:val="0"/>
        <w:spacing w:line="560" w:lineRule="exact"/>
        <w:jc w:val="center"/>
        <w:rPr>
          <w:rFonts w:ascii="微软雅黑" w:hAnsi="微软雅黑" w:eastAsia="微软雅黑" w:cs="微软雅黑"/>
          <w:sz w:val="44"/>
          <w:szCs w:val="44"/>
        </w:rPr>
      </w:pPr>
      <w:r>
        <w:rPr>
          <w:rFonts w:hint="eastAsia" w:ascii="微软雅黑" w:hAnsi="微软雅黑" w:eastAsia="微软雅黑" w:cs="微软雅黑"/>
          <w:sz w:val="44"/>
          <w:szCs w:val="44"/>
        </w:rPr>
        <w:t>石家庄市藁城区供销合作总社</w:t>
      </w:r>
    </w:p>
    <w:p w14:paraId="2D559DC5">
      <w:pPr>
        <w:snapToGrid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微软雅黑" w:hAnsi="微软雅黑" w:eastAsia="微软雅黑" w:cs="微软雅黑"/>
          <w:sz w:val="44"/>
          <w:szCs w:val="44"/>
        </w:rPr>
        <w:t>2024年度整体支出绩效自评报告</w:t>
      </w:r>
    </w:p>
    <w:p w14:paraId="16A51E76">
      <w:pPr>
        <w:snapToGrid w:val="0"/>
        <w:spacing w:line="56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532F3375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贯彻落实区委区政府《关于全面落实预算绩效管理的实施意见》（藁发〔2019〕9号）文件精神，遵循“科学性、规范性、客观性和公正性”的原则，对石家庄市藁城区供销合作总社202</w:t>
      </w:r>
      <w:r>
        <w:rPr>
          <w:rFonts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年度整体支出情况实施了财政支出绩效自评价，形成本评价报告。</w:t>
      </w:r>
    </w:p>
    <w:p w14:paraId="2DA3830E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</w:t>
      </w:r>
    </w:p>
    <w:p w14:paraId="03B11677">
      <w:p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5707442D">
      <w:pPr>
        <w:ind w:firstLine="640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藁城区供销合作总社为政府直属事业单位，规格为正科级。</w:t>
      </w:r>
    </w:p>
    <w:p w14:paraId="3D267EAD">
      <w:pPr>
        <w:ind w:firstLine="640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藁城区供销合作总社的主要职责是：</w:t>
      </w:r>
    </w:p>
    <w:p w14:paraId="06E6B464">
      <w:pPr>
        <w:ind w:firstLine="640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负责全区供销系统计划组织、协调、指导和监督工作，管理所属企业生产经营活动及相关服务，经营生产、生活资料，专营鞭炮、盐业和废旧物资回收。负责供销系统所属企业干部职工调动、任免及行政管理工作。负责党建和思想政治工作，总结推广企业经营、管理、服务等方面的典型经验，指导全系统各方面工作健康发展，做好供销系统相关社会服务工作。</w:t>
      </w:r>
    </w:p>
    <w:p w14:paraId="73DE826D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内设股室有办公室、财审股、人事股、企管股。</w:t>
      </w:r>
    </w:p>
    <w:p w14:paraId="56F18CD6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2024年度事业编制财政开支在职人员2人，自收自支在职人员4人，退休人员37人。</w:t>
      </w:r>
    </w:p>
    <w:p w14:paraId="0192429F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2024年度本部门资产合计95.82万元，比上年减少4.66万元，减少4.64%。负债合计5.53万元，比上年减少7.92万元，减少58.88%。</w:t>
      </w:r>
    </w:p>
    <w:p w14:paraId="29FB1E6D">
      <w:p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4426356B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2024年部门预决算收支完成情况如下：</w:t>
      </w:r>
    </w:p>
    <w:p w14:paraId="38FCEB60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1、全年预算收入499.69万元，其中：一般公共预算拨款499.69万元。全年预算支出499.69万元，</w:t>
      </w:r>
      <w:r>
        <w:rPr>
          <w:rFonts w:hint="eastAsia" w:ascii="仿宋" w:hAnsi="仿宋" w:eastAsia="仿宋"/>
          <w:sz w:val="32"/>
          <w:szCs w:val="32"/>
        </w:rPr>
        <w:t>其中：基本支出：107.29万元，项目支出392.40万元。</w:t>
      </w:r>
    </w:p>
    <w:p w14:paraId="6C386FE7">
      <w:pPr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2、全年决算收入为455.23万元，其中：财政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拨款</w:t>
      </w:r>
      <w:bookmarkStart w:id="38" w:name="_GoBack"/>
      <w:bookmarkEnd w:id="38"/>
      <w:r>
        <w:rPr>
          <w:rFonts w:hint="eastAsia" w:ascii="仿宋" w:hAnsi="仿宋" w:eastAsia="仿宋" w:cs="仿宋"/>
          <w:sz w:val="32"/>
          <w:szCs w:val="32"/>
        </w:rPr>
        <w:t>收入455.23万元，非财政补助收入0万元。全年决算支出为455.23万</w:t>
      </w:r>
      <w:r>
        <w:rPr>
          <w:rFonts w:hint="eastAsia" w:ascii="仿宋" w:hAnsi="仿宋" w:eastAsia="仿宋"/>
          <w:sz w:val="32"/>
          <w:szCs w:val="32"/>
        </w:rPr>
        <w:t>元。其中：基本支出：80.60万元，项目支出374.63万元。</w:t>
      </w:r>
    </w:p>
    <w:p w14:paraId="4614FE76">
      <w:p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346AD906">
      <w:pPr>
        <w:adjustRightInd w:val="0"/>
        <w:snapToGrid w:val="0"/>
        <w:spacing w:line="560" w:lineRule="exact"/>
        <w:ind w:firstLine="640" w:firstLineChars="200"/>
        <w:rPr>
          <w:rFonts w:eastAsia="仿宋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部门总目标：</w:t>
      </w:r>
      <w:r>
        <w:rPr>
          <w:rFonts w:hint="eastAsia" w:eastAsia="仿宋"/>
          <w:sz w:val="32"/>
          <w:szCs w:val="32"/>
        </w:rPr>
        <w:t>坚持以习近平新时代中国特色社会主义思想为指导，深入贯彻落实上级方针政策、指导系统业务活动、综合改革和发展、指导系统流通网络和信息化建设，确保供销社事业改革，壮大并发挥供销社为“三农”服务的作用；拟定规划，形成服务现代农业，服务农村生产生活、服务农业新型经营主体的服务格局；发挥供销社在流通领域的应急调控作用；构建农村现代流通网络体系，保障社有资产安全和增值；扎实推进农民合作社联合社建设，逐步推进金融创新试点；依据储备计划安排代储企业做好计划商品的代储工作；确保各项工作谋划到位，顺利开展。保障机关工作正常、高效运转，推动供销事业不断发展。</w:t>
      </w:r>
    </w:p>
    <w:p w14:paraId="34ADD00E">
      <w:pPr>
        <w:adjustRightInd w:val="0"/>
        <w:snapToGrid w:val="0"/>
        <w:spacing w:line="560" w:lineRule="exact"/>
        <w:ind w:firstLine="640" w:firstLineChars="200"/>
        <w:rPr>
          <w:rFonts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2024年我部门安排预算项目6个，</w:t>
      </w:r>
      <w:r>
        <w:rPr>
          <w:rFonts w:hint="eastAsia" w:ascii="仿宋" w:hAnsi="仿宋" w:eastAsia="仿宋"/>
          <w:sz w:val="32"/>
          <w:szCs w:val="32"/>
        </w:rPr>
        <w:t>项目指标体系设定满分100分。产出指标满分40分，其中数量指标：覆盖人数35人，满分6分。交易笔数达到15笔，满分2分。建设项目仓库数量1个，满分2分。质量指标：工资发放100%，满分8分。项目开工建设，满分2分。时效指标：拨付及时性，满分10分。成本指标：按标准拨付，满分8分。项目支持金额33.5万元，满分2分。项目预算金额执行率100%，满分10分。效益指标满分40分，其中社会效益指标：开展工作情况，满分40分。满意度指标满分10分，职工满意度达90%以上。</w:t>
      </w:r>
    </w:p>
    <w:p w14:paraId="42B21887">
      <w:pPr>
        <w:numPr>
          <w:ilvl w:val="0"/>
          <w:numId w:val="1"/>
        </w:num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自评工作开展情况</w:t>
      </w:r>
    </w:p>
    <w:p w14:paraId="617B8C44">
      <w:pPr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5778124F"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bookmarkStart w:id="0" w:name="OLE_LINK72"/>
      <w:bookmarkStart w:id="1" w:name="OLE_LINK73"/>
      <w:r>
        <w:rPr>
          <w:rFonts w:hint="eastAsia" w:ascii="仿宋" w:hAnsi="仿宋" w:eastAsia="仿宋"/>
          <w:sz w:val="32"/>
          <w:szCs w:val="32"/>
        </w:rPr>
        <w:t>一是我部门高度重视项目评价工作，对具体工作做了周密部署，统筹协调各方面力量，促进评价具体工作落实。</w:t>
      </w:r>
    </w:p>
    <w:p w14:paraId="6A704635"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二是精心组织，密切配合。充分认识和发挥预算绩效管理作用，理顺工作机制，形成工作合力，切实做好预算绩效评价工作。</w:t>
      </w:r>
    </w:p>
    <w:p w14:paraId="37D58F73"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三是积极工作，稳步推进。各相关部门都认真对待，积极探索建立适合本部门实际的绩效运行工作机制。</w:t>
      </w:r>
      <w:bookmarkEnd w:id="0"/>
      <w:bookmarkEnd w:id="1"/>
    </w:p>
    <w:p w14:paraId="268CE631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（二）自评的方法和过程</w:t>
      </w:r>
    </w:p>
    <w:p w14:paraId="3D8DF3C7">
      <w:pPr>
        <w:spacing w:line="560" w:lineRule="exact"/>
        <w:ind w:left="642"/>
        <w:rPr>
          <w:rFonts w:ascii="仿宋" w:hAnsi="仿宋" w:eastAsia="仿宋"/>
          <w:sz w:val="32"/>
          <w:szCs w:val="32"/>
        </w:rPr>
      </w:pPr>
      <w:bookmarkStart w:id="2" w:name="OLE_LINK33"/>
      <w:bookmarkStart w:id="3" w:name="OLE_LINK34"/>
      <w:r>
        <w:rPr>
          <w:rFonts w:hint="eastAsia" w:ascii="仿宋" w:hAnsi="仿宋" w:eastAsia="仿宋"/>
          <w:sz w:val="32"/>
          <w:szCs w:val="32"/>
        </w:rPr>
        <w:t>项目评价方法为比较法。</w:t>
      </w:r>
    </w:p>
    <w:p w14:paraId="66C7B966">
      <w:pPr>
        <w:spacing w:line="560" w:lineRule="exact"/>
        <w:ind w:left="642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绩效评价工作过程：</w:t>
      </w:r>
    </w:p>
    <w:p w14:paraId="512F94AC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一是前期准备，学习有关政策，收集项目立项申报材料确保项目评价工作顺利开展。</w:t>
      </w:r>
    </w:p>
    <w:p w14:paraId="178D8DB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二是组织实施，拟定详细工作方案，包括评价内容、评价方法、时间安排、工作步骤、工作要求等。</w:t>
      </w:r>
    </w:p>
    <w:p w14:paraId="560B0884">
      <w:pPr>
        <w:spacing w:line="560" w:lineRule="exact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三是分析评价，通过分析相关资料，听取项目介绍、实地勘察等评价举措，再对照评价指标和评价标准进行评分，确保评价结果客观公正。</w:t>
      </w:r>
      <w:bookmarkEnd w:id="2"/>
      <w:bookmarkEnd w:id="3"/>
    </w:p>
    <w:p w14:paraId="13C4E607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三、部门整体支出绩效目标实现情况及指标分析</w:t>
      </w:r>
    </w:p>
    <w:p w14:paraId="4F990E58">
      <w:p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（一）总体绩效目标实现情况</w:t>
      </w:r>
    </w:p>
    <w:p w14:paraId="6051CDA3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2024年我部门安排预算</w:t>
      </w:r>
      <w:bookmarkStart w:id="4" w:name="OLE_LINK43"/>
      <w:bookmarkStart w:id="5" w:name="OLE_LINK44"/>
      <w:r>
        <w:rPr>
          <w:rFonts w:hint="eastAsia" w:ascii="仿宋" w:hAnsi="仿宋" w:eastAsia="仿宋" w:cs="仿宋"/>
          <w:sz w:val="32"/>
          <w:szCs w:val="32"/>
        </w:rPr>
        <w:t>项目6个，</w:t>
      </w:r>
      <w:r>
        <w:rPr>
          <w:rFonts w:hint="eastAsia" w:ascii="仿宋" w:hAnsi="仿宋" w:eastAsia="仿宋"/>
          <w:sz w:val="32"/>
          <w:szCs w:val="32"/>
        </w:rPr>
        <w:t>财政预算调整数374.71万元</w:t>
      </w:r>
      <w:bookmarkEnd w:id="4"/>
      <w:bookmarkEnd w:id="5"/>
      <w:r>
        <w:rPr>
          <w:rFonts w:hint="eastAsia" w:ascii="仿宋" w:hAnsi="仿宋" w:eastAsia="仿宋"/>
          <w:sz w:val="32"/>
          <w:szCs w:val="32"/>
        </w:rPr>
        <w:t>，资金执行数374.63万元。6个项目分别是：(1)供销合作总社分流职工工资项目，财政拨付项目资金96.02万元，用于分流职工工资及社保费用等；(2)</w:t>
      </w:r>
      <w:bookmarkStart w:id="6" w:name="OLE_LINK1"/>
      <w:bookmarkStart w:id="7" w:name="OLE_LINK7"/>
      <w:bookmarkStart w:id="8" w:name="OLE_LINK6"/>
      <w:r>
        <w:rPr>
          <w:rFonts w:hint="eastAsia" w:ascii="仿宋" w:hAnsi="仿宋" w:eastAsia="仿宋"/>
          <w:sz w:val="32"/>
          <w:szCs w:val="32"/>
        </w:rPr>
        <w:t>农村产权中心劳务派遣人员工资项目</w:t>
      </w:r>
      <w:bookmarkEnd w:id="6"/>
      <w:r>
        <w:rPr>
          <w:rFonts w:hint="eastAsia" w:ascii="仿宋" w:hAnsi="仿宋" w:eastAsia="仿宋"/>
          <w:sz w:val="32"/>
          <w:szCs w:val="32"/>
        </w:rPr>
        <w:t>，财政拨付项目资金49.07万元，用于发放劳务派遣人员的工资和缴纳社保费用；</w:t>
      </w:r>
      <w:bookmarkEnd w:id="7"/>
      <w:bookmarkEnd w:id="8"/>
      <w:r>
        <w:rPr>
          <w:rFonts w:hint="eastAsia" w:ascii="仿宋" w:hAnsi="仿宋" w:eastAsia="仿宋"/>
          <w:sz w:val="32"/>
          <w:szCs w:val="32"/>
        </w:rPr>
        <w:t>(3)农村产权中心运转服务费项目，</w:t>
      </w:r>
      <w:bookmarkStart w:id="9" w:name="OLE_LINK77"/>
      <w:bookmarkStart w:id="10" w:name="OLE_LINK76"/>
      <w:r>
        <w:rPr>
          <w:rFonts w:hint="eastAsia" w:ascii="仿宋" w:hAnsi="仿宋" w:eastAsia="仿宋"/>
          <w:sz w:val="32"/>
          <w:szCs w:val="32"/>
        </w:rPr>
        <w:t>财政拨付项目资金6.06万元，用于</w:t>
      </w:r>
      <w:bookmarkEnd w:id="9"/>
      <w:bookmarkEnd w:id="10"/>
      <w:r>
        <w:rPr>
          <w:rFonts w:hint="eastAsia" w:ascii="仿宋" w:hAnsi="仿宋" w:eastAsia="仿宋"/>
          <w:sz w:val="32"/>
          <w:szCs w:val="32"/>
        </w:rPr>
        <w:t>藁城区农村产权交易中心工作人员的办公经费；(4)农村现代流通体系仓库改造建设项目，财政拨付项目资金33.5万元，</w:t>
      </w:r>
      <w:bookmarkStart w:id="11" w:name="OLE_LINK78"/>
      <w:bookmarkStart w:id="12" w:name="OLE_LINK79"/>
      <w:r>
        <w:rPr>
          <w:rFonts w:hint="eastAsia" w:ascii="仿宋" w:hAnsi="仿宋" w:eastAsia="仿宋"/>
          <w:sz w:val="32"/>
          <w:szCs w:val="32"/>
        </w:rPr>
        <w:t>用于河北通顺电子商务有限公司升级改造中心仓库，加强对化肥的储存及运输能力</w:t>
      </w:r>
      <w:bookmarkEnd w:id="11"/>
      <w:bookmarkEnd w:id="12"/>
      <w:r>
        <w:rPr>
          <w:rFonts w:hint="eastAsia" w:ascii="仿宋" w:hAnsi="仿宋" w:eastAsia="仿宋"/>
          <w:sz w:val="32"/>
          <w:szCs w:val="32"/>
        </w:rPr>
        <w:t>；(5)自收自支人员工资及社保费项目，</w:t>
      </w:r>
      <w:bookmarkStart w:id="13" w:name="OLE_LINK80"/>
      <w:bookmarkStart w:id="14" w:name="OLE_LINK81"/>
      <w:r>
        <w:rPr>
          <w:rFonts w:hint="eastAsia" w:ascii="仿宋" w:hAnsi="仿宋" w:eastAsia="仿宋"/>
          <w:sz w:val="32"/>
          <w:szCs w:val="32"/>
        </w:rPr>
        <w:t>财政拨付项目资金189.3万元，用于</w:t>
      </w:r>
      <w:bookmarkEnd w:id="13"/>
      <w:bookmarkEnd w:id="14"/>
      <w:r>
        <w:rPr>
          <w:rFonts w:hint="eastAsia" w:ascii="仿宋" w:hAnsi="仿宋" w:eastAsia="仿宋"/>
          <w:sz w:val="32"/>
          <w:szCs w:val="32"/>
        </w:rPr>
        <w:t>自收自支人员工资及社保费等；(6)自收自支人员公用经费项目，财政拨付项目资金0.76万元，用于支付自收自支人员公用经费，保障供销社业务正常开展。6个项目均按照发放标准，每月或每季度进行预算拨款，完成项目进度，完成了本年度项目资金拨付的99.98%。</w:t>
      </w:r>
    </w:p>
    <w:p w14:paraId="5132FFC3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07232ED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供销合作总社分流职工工资项目资金</w:t>
      </w:r>
      <w:bookmarkStart w:id="15" w:name="OLE_LINK104"/>
      <w:bookmarkStart w:id="16" w:name="OLE_LINK103"/>
      <w:bookmarkStart w:id="17" w:name="OLE_LINK89"/>
      <w:r>
        <w:rPr>
          <w:rFonts w:hint="eastAsia" w:ascii="仿宋" w:hAnsi="仿宋" w:eastAsia="仿宋"/>
          <w:sz w:val="32"/>
          <w:szCs w:val="32"/>
        </w:rPr>
        <w:t>预算调整数</w:t>
      </w:r>
      <w:bookmarkEnd w:id="15"/>
      <w:bookmarkEnd w:id="16"/>
      <w:r>
        <w:rPr>
          <w:rFonts w:hint="eastAsia" w:ascii="仿宋" w:hAnsi="仿宋" w:eastAsia="仿宋"/>
          <w:sz w:val="32"/>
          <w:szCs w:val="32"/>
        </w:rPr>
        <w:t>96.02万元，资金执行数95.94万元，</w:t>
      </w:r>
      <w:bookmarkEnd w:id="17"/>
      <w:r>
        <w:rPr>
          <w:rFonts w:hint="eastAsia" w:ascii="仿宋" w:hAnsi="仿宋" w:eastAsia="仿宋"/>
          <w:sz w:val="32"/>
          <w:szCs w:val="32"/>
        </w:rPr>
        <w:t>完成了本年度该项目资金拨付的99.91%，得分10分。产出指标满分40分，得39分。其中数量指标：覆盖人数20人，得10分。质量指标：工资发放100%，得10分。时效指标：拨付及时性100%，得9分。成本指标：按标准拨付，得10分。效益指标满分40分，得35分。其中社会效益指标：开展工作情况，能够正常开展各项工作，得35分。满意度指标满分10分，得10分，职工满意度达95%以上。该项目指标体系设定满分100分，得分94分。项目综合绩效评价等级为优秀。</w:t>
      </w:r>
    </w:p>
    <w:p w14:paraId="117CE5B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bookmarkStart w:id="18" w:name="OLE_LINK36"/>
      <w:bookmarkStart w:id="19" w:name="OLE_LINK35"/>
      <w:r>
        <w:rPr>
          <w:rFonts w:hint="eastAsia" w:ascii="仿宋" w:hAnsi="仿宋" w:eastAsia="仿宋"/>
          <w:sz w:val="32"/>
          <w:szCs w:val="32"/>
        </w:rPr>
        <w:t>农村产权中心劳务派遣人员工资项目资金</w:t>
      </w:r>
      <w:bookmarkStart w:id="20" w:name="OLE_LINK93"/>
      <w:bookmarkStart w:id="21" w:name="OLE_LINK92"/>
      <w:r>
        <w:rPr>
          <w:rFonts w:hint="eastAsia" w:ascii="仿宋" w:hAnsi="仿宋" w:eastAsia="仿宋"/>
          <w:sz w:val="32"/>
          <w:szCs w:val="32"/>
        </w:rPr>
        <w:t>预算调整数49.07万元，资金执行数49.07万元，</w:t>
      </w:r>
      <w:bookmarkEnd w:id="20"/>
      <w:bookmarkEnd w:id="21"/>
      <w:r>
        <w:rPr>
          <w:rFonts w:hint="eastAsia" w:ascii="仿宋" w:hAnsi="仿宋" w:eastAsia="仿宋"/>
          <w:sz w:val="32"/>
          <w:szCs w:val="32"/>
        </w:rPr>
        <w:t>完成了本年度该项目资金拨付的100%，得分10分。</w:t>
      </w:r>
      <w:bookmarkStart w:id="22" w:name="OLE_LINK49"/>
      <w:r>
        <w:rPr>
          <w:rFonts w:hint="eastAsia" w:ascii="仿宋" w:hAnsi="仿宋" w:eastAsia="仿宋"/>
          <w:sz w:val="32"/>
          <w:szCs w:val="32"/>
        </w:rPr>
        <w:t>产出指标满分40分，得39分。其中数量指标：</w:t>
      </w:r>
      <w:bookmarkStart w:id="23" w:name="OLE_LINK12"/>
      <w:bookmarkStart w:id="24" w:name="OLE_LINK11"/>
      <w:r>
        <w:rPr>
          <w:rFonts w:hint="eastAsia" w:ascii="仿宋" w:hAnsi="仿宋" w:eastAsia="仿宋"/>
          <w:sz w:val="32"/>
          <w:szCs w:val="32"/>
        </w:rPr>
        <w:t>覆盖人数为劳务派遣人员11人，得10分。质量指标：工资发放达到100%，得分10分。时效指标：拨付及时性100%，得9分。成本指标：发放标准，按标准拨付，得分10分。</w:t>
      </w:r>
      <w:bookmarkEnd w:id="22"/>
      <w:bookmarkStart w:id="25" w:name="OLE_LINK50"/>
      <w:bookmarkStart w:id="26" w:name="OLE_LINK51"/>
      <w:r>
        <w:rPr>
          <w:rFonts w:hint="eastAsia" w:ascii="仿宋" w:hAnsi="仿宋" w:eastAsia="仿宋"/>
          <w:sz w:val="32"/>
          <w:szCs w:val="32"/>
        </w:rPr>
        <w:t>效益指标满分40分，得36分。其中社会效益指标：开展工作情况，能够正常开展各项工作，得36分。</w:t>
      </w:r>
      <w:bookmarkEnd w:id="25"/>
      <w:bookmarkEnd w:id="26"/>
      <w:bookmarkStart w:id="27" w:name="OLE_LINK53"/>
      <w:bookmarkStart w:id="28" w:name="OLE_LINK52"/>
      <w:r>
        <w:rPr>
          <w:rFonts w:hint="eastAsia" w:ascii="仿宋" w:hAnsi="仿宋" w:eastAsia="仿宋"/>
          <w:sz w:val="32"/>
          <w:szCs w:val="32"/>
        </w:rPr>
        <w:t>满意度指标满分10分，得10</w:t>
      </w:r>
      <w:bookmarkStart w:id="29" w:name="OLE_LINK42"/>
      <w:bookmarkStart w:id="30" w:name="OLE_LINK41"/>
      <w:r>
        <w:rPr>
          <w:rFonts w:hint="eastAsia" w:ascii="仿宋" w:hAnsi="仿宋" w:eastAsia="仿宋"/>
          <w:sz w:val="32"/>
          <w:szCs w:val="32"/>
        </w:rPr>
        <w:t>分，派遣人员满意度达95%以上</w:t>
      </w:r>
      <w:bookmarkEnd w:id="29"/>
      <w:bookmarkEnd w:id="30"/>
      <w:r>
        <w:rPr>
          <w:rFonts w:hint="eastAsia" w:ascii="仿宋" w:hAnsi="仿宋" w:eastAsia="仿宋"/>
          <w:sz w:val="32"/>
          <w:szCs w:val="32"/>
        </w:rPr>
        <w:t>。</w:t>
      </w:r>
      <w:bookmarkEnd w:id="23"/>
      <w:bookmarkEnd w:id="24"/>
      <w:bookmarkEnd w:id="27"/>
      <w:bookmarkEnd w:id="28"/>
      <w:bookmarkStart w:id="31" w:name="OLE_LINK54"/>
      <w:bookmarkStart w:id="32" w:name="OLE_LINK55"/>
      <w:r>
        <w:rPr>
          <w:rFonts w:hint="eastAsia" w:ascii="仿宋" w:hAnsi="仿宋" w:eastAsia="仿宋"/>
          <w:sz w:val="32"/>
          <w:szCs w:val="32"/>
        </w:rPr>
        <w:t>该项目指标体系设定满分100分，得分95分。</w:t>
      </w:r>
      <w:bookmarkEnd w:id="18"/>
      <w:bookmarkEnd w:id="19"/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  <w:bookmarkEnd w:id="31"/>
      <w:bookmarkEnd w:id="32"/>
    </w:p>
    <w:p w14:paraId="2D9F191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农村产权中心运转服务费项目</w:t>
      </w:r>
      <w:bookmarkStart w:id="33" w:name="OLE_LINK98"/>
      <w:bookmarkStart w:id="34" w:name="OLE_LINK99"/>
      <w:r>
        <w:rPr>
          <w:rFonts w:hint="eastAsia" w:ascii="仿宋" w:hAnsi="仿宋" w:eastAsia="仿宋"/>
          <w:sz w:val="32"/>
          <w:szCs w:val="32"/>
        </w:rPr>
        <w:t>资金预算调整数6.06万元，资金执行数6.06万元，</w:t>
      </w:r>
      <w:bookmarkEnd w:id="33"/>
      <w:bookmarkEnd w:id="34"/>
      <w:r>
        <w:rPr>
          <w:rFonts w:hint="eastAsia" w:ascii="仿宋" w:hAnsi="仿宋" w:eastAsia="仿宋"/>
          <w:sz w:val="32"/>
          <w:szCs w:val="32"/>
        </w:rPr>
        <w:t>完成了本年度该项目资金拨付的100%，得分10分。产出指标满分40分，得39分。其中数量指标：交易笔数达到15笔，得10分。质量指标：拨付情况达到100%，得分10分。时效指标：资金支付及时性达到100%，得9分。成本指标：按照公用经费标准执行，得10分。效益指标满分40分，得35分。其中社会效益指标：交易中心开展工作情况，能够正常开展各项工作，得35分。满意度指标满分10分，得10分，职工满意度达95%以上。该项目指标体系设定满分100分，得分94分。项目综合绩效评价等级为优秀。</w:t>
      </w:r>
    </w:p>
    <w:p w14:paraId="7D71195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农村现代流通体系仓库改造建设项目</w:t>
      </w:r>
      <w:bookmarkStart w:id="35" w:name="OLE_LINK107"/>
      <w:bookmarkStart w:id="36" w:name="OLE_LINK108"/>
      <w:r>
        <w:rPr>
          <w:rFonts w:hint="eastAsia" w:ascii="仿宋" w:hAnsi="仿宋" w:eastAsia="仿宋"/>
          <w:sz w:val="32"/>
          <w:szCs w:val="32"/>
        </w:rPr>
        <w:t>资金预算调整数33.5万元，资金执行数33.5万元，</w:t>
      </w:r>
      <w:bookmarkEnd w:id="35"/>
      <w:bookmarkEnd w:id="36"/>
      <w:r>
        <w:rPr>
          <w:rFonts w:hint="eastAsia" w:ascii="仿宋" w:hAnsi="仿宋" w:eastAsia="仿宋"/>
          <w:sz w:val="32"/>
          <w:szCs w:val="32"/>
        </w:rPr>
        <w:t>完成了本年度该项目资金拨付的100%，得分10分。产出指标满分40分，得39分。其中数量指标：建设项目仓库数量1个，得10分。质量指标：项目开工建设，得分10分。时效指标：资金支付及时性，得9分。成本指标：项目支持金额33.5万元，得10分。效益指标满分40分，得35分。其中社会效益指标：为农服务开展情况，正常开展为农服务工作，得35分。满意度指标满分10分，得10分，用户满意度达95%以上。该项目指标体系设定满分100分，得分94分。项目综合绩效评价等级为优秀。</w:t>
      </w:r>
    </w:p>
    <w:p w14:paraId="1C8270A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收自支人员工资及社保费项目资金预算调整数189.3万元，资金执行数189.3万元，完成了本年度该项目资金拨付的100%，得分10分。产出指标满分40分，得39分。其中数量指标：覆盖人数4人，得10分。质量指标：工资发放100%，得10分。时效指标：拨付及时性按月发放，得9分。成本指标：按标准拨付，得10分。效益指标满分40分，得35分。其中社会效益指标：开展工作情况，能够正常开展各项工作，得35分。满意度指标满分10分，得10分，职工满意度达95%以上。该项目指标体系设定满分100分，得分94分。项目综合绩效评价等级为优秀。</w:t>
      </w:r>
    </w:p>
    <w:p w14:paraId="394D3BF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收自支人员公用经费项目资金预算调整数0.76万元，资金执行数0.76万元，完成了本年度该项目资金拨付的100%，得分10分。产出指标满分40分，得39分。其中数量指标：覆盖人数4人，得10分。质量指标：拨付情况经费拨付100%，得10分。时效指标：资金支付及时性，得9分。成本指标：按实际拨付标准执行，得10分。效益指标满分40分，得35分。其中社会效益指标：机关工作开展情况，能够正常开展工作，得35分。满意度指标满分10分，得10分，职工满意度达95%以上。该项目指标体系设定满分100分，得分94分。项目综合绩效评价等级为优秀。</w:t>
      </w:r>
    </w:p>
    <w:p w14:paraId="68BAE21C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四、评价结论和评价等级</w:t>
      </w:r>
    </w:p>
    <w:p w14:paraId="4679FD4A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bookmarkStart w:id="37" w:name="OLE_LINK2"/>
      <w:r>
        <w:rPr>
          <w:rFonts w:hint="eastAsia" w:ascii="仿宋" w:hAnsi="仿宋" w:eastAsia="仿宋" w:cs="仿宋"/>
          <w:sz w:val="32"/>
          <w:szCs w:val="32"/>
        </w:rPr>
        <w:t>2024年我部门安排预算项目6个，</w:t>
      </w:r>
      <w:r>
        <w:rPr>
          <w:rFonts w:hint="eastAsia" w:ascii="仿宋" w:hAnsi="仿宋" w:eastAsia="仿宋"/>
          <w:sz w:val="32"/>
          <w:szCs w:val="32"/>
        </w:rPr>
        <w:t>财政预算调整数374.71万元，资金执行数374.63万元，完成了本年度项目资金拨付的99.98%，得分10分。产出指标满分40分，得39分。其中数量指标：覆盖人数35人，得6分。交易笔数达到15笔，得2分。建设项目仓库数量1个，得2分。质量指标：工资发放100%，得8分。项目开工建设，得2分。时效指标：拨付及时性，得9分。成本指标：按标准拨付，得8分。项目支持金额33.5万元，得2分。效益指标满分40分，得35分。其中社会效益指标：开展工作情况，能够正常开展工作，得35分。满意度指标满分10分，得10分，职工满意度达95%以上。项目指标体系设定满分100分，整体得分94分。项目整体综合绩效评价等级为优秀。</w:t>
      </w:r>
      <w:bookmarkEnd w:id="37"/>
    </w:p>
    <w:p w14:paraId="419ABB7B">
      <w:pPr>
        <w:numPr>
          <w:ilvl w:val="0"/>
          <w:numId w:val="2"/>
        </w:numPr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3BF83FF4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 w14:paraId="42632197">
      <w:pPr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存在主要问题：6个项目都存在期间未能按时拨付的现象。预算绩效管理理念有待强化，提高绩效管理水平，促进各项工作顺利开展。问题成因分析：应当充分认识和发挥预算绩效管理作用，理顺工作机制，形成工作合力。</w:t>
      </w:r>
    </w:p>
    <w:p w14:paraId="2F1C8966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506EB07C">
      <w:pPr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整改措施：加快资金支出进度，进一步按照绩效管理的要求，在实施过程中遵循“实事求是、尊重客观、力求精准”的原则，使项目资金落到实处。</w:t>
      </w:r>
    </w:p>
    <w:p w14:paraId="54A72542">
      <w:pPr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</w:t>
      </w:r>
    </w:p>
    <w:p w14:paraId="51DE189F">
      <w:pPr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p w14:paraId="7017269C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2265"/>
        <w:gridCol w:w="2867"/>
      </w:tblGrid>
      <w:tr w14:paraId="5F6E7B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</w:tcPr>
          <w:p w14:paraId="545C3D25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2265" w:type="dxa"/>
          </w:tcPr>
          <w:p w14:paraId="2B8D3546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职务/职称</w:t>
            </w:r>
          </w:p>
        </w:tc>
        <w:tc>
          <w:tcPr>
            <w:tcW w:w="2867" w:type="dxa"/>
          </w:tcPr>
          <w:p w14:paraId="6CE18F6C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</w:tr>
      <w:tr w14:paraId="00060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restart"/>
          </w:tcPr>
          <w:p w14:paraId="3EC6F513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  <w:p w14:paraId="7A4B56E7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石家庄市藁城区</w:t>
            </w:r>
          </w:p>
          <w:p w14:paraId="6222B6A3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供销合作总社</w:t>
            </w:r>
          </w:p>
        </w:tc>
        <w:tc>
          <w:tcPr>
            <w:tcW w:w="2265" w:type="dxa"/>
            <w:tcBorders>
              <w:left w:val="single" w:color="auto" w:sz="4" w:space="0"/>
            </w:tcBorders>
          </w:tcPr>
          <w:p w14:paraId="198F8E81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主任</w:t>
            </w: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736F05FA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  <w:tr w14:paraId="58F69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5E680519"/>
        </w:tc>
        <w:tc>
          <w:tcPr>
            <w:tcW w:w="2265" w:type="dxa"/>
            <w:tcBorders>
              <w:left w:val="single" w:color="auto" w:sz="4" w:space="0"/>
            </w:tcBorders>
          </w:tcPr>
          <w:p w14:paraId="0EC4AD75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副主任</w:t>
            </w: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59E41ED5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  <w:tr w14:paraId="377E0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0428C9C2"/>
        </w:tc>
        <w:tc>
          <w:tcPr>
            <w:tcW w:w="2265" w:type="dxa"/>
            <w:tcBorders>
              <w:left w:val="single" w:color="auto" w:sz="4" w:space="0"/>
            </w:tcBorders>
          </w:tcPr>
          <w:p w14:paraId="62F72175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副主任</w:t>
            </w: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7E57F1B3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  <w:tr w14:paraId="3E5AE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27E3B85B"/>
        </w:tc>
        <w:tc>
          <w:tcPr>
            <w:tcW w:w="2265" w:type="dxa"/>
            <w:tcBorders>
              <w:left w:val="single" w:color="auto" w:sz="4" w:space="0"/>
            </w:tcBorders>
          </w:tcPr>
          <w:p w14:paraId="03CD8276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股长</w:t>
            </w: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5B9EB530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  <w:tr w14:paraId="20B63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153D50C2"/>
        </w:tc>
        <w:tc>
          <w:tcPr>
            <w:tcW w:w="2265" w:type="dxa"/>
            <w:tcBorders>
              <w:left w:val="single" w:color="auto" w:sz="4" w:space="0"/>
            </w:tcBorders>
          </w:tcPr>
          <w:p w14:paraId="1E2B1BF8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职员</w:t>
            </w: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37AF15F5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</w:tbl>
    <w:p w14:paraId="1C42F6F7">
      <w:pPr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E90BD66-8BED-4FF9-84A0-2948370BC7F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2" w:fontKey="{98F6C5FA-D656-4404-AE26-6A6912BF1FA3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  <w:embedRegular r:id="rId3" w:fontKey="{68F0987D-93E2-4686-BDA0-C86C8D7E8DB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14D5ADA8-5AC1-4BBA-8774-C17F6191A16B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535C2A59-7E9F-4875-B5A5-D35F465007B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F34C5159-1F6D-4814-949D-B292CAA0A9BD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C8204996-4BCE-4735-9F68-F01EACF4626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8" w:fontKey="{4CE5A862-2A4F-44C3-A1DC-D0022B40321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3E8ACF">
    <w:r>
      <w:pict>
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<v:path/>
          <v:fill on="f" focussize="0,0"/>
          <v:stroke on="f" joinstyle="round"/>
          <v:imagedata o:title=""/>
          <o:lock v:ext="edit"/>
          <v:textbox inset="0mm,0mm,0mm,0mm" style="mso-fit-shape-to-text:t;">
            <w:txbxContent>
              <w:p w14:paraId="251D9E03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- 8 -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rect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6A140E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GE2ZDVhYjFkNzNmZjA0ZTExM2M2ODcxZGVjNWRjNGEifQ=="/>
  </w:docVars>
  <w:rsids>
    <w:rsidRoot w:val="004A7C3B"/>
    <w:rsid w:val="000174EC"/>
    <w:rsid w:val="000241ED"/>
    <w:rsid w:val="00025E2F"/>
    <w:rsid w:val="000360F3"/>
    <w:rsid w:val="000B0275"/>
    <w:rsid w:val="0019192A"/>
    <w:rsid w:val="001C1795"/>
    <w:rsid w:val="001D3D12"/>
    <w:rsid w:val="00243E21"/>
    <w:rsid w:val="002B03E4"/>
    <w:rsid w:val="002D0CF5"/>
    <w:rsid w:val="002E25EE"/>
    <w:rsid w:val="003A66DA"/>
    <w:rsid w:val="003D19D8"/>
    <w:rsid w:val="004A7C3B"/>
    <w:rsid w:val="004F0A1B"/>
    <w:rsid w:val="00503BA4"/>
    <w:rsid w:val="005250AD"/>
    <w:rsid w:val="00544F14"/>
    <w:rsid w:val="00551CA7"/>
    <w:rsid w:val="005603B0"/>
    <w:rsid w:val="005673FC"/>
    <w:rsid w:val="00590166"/>
    <w:rsid w:val="005A0453"/>
    <w:rsid w:val="005A72AC"/>
    <w:rsid w:val="005B29F4"/>
    <w:rsid w:val="005B513C"/>
    <w:rsid w:val="005F49F6"/>
    <w:rsid w:val="00605521"/>
    <w:rsid w:val="00610143"/>
    <w:rsid w:val="00652B34"/>
    <w:rsid w:val="00654349"/>
    <w:rsid w:val="0066343A"/>
    <w:rsid w:val="00682B9F"/>
    <w:rsid w:val="0069723C"/>
    <w:rsid w:val="006B60D9"/>
    <w:rsid w:val="0074302B"/>
    <w:rsid w:val="00750D30"/>
    <w:rsid w:val="0076760C"/>
    <w:rsid w:val="007D18EF"/>
    <w:rsid w:val="008D35EB"/>
    <w:rsid w:val="009120A0"/>
    <w:rsid w:val="009713A7"/>
    <w:rsid w:val="00972EE8"/>
    <w:rsid w:val="009850AE"/>
    <w:rsid w:val="009C6432"/>
    <w:rsid w:val="00A06083"/>
    <w:rsid w:val="00A64F81"/>
    <w:rsid w:val="00AA05E2"/>
    <w:rsid w:val="00B44C18"/>
    <w:rsid w:val="00B62875"/>
    <w:rsid w:val="00B9542E"/>
    <w:rsid w:val="00BA3FD1"/>
    <w:rsid w:val="00BB5F90"/>
    <w:rsid w:val="00C20195"/>
    <w:rsid w:val="00C9260D"/>
    <w:rsid w:val="00CC379C"/>
    <w:rsid w:val="00CD5C49"/>
    <w:rsid w:val="00CE1F36"/>
    <w:rsid w:val="00D065E6"/>
    <w:rsid w:val="00D16245"/>
    <w:rsid w:val="00D16A67"/>
    <w:rsid w:val="00D54BE3"/>
    <w:rsid w:val="00E04E1E"/>
    <w:rsid w:val="00E11845"/>
    <w:rsid w:val="00E118A4"/>
    <w:rsid w:val="00E32A67"/>
    <w:rsid w:val="00E54764"/>
    <w:rsid w:val="00E61BE2"/>
    <w:rsid w:val="00EB1707"/>
    <w:rsid w:val="00ED7FB8"/>
    <w:rsid w:val="00F065F9"/>
    <w:rsid w:val="00FC3286"/>
    <w:rsid w:val="00FD71E6"/>
    <w:rsid w:val="02B1196D"/>
    <w:rsid w:val="134F6B82"/>
    <w:rsid w:val="13955CCA"/>
    <w:rsid w:val="19494581"/>
    <w:rsid w:val="3DDE37D0"/>
    <w:rsid w:val="58B8456C"/>
    <w:rsid w:val="6920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标题 1 Char"/>
    <w:basedOn w:val="8"/>
    <w:link w:val="2"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标题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标题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64FD207-63BA-4FE4-B23C-BA9F7A38692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9</Pages>
  <Words>3928</Words>
  <Characters>4320</Characters>
  <Lines>31</Lines>
  <Paragraphs>8</Paragraphs>
  <TotalTime>213</TotalTime>
  <ScaleCrop>false</ScaleCrop>
  <LinksUpToDate>false</LinksUpToDate>
  <CharactersWithSpaces>4324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2021-02-24T05:43:00Z</cp:lastPrinted>
  <dcterms:modified xsi:type="dcterms:W3CDTF">2025-05-07T06:39:24Z</dcterms:modified>
  <dc:title>附件2： </dc:title>
  <cp:revision>67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eyJoZGlkIjoiMWNkMjJhZjg2MzEyYjE2NmU0OWE2ODk0M2JlNWY4MjkiLCJ1c2VySWQiOiIxNTUwMjQwMDk2In0=</vt:lpwstr>
  </property>
</Properties>
</file>