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75E0B7">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lang w:val="en-US" w:eastAsia="zh-CN"/>
        </w:rPr>
      </w:pPr>
    </w:p>
    <w:p w14:paraId="0870A5CE">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lang w:val="en-US" w:eastAsia="zh-CN"/>
        </w:rPr>
      </w:pPr>
    </w:p>
    <w:p w14:paraId="6515EC73">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bCs/>
          <w:kern w:val="0"/>
          <w:sz w:val="44"/>
          <w:szCs w:val="44"/>
          <w:highlight w:val="none"/>
          <w:lang w:val="en-US" w:eastAsia="zh-CN"/>
        </w:rPr>
      </w:pPr>
      <w:r>
        <w:rPr>
          <w:rFonts w:hint="eastAsia" w:ascii="方正小标宋简体" w:hAnsi="方正小标宋简体" w:eastAsia="方正小标宋简体" w:cs="方正小标宋简体"/>
          <w:b/>
          <w:bCs/>
          <w:kern w:val="0"/>
          <w:sz w:val="44"/>
          <w:szCs w:val="44"/>
          <w:highlight w:val="none"/>
          <w:lang w:val="en-US" w:eastAsia="zh-CN"/>
        </w:rPr>
        <w:t>石家庄市藁城区科学技术和工业信息化局</w:t>
      </w:r>
    </w:p>
    <w:p w14:paraId="0F50AD42">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ascii="仿宋" w:hAnsi="仿宋" w:eastAsia="仿宋" w:cs="仿宋"/>
          <w:sz w:val="32"/>
          <w:szCs w:val="32"/>
          <w:highlight w:val="none"/>
        </w:rPr>
      </w:pPr>
      <w:r>
        <w:rPr>
          <w:rFonts w:hint="eastAsia" w:ascii="方正小标宋简体" w:hAnsi="方正小标宋简体" w:eastAsia="方正小标宋简体" w:cs="方正小标宋简体"/>
          <w:b/>
          <w:bCs/>
          <w:kern w:val="0"/>
          <w:sz w:val="44"/>
          <w:szCs w:val="44"/>
          <w:highlight w:val="none"/>
        </w:rPr>
        <w:t>部门年度</w:t>
      </w:r>
      <w:r>
        <w:rPr>
          <w:rFonts w:hint="eastAsia" w:ascii="方正小标宋简体" w:hAnsi="方正小标宋简体" w:eastAsia="方正小标宋简体" w:cs="方正小标宋简体"/>
          <w:b/>
          <w:bCs/>
          <w:kern w:val="0"/>
          <w:sz w:val="44"/>
          <w:szCs w:val="44"/>
          <w:highlight w:val="none"/>
          <w:lang w:eastAsia="zh-CN"/>
        </w:rPr>
        <w:t>整体支出</w:t>
      </w:r>
      <w:r>
        <w:rPr>
          <w:rFonts w:hint="eastAsia" w:ascii="方正小标宋简体" w:hAnsi="方正小标宋简体" w:eastAsia="方正小标宋简体" w:cs="方正小标宋简体"/>
          <w:b/>
          <w:bCs/>
          <w:sz w:val="44"/>
          <w:szCs w:val="44"/>
          <w:highlight w:val="none"/>
        </w:rPr>
        <w:t>绩效自评工作报告</w:t>
      </w:r>
    </w:p>
    <w:p w14:paraId="5E9FD3A5">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883" w:firstLineChars="200"/>
        <w:textAlignment w:val="auto"/>
        <w:outlineLvl w:val="9"/>
        <w:rPr>
          <w:rFonts w:ascii="仿宋" w:hAnsi="仿宋" w:eastAsia="仿宋" w:cs="仿宋"/>
          <w:b/>
          <w:sz w:val="44"/>
          <w:szCs w:val="44"/>
          <w:highlight w:val="none"/>
        </w:rPr>
      </w:pPr>
    </w:p>
    <w:p w14:paraId="79EF2B72">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sz w:val="32"/>
          <w:szCs w:val="32"/>
          <w:highlight w:val="none"/>
        </w:rPr>
      </w:pPr>
      <w:r>
        <w:rPr>
          <w:rFonts w:hint="eastAsia" w:ascii="仿宋_GB2312" w:hAnsi="仿宋_GB2312" w:eastAsia="仿宋_GB2312" w:cs="仿宋_GB2312"/>
          <w:sz w:val="32"/>
          <w:szCs w:val="32"/>
          <w:highlight w:val="none"/>
          <w:lang w:eastAsia="zh-CN"/>
        </w:rPr>
        <w:t>贯彻落实区委区政府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，遵循“科学性、规范性、客观性和公正性”的原</w:t>
      </w:r>
      <w:r>
        <w:rPr>
          <w:rFonts w:hint="eastAsia" w:ascii="仿宋_GB2312" w:hAnsi="仿宋_GB2312" w:eastAsia="仿宋_GB2312" w:cs="仿宋_GB2312"/>
          <w:sz w:val="32"/>
          <w:szCs w:val="32"/>
          <w:highlight w:val="none"/>
          <w:lang w:eastAsia="zh-CN"/>
        </w:rPr>
        <w:t>则，对石家庄市藁城区科学技术和工业信息化局部门202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1B6647B1">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rPr>
        <w:t>一、</w:t>
      </w:r>
      <w:r>
        <w:rPr>
          <w:rFonts w:hint="eastAsia" w:ascii="黑体" w:hAnsi="黑体" w:eastAsia="黑体" w:cs="黑体"/>
          <w:sz w:val="32"/>
          <w:szCs w:val="32"/>
          <w:highlight w:val="none"/>
          <w:lang w:eastAsia="zh-CN"/>
        </w:rPr>
        <w:t>部门基本情况</w:t>
      </w:r>
    </w:p>
    <w:p w14:paraId="201FDA06">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楷体_GB2312" w:hAnsi="楷体_GB2312" w:eastAsia="楷体_GB2312" w:cs="楷体_GB2312"/>
          <w:bCs/>
          <w:sz w:val="32"/>
          <w:szCs w:val="32"/>
          <w:highlight w:val="none"/>
        </w:rPr>
        <w:t>（一）部门概况</w:t>
      </w:r>
    </w:p>
    <w:p w14:paraId="442E9C81">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石家庄市藁城区</w:t>
      </w:r>
      <w:r>
        <w:rPr>
          <w:rFonts w:hint="eastAsia" w:ascii="仿宋" w:hAnsi="仿宋" w:eastAsia="仿宋" w:cs="仿宋"/>
          <w:sz w:val="32"/>
          <w:szCs w:val="32"/>
          <w:highlight w:val="none"/>
          <w:lang w:val="en-US" w:eastAsia="zh-CN"/>
        </w:rPr>
        <w:t>科学技术和工业信息化局</w:t>
      </w:r>
      <w:r>
        <w:rPr>
          <w:rFonts w:hint="eastAsia" w:ascii="仿宋" w:hAnsi="仿宋" w:eastAsia="仿宋" w:cs="仿宋"/>
          <w:sz w:val="32"/>
          <w:szCs w:val="32"/>
          <w:highlight w:val="none"/>
        </w:rPr>
        <w:t>是根据石办字[2015]16号和藁办字[2015]4号文件精神设置的藁城区政府工作部门。</w:t>
      </w:r>
    </w:p>
    <w:p w14:paraId="36EEBC26">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1.部门</w:t>
      </w:r>
      <w:r>
        <w:rPr>
          <w:rFonts w:hint="eastAsia" w:ascii="仿宋" w:hAnsi="仿宋" w:eastAsia="仿宋" w:cs="仿宋"/>
          <w:sz w:val="32"/>
          <w:szCs w:val="32"/>
          <w:highlight w:val="none"/>
        </w:rPr>
        <w:t>职能</w:t>
      </w:r>
    </w:p>
    <w:p w14:paraId="4BB4114A">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（1）研究提出扶持工业企业发展政策和措施，对全市工业企业进行综合协调、指导和服务。</w:t>
      </w:r>
    </w:p>
    <w:p w14:paraId="6634236A">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（2）研究拟订全市工业企业发展中长期规划及年度计划、工业经济运行调控方案并组织实施。</w:t>
      </w:r>
    </w:p>
    <w:p w14:paraId="54927D64">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3）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w:t>
      </w:r>
    </w:p>
    <w:p w14:paraId="6C0B8739">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（4）指导和推进工业企业产业结构、组织结构和产品结构的调整；指导工业企业发展技术进步、新产品开发和技术改造工作；负责国有工业企业的改革工作。</w:t>
      </w:r>
    </w:p>
    <w:p w14:paraId="17AF5001">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（5）指导工业企业开展国内经济技术交流与合作；指导工业企业参与国际贸易和开拓国际市场；指导企业间的协作联合；协调落实企业项目建设。加强对工业利税大户的培育；协调推进工业系统名牌战略。</w:t>
      </w:r>
    </w:p>
    <w:p w14:paraId="5CC615FC">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（6）指导工业企业服务体系、担保体系和信用体系建设；承担市政府减轻企业负担的日常工作。</w:t>
      </w:r>
    </w:p>
    <w:p w14:paraId="142F2232">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（7）统筹推进全区信息化工作和负责协调维护全区信息安全保障体系建设。</w:t>
      </w:r>
    </w:p>
    <w:p w14:paraId="2A071D3C">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2.组织机构</w:t>
      </w:r>
    </w:p>
    <w:p w14:paraId="10375F21">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rPr>
        <w:t xml:space="preserve"> 年底我局共有在职人员</w:t>
      </w:r>
      <w:r>
        <w:rPr>
          <w:rFonts w:hint="eastAsia" w:ascii="仿宋" w:hAnsi="仿宋" w:eastAsia="仿宋" w:cs="仿宋"/>
          <w:sz w:val="32"/>
          <w:szCs w:val="32"/>
          <w:highlight w:val="none"/>
          <w:lang w:val="en-US" w:eastAsia="zh-CN"/>
        </w:rPr>
        <w:t>30</w:t>
      </w:r>
      <w:r>
        <w:rPr>
          <w:rFonts w:hint="eastAsia" w:ascii="仿宋" w:hAnsi="仿宋" w:eastAsia="仿宋" w:cs="仿宋"/>
          <w:sz w:val="32"/>
          <w:szCs w:val="32"/>
          <w:highlight w:val="none"/>
        </w:rPr>
        <w:t>人，设有办公室、</w:t>
      </w:r>
      <w:r>
        <w:rPr>
          <w:rFonts w:hint="eastAsia" w:ascii="仿宋" w:hAnsi="仿宋" w:eastAsia="仿宋" w:cs="仿宋"/>
          <w:sz w:val="32"/>
          <w:szCs w:val="32"/>
          <w:highlight w:val="none"/>
          <w:lang w:eastAsia="zh-CN"/>
        </w:rPr>
        <w:t>工业科、科技科、信息化科、综合科等</w:t>
      </w:r>
      <w:r>
        <w:rPr>
          <w:rFonts w:hint="eastAsia" w:ascii="仿宋" w:hAnsi="仿宋" w:eastAsia="仿宋" w:cs="仿宋"/>
          <w:sz w:val="32"/>
          <w:szCs w:val="32"/>
          <w:highlight w:val="none"/>
        </w:rPr>
        <w:t>科室。</w:t>
      </w:r>
    </w:p>
    <w:p w14:paraId="3A26EE94">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3.资产情况</w:t>
      </w:r>
    </w:p>
    <w:p w14:paraId="3473DD56">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rPr>
        <w:t>年资产总计7739</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rPr>
        <w:t>43万元，其中流动资产7400</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rPr>
        <w:t>7</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 xml:space="preserve"> 万元，非流动资产338</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rPr>
        <w:t>6</w:t>
      </w:r>
      <w:r>
        <w:rPr>
          <w:rFonts w:hint="eastAsia" w:ascii="仿宋" w:hAnsi="仿宋" w:eastAsia="仿宋" w:cs="仿宋"/>
          <w:sz w:val="32"/>
          <w:szCs w:val="32"/>
          <w:highlight w:val="none"/>
          <w:lang w:val="en-US" w:eastAsia="zh-CN"/>
        </w:rPr>
        <w:t>9</w:t>
      </w:r>
      <w:r>
        <w:rPr>
          <w:rFonts w:hint="eastAsia" w:ascii="仿宋" w:hAnsi="仿宋" w:eastAsia="仿宋" w:cs="仿宋"/>
          <w:sz w:val="32"/>
          <w:szCs w:val="32"/>
          <w:highlight w:val="none"/>
        </w:rPr>
        <w:t xml:space="preserve"> 万元。负债7446</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rPr>
        <w:t>87 万元，净资产292</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rPr>
        <w:t>56万元。</w:t>
      </w:r>
    </w:p>
    <w:p w14:paraId="5A9EFA0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（二）部门收支预决算情况</w:t>
      </w:r>
    </w:p>
    <w:p w14:paraId="303D54F7">
      <w:pPr>
        <w:snapToGrid w:val="0"/>
        <w:spacing w:line="520" w:lineRule="exact"/>
        <w:ind w:firstLine="640" w:firstLineChars="200"/>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202</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年初安排预算收入</w:t>
      </w:r>
      <w:r>
        <w:rPr>
          <w:rFonts w:hint="eastAsia" w:ascii="仿宋" w:hAnsi="仿宋" w:eastAsia="仿宋" w:cs="仿宋"/>
          <w:sz w:val="32"/>
          <w:szCs w:val="32"/>
          <w:highlight w:val="none"/>
          <w:lang w:val="en-US" w:eastAsia="zh-CN"/>
        </w:rPr>
        <w:t>1813.69</w:t>
      </w:r>
      <w:r>
        <w:rPr>
          <w:rFonts w:hint="eastAsia" w:ascii="仿宋" w:hAnsi="仿宋" w:eastAsia="仿宋" w:cs="仿宋"/>
          <w:sz w:val="32"/>
          <w:szCs w:val="32"/>
          <w:highlight w:val="none"/>
          <w:lang w:eastAsia="zh-CN"/>
        </w:rPr>
        <w:t>万元，预算支出</w:t>
      </w:r>
      <w:r>
        <w:rPr>
          <w:rFonts w:hint="eastAsia" w:ascii="仿宋" w:hAnsi="仿宋" w:eastAsia="仿宋" w:cs="仿宋"/>
          <w:sz w:val="32"/>
          <w:szCs w:val="32"/>
          <w:highlight w:val="none"/>
          <w:lang w:val="en-US" w:eastAsia="zh-CN"/>
        </w:rPr>
        <w:t>1813.69</w:t>
      </w:r>
      <w:r>
        <w:rPr>
          <w:rFonts w:hint="eastAsia" w:ascii="仿宋" w:hAnsi="仿宋" w:eastAsia="仿宋" w:cs="仿宋"/>
          <w:sz w:val="32"/>
          <w:szCs w:val="32"/>
          <w:highlight w:val="none"/>
          <w:lang w:eastAsia="zh-CN"/>
        </w:rPr>
        <w:t>万元。比去年同期</w:t>
      </w:r>
      <w:r>
        <w:rPr>
          <w:rFonts w:hint="eastAsia" w:ascii="仿宋" w:hAnsi="仿宋" w:eastAsia="仿宋" w:cs="仿宋"/>
          <w:sz w:val="32"/>
          <w:szCs w:val="32"/>
          <w:highlight w:val="none"/>
          <w:lang w:val="en-US" w:eastAsia="zh-CN"/>
        </w:rPr>
        <w:t xml:space="preserve"> 2952.73</w:t>
      </w:r>
      <w:r>
        <w:rPr>
          <w:rFonts w:hint="eastAsia" w:ascii="仿宋" w:hAnsi="仿宋" w:eastAsia="仿宋" w:cs="仿宋"/>
          <w:sz w:val="32"/>
          <w:szCs w:val="32"/>
          <w:highlight w:val="none"/>
          <w:lang w:eastAsia="zh-CN"/>
        </w:rPr>
        <w:t>万元，同比</w:t>
      </w:r>
      <w:r>
        <w:rPr>
          <w:rFonts w:hint="eastAsia" w:ascii="仿宋" w:hAnsi="仿宋" w:eastAsia="仿宋" w:cs="仿宋"/>
          <w:sz w:val="32"/>
          <w:szCs w:val="32"/>
          <w:highlight w:val="none"/>
          <w:lang w:val="en-US" w:eastAsia="zh-CN"/>
        </w:rPr>
        <w:t>降低38.56%</w:t>
      </w:r>
      <w:r>
        <w:rPr>
          <w:rFonts w:hint="eastAsia" w:ascii="仿宋" w:hAnsi="仿宋" w:eastAsia="仿宋" w:cs="仿宋"/>
          <w:sz w:val="32"/>
          <w:szCs w:val="32"/>
          <w:highlight w:val="none"/>
          <w:lang w:eastAsia="zh-CN"/>
        </w:rPr>
        <w:t>。主要原因是</w:t>
      </w:r>
      <w:r>
        <w:rPr>
          <w:rFonts w:hint="eastAsia" w:ascii="仿宋" w:hAnsi="仿宋" w:eastAsia="仿宋" w:cs="仿宋"/>
          <w:sz w:val="32"/>
          <w:szCs w:val="32"/>
          <w:highlight w:val="none"/>
          <w:lang w:val="en-US" w:eastAsia="zh-CN"/>
        </w:rPr>
        <w:t>减少</w:t>
      </w:r>
      <w:r>
        <w:rPr>
          <w:rFonts w:hint="eastAsia" w:ascii="仿宋_GB2312" w:hAnsi="仿宋" w:eastAsia="仿宋_GB2312"/>
          <w:sz w:val="32"/>
          <w:szCs w:val="32"/>
          <w:highlight w:val="none"/>
          <w:lang w:val="en-US" w:eastAsia="zh-CN"/>
        </w:rPr>
        <w:t>了项目支出资金</w:t>
      </w:r>
      <w:r>
        <w:rPr>
          <w:rFonts w:hint="eastAsia" w:ascii="仿宋_GB2312" w:hAnsi="仿宋" w:eastAsia="仿宋_GB2312"/>
          <w:sz w:val="32"/>
          <w:szCs w:val="32"/>
          <w:highlight w:val="none"/>
          <w:lang w:eastAsia="zh-CN"/>
        </w:rPr>
        <w:t>。</w:t>
      </w:r>
    </w:p>
    <w:p w14:paraId="70B0DFB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（三）部门整体支出绩效目标、指标</w:t>
      </w:r>
    </w:p>
    <w:p w14:paraId="779640C3">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坚持以习近平新时代中国特色社会主义思想为指导，深入学习贯彻党的二十大和二十届二中全会精神，严格执行财政资金拨付要求，积极履行部门职责，促进全区工业经济发展。</w:t>
      </w:r>
    </w:p>
    <w:p w14:paraId="60B42604">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ascii="黑体" w:hAnsi="黑体" w:eastAsia="黑体" w:cs="黑体"/>
          <w:sz w:val="32"/>
          <w:szCs w:val="32"/>
          <w:highlight w:val="none"/>
        </w:rPr>
      </w:pPr>
      <w:r>
        <w:rPr>
          <w:rFonts w:hint="eastAsia" w:ascii="黑体" w:hAnsi="黑体" w:eastAsia="黑体" w:cs="黑体"/>
          <w:sz w:val="32"/>
          <w:szCs w:val="32"/>
          <w:highlight w:val="none"/>
        </w:rPr>
        <w:t>二、绩效</w:t>
      </w:r>
      <w:r>
        <w:rPr>
          <w:rFonts w:hint="eastAsia" w:ascii="黑体" w:hAnsi="黑体" w:eastAsia="黑体" w:cs="黑体"/>
          <w:sz w:val="32"/>
          <w:szCs w:val="32"/>
          <w:highlight w:val="none"/>
          <w:lang w:eastAsia="zh-CN"/>
        </w:rPr>
        <w:t>自评工作开展</w:t>
      </w:r>
      <w:r>
        <w:rPr>
          <w:rFonts w:hint="eastAsia" w:ascii="黑体" w:hAnsi="黑体" w:eastAsia="黑体" w:cs="黑体"/>
          <w:sz w:val="32"/>
          <w:szCs w:val="32"/>
          <w:highlight w:val="none"/>
        </w:rPr>
        <w:t>情况</w:t>
      </w:r>
    </w:p>
    <w:p w14:paraId="511E6382">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为加强财政支出管理，提高财政资金使用效益，根据《藁城区区级部门预算项目绩效自评管理办法》（藁财字〔2020〕23号），遵循“科学性、规范性、客观性和公正性”的原则，石家庄市藁城区</w:t>
      </w:r>
      <w:r>
        <w:rPr>
          <w:rFonts w:hint="eastAsia" w:ascii="仿宋" w:hAnsi="仿宋" w:eastAsia="仿宋" w:cs="仿宋"/>
          <w:sz w:val="32"/>
          <w:szCs w:val="32"/>
          <w:highlight w:val="none"/>
          <w:lang w:val="en-US" w:eastAsia="zh-CN"/>
        </w:rPr>
        <w:t>科学技术和工业信息化局</w:t>
      </w:r>
      <w:r>
        <w:rPr>
          <w:rFonts w:hint="eastAsia" w:ascii="仿宋" w:hAnsi="仿宋" w:eastAsia="仿宋" w:cs="仿宋"/>
          <w:sz w:val="32"/>
          <w:szCs w:val="32"/>
          <w:highlight w:val="none"/>
        </w:rPr>
        <w:t>成立了自评工作领导小组，由自评工作领导小组对</w:t>
      </w:r>
      <w:r>
        <w:rPr>
          <w:rFonts w:hint="eastAsia" w:ascii="仿宋" w:hAnsi="仿宋" w:eastAsia="仿宋" w:cs="仿宋"/>
          <w:sz w:val="32"/>
          <w:szCs w:val="32"/>
          <w:highlight w:val="none"/>
          <w:lang w:val="en-US" w:eastAsia="zh-CN"/>
        </w:rPr>
        <w:t>专项</w:t>
      </w:r>
      <w:r>
        <w:rPr>
          <w:rFonts w:hint="eastAsia" w:ascii="仿宋" w:hAnsi="仿宋" w:eastAsia="仿宋" w:cs="仿宋"/>
          <w:sz w:val="32"/>
          <w:szCs w:val="32"/>
          <w:highlight w:val="none"/>
        </w:rPr>
        <w:t>资金项目实施了财政支出绩效自评价，自评工作小组组长由</w:t>
      </w:r>
      <w:r>
        <w:rPr>
          <w:rFonts w:hint="eastAsia" w:ascii="仿宋" w:hAnsi="仿宋" w:eastAsia="仿宋" w:cs="仿宋"/>
          <w:sz w:val="32"/>
          <w:szCs w:val="32"/>
          <w:highlight w:val="none"/>
          <w:lang w:val="en-US" w:eastAsia="zh-CN"/>
        </w:rPr>
        <w:t>李宝龙副</w:t>
      </w:r>
      <w:r>
        <w:rPr>
          <w:rFonts w:hint="eastAsia" w:ascii="仿宋" w:hAnsi="仿宋" w:eastAsia="仿宋" w:cs="仿宋"/>
          <w:sz w:val="32"/>
          <w:szCs w:val="32"/>
          <w:highlight w:val="none"/>
        </w:rPr>
        <w:t>局长担任。</w:t>
      </w:r>
    </w:p>
    <w:p w14:paraId="14D78DCC">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评价采用定量分析和定性分析相结合的方式，对包括部门绩效自评工作的组织情况、实施过程</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部门预算安排及资金分配拨付</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部门日常财务管理、专项监督检查及审计部门审查意见等情况进行综合评价。</w:t>
      </w:r>
    </w:p>
    <w:p w14:paraId="2C68DD33">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10" w:leftChars="0" w:right="0" w:firstLine="640" w:firstLineChars="0"/>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部门整体支出绩效目标实现情况及指标分析</w:t>
      </w:r>
    </w:p>
    <w:p w14:paraId="7BE45647">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通过绩效自评结果对比倒查，部分项目绩效目标设定清晰准确，较为符合实际情况，绩效指标全面完整，绩效标准恰当适宜、易于评价</w:t>
      </w:r>
      <w:r>
        <w:rPr>
          <w:rFonts w:hint="eastAsia" w:ascii="仿宋" w:hAnsi="仿宋" w:eastAsia="仿宋" w:cs="仿宋"/>
          <w:sz w:val="32"/>
          <w:szCs w:val="32"/>
          <w:highlight w:val="none"/>
          <w:lang w:eastAsia="zh-CN"/>
        </w:rPr>
        <w:t>。</w:t>
      </w:r>
    </w:p>
    <w:p w14:paraId="1A0606BD">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资金拨付准确及时，有意外情况导致专项资金无法下发的，做到了及时联系上级主管部门，将资金收回。</w:t>
      </w:r>
    </w:p>
    <w:p w14:paraId="4B17E6D7">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10" w:leftChars="0" w:right="0" w:firstLine="640" w:firstLineChars="0"/>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评价结论和评价等级</w:t>
      </w:r>
    </w:p>
    <w:p w14:paraId="790859A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财政拨付资金对我单位项目的顺利开展等方面有着重要意义，我单位本着按制度、规定办事的原则，不滥用资金，将资金落</w:t>
      </w:r>
      <w:bookmarkStart w:id="0" w:name="_GoBack"/>
      <w:bookmarkEnd w:id="0"/>
      <w:r>
        <w:rPr>
          <w:rFonts w:hint="eastAsia" w:ascii="仿宋" w:hAnsi="仿宋" w:eastAsia="仿宋" w:cs="仿宋"/>
          <w:sz w:val="32"/>
          <w:szCs w:val="32"/>
          <w:highlight w:val="none"/>
          <w:lang w:val="en-US" w:eastAsia="zh-CN"/>
        </w:rPr>
        <w:t>到实处。综合评价2024年度项目，绩效自评得分为98分，</w:t>
      </w:r>
      <w:r>
        <w:rPr>
          <w:rFonts w:hint="eastAsia" w:ascii="仿宋_GB2312" w:hAnsi="仿宋_GB2312" w:eastAsia="仿宋_GB2312" w:cs="仿宋_GB2312"/>
          <w:sz w:val="32"/>
          <w:szCs w:val="32"/>
          <w:highlight w:val="none"/>
          <w:lang w:eastAsia="zh-CN"/>
        </w:rPr>
        <w:t>优秀</w:t>
      </w:r>
      <w:r>
        <w:rPr>
          <w:rFonts w:hint="eastAsia" w:ascii="仿宋" w:hAnsi="仿宋" w:eastAsia="仿宋" w:cs="仿宋"/>
          <w:sz w:val="32"/>
          <w:szCs w:val="32"/>
          <w:highlight w:val="none"/>
          <w:lang w:val="en-US" w:eastAsia="zh-CN"/>
        </w:rPr>
        <w:t>。</w:t>
      </w:r>
    </w:p>
    <w:p w14:paraId="4D806C4B">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ascii="黑体" w:hAnsi="黑体" w:eastAsia="黑体" w:cs="黑体"/>
          <w:sz w:val="32"/>
          <w:szCs w:val="32"/>
          <w:highlight w:val="none"/>
        </w:rPr>
      </w:pPr>
      <w:r>
        <w:rPr>
          <w:rFonts w:hint="eastAsia" w:ascii="黑体" w:hAnsi="黑体" w:eastAsia="黑体" w:cs="黑体"/>
          <w:b w:val="0"/>
          <w:bCs w:val="0"/>
          <w:sz w:val="32"/>
          <w:szCs w:val="32"/>
          <w:highlight w:val="none"/>
          <w:lang w:eastAsia="zh-CN"/>
        </w:rPr>
        <w:t>五</w:t>
      </w:r>
      <w:r>
        <w:rPr>
          <w:rFonts w:hint="eastAsia" w:ascii="黑体" w:hAnsi="黑体" w:eastAsia="黑体" w:cs="黑体"/>
          <w:b w:val="0"/>
          <w:bCs w:val="0"/>
          <w:sz w:val="32"/>
          <w:szCs w:val="32"/>
          <w:highlight w:val="none"/>
        </w:rPr>
        <w:t>、整改措</w:t>
      </w:r>
      <w:r>
        <w:rPr>
          <w:rFonts w:hint="eastAsia" w:ascii="黑体" w:hAnsi="黑体" w:eastAsia="黑体" w:cs="黑体"/>
          <w:sz w:val="32"/>
          <w:szCs w:val="32"/>
          <w:highlight w:val="none"/>
        </w:rPr>
        <w:t>施及结果应用</w:t>
      </w:r>
    </w:p>
    <w:p w14:paraId="25483E07">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（一）存在的主要问题</w:t>
      </w:r>
    </w:p>
    <w:p w14:paraId="01B1D0B1">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楷体_GB2312" w:hAnsi="楷体_GB2312" w:eastAsia="楷体_GB2312" w:cs="楷体_GB2312"/>
          <w:bCs/>
          <w:sz w:val="32"/>
          <w:szCs w:val="32"/>
          <w:highlight w:val="none"/>
        </w:rPr>
      </w:pPr>
      <w:r>
        <w:rPr>
          <w:rFonts w:hint="eastAsia" w:ascii="仿宋" w:hAnsi="仿宋" w:eastAsia="仿宋" w:cs="仿宋"/>
          <w:sz w:val="32"/>
          <w:szCs w:val="32"/>
          <w:highlight w:val="none"/>
        </w:rPr>
        <w:t>通过总结</w:t>
      </w:r>
      <w:r>
        <w:rPr>
          <w:rFonts w:hint="eastAsia" w:ascii="仿宋" w:hAnsi="仿宋" w:eastAsia="仿宋" w:cs="仿宋"/>
          <w:sz w:val="32"/>
          <w:szCs w:val="32"/>
          <w:highlight w:val="none"/>
          <w:lang w:val="en-US" w:eastAsia="zh-CN"/>
        </w:rPr>
        <w:t>2024</w:t>
      </w:r>
      <w:r>
        <w:rPr>
          <w:rFonts w:hint="eastAsia" w:ascii="仿宋" w:hAnsi="仿宋" w:eastAsia="仿宋" w:cs="仿宋"/>
          <w:sz w:val="32"/>
          <w:szCs w:val="32"/>
          <w:highlight w:val="none"/>
        </w:rPr>
        <w:t>年度的绩效自评结果，发现我局存在绩效指标制定研究制定不清晰，绩效指标设定表面化等问题。</w:t>
      </w:r>
    </w:p>
    <w:p w14:paraId="4E5D6155">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楷体_GB2312" w:hAnsi="楷体_GB2312" w:eastAsia="楷体_GB2312" w:cs="楷体_GB2312"/>
          <w:bCs/>
          <w:sz w:val="32"/>
          <w:szCs w:val="32"/>
          <w:highlight w:val="none"/>
        </w:rPr>
        <w:t>（二）针对问题提出具体的改进措施或建议</w:t>
      </w:r>
    </w:p>
    <w:p w14:paraId="60D336AE">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针对自评过程中发现的问题，我们采取了针对性的整改措施。</w:t>
      </w:r>
    </w:p>
    <w:p w14:paraId="570E112B">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（1）科学设定绩效目标和指标</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充分挖掘项目实施的价值和意义，根据项目实际情况设置完善的绩效目标，做到绩效目标针对项目特点清晰明确且细化，绩效目标依据充分。</w:t>
      </w:r>
    </w:p>
    <w:p w14:paraId="112A53B1">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rPr>
        <w:t>）对绩效评价工作进行培训，确保工作效率和效果。为提高日后的工作质量，确保我局进一步提高绩效目标设置质量</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我局</w:t>
      </w:r>
      <w:r>
        <w:rPr>
          <w:rFonts w:hint="eastAsia" w:ascii="仿宋" w:hAnsi="仿宋" w:eastAsia="仿宋" w:cs="仿宋"/>
          <w:sz w:val="32"/>
          <w:szCs w:val="32"/>
          <w:highlight w:val="none"/>
          <w:lang w:val="en-US" w:eastAsia="zh-CN"/>
        </w:rPr>
        <w:t>将</w:t>
      </w:r>
      <w:r>
        <w:rPr>
          <w:rFonts w:hint="eastAsia" w:ascii="仿宋" w:hAnsi="仿宋" w:eastAsia="仿宋" w:cs="仿宋"/>
          <w:sz w:val="32"/>
          <w:szCs w:val="32"/>
          <w:highlight w:val="none"/>
        </w:rPr>
        <w:t>向财政局有关业务</w:t>
      </w:r>
      <w:r>
        <w:rPr>
          <w:rFonts w:hint="eastAsia" w:ascii="仿宋" w:hAnsi="仿宋" w:eastAsia="仿宋" w:cs="仿宋"/>
          <w:sz w:val="32"/>
          <w:szCs w:val="32"/>
          <w:highlight w:val="none"/>
          <w:lang w:val="en-US" w:eastAsia="zh-CN"/>
        </w:rPr>
        <w:t>股</w:t>
      </w:r>
      <w:r>
        <w:rPr>
          <w:rFonts w:hint="eastAsia" w:ascii="仿宋" w:hAnsi="仿宋" w:eastAsia="仿宋" w:cs="仿宋"/>
          <w:sz w:val="32"/>
          <w:szCs w:val="32"/>
          <w:highlight w:val="none"/>
        </w:rPr>
        <w:t>室请教提高部门绩效方面的具体做法</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改进管理、优化流程</w:t>
      </w:r>
      <w:r>
        <w:rPr>
          <w:rFonts w:hint="eastAsia" w:ascii="仿宋" w:hAnsi="仿宋" w:eastAsia="仿宋" w:cs="仿宋"/>
          <w:sz w:val="32"/>
          <w:szCs w:val="32"/>
          <w:highlight w:val="none"/>
          <w:lang w:eastAsia="zh-CN"/>
        </w:rPr>
        <w:t>。</w:t>
      </w:r>
    </w:p>
    <w:p w14:paraId="26F8CC38">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highlight w:val="none"/>
          <w:lang w:eastAsia="zh-CN"/>
        </w:rPr>
      </w:pPr>
      <w:r>
        <w:rPr>
          <w:rFonts w:hint="eastAsia" w:ascii="黑体" w:hAnsi="黑体" w:eastAsia="黑体" w:cs="黑体"/>
          <w:b w:val="0"/>
          <w:bCs w:val="0"/>
          <w:sz w:val="32"/>
          <w:szCs w:val="32"/>
          <w:highlight w:val="none"/>
          <w:lang w:eastAsia="zh-CN"/>
        </w:rPr>
        <w:t>六、评价工作组人员名单及签字</w:t>
      </w:r>
    </w:p>
    <w:tbl>
      <w:tblPr>
        <w:tblStyle w:val="5"/>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5"/>
        <w:gridCol w:w="3096"/>
        <w:gridCol w:w="3096"/>
      </w:tblGrid>
      <w:tr w14:paraId="5BA42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2B47DCEB">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val="en-US" w:eastAsia="zh-CN"/>
              </w:rPr>
            </w:pPr>
            <w:r>
              <w:rPr>
                <w:rFonts w:hint="eastAsia" w:ascii="仿宋" w:hAnsi="仿宋" w:eastAsia="仿宋" w:cs="仿宋"/>
                <w:sz w:val="32"/>
                <w:szCs w:val="32"/>
                <w:highlight w:val="none"/>
                <w:vertAlign w:val="baseline"/>
                <w:lang w:val="en-US" w:eastAsia="zh-CN"/>
              </w:rPr>
              <w:t>工作单位</w:t>
            </w:r>
          </w:p>
        </w:tc>
        <w:tc>
          <w:tcPr>
            <w:tcW w:w="3096" w:type="dxa"/>
          </w:tcPr>
          <w:p w14:paraId="3E6A029F">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职务</w:t>
            </w:r>
          </w:p>
        </w:tc>
        <w:tc>
          <w:tcPr>
            <w:tcW w:w="3096" w:type="dxa"/>
          </w:tcPr>
          <w:p w14:paraId="29ECA44A">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姓名</w:t>
            </w:r>
          </w:p>
        </w:tc>
      </w:tr>
      <w:tr w14:paraId="10414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059D817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藁城区科工局</w:t>
            </w:r>
          </w:p>
        </w:tc>
        <w:tc>
          <w:tcPr>
            <w:tcW w:w="3096" w:type="dxa"/>
          </w:tcPr>
          <w:p w14:paraId="2E4A7ABC">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副局长</w:t>
            </w:r>
          </w:p>
        </w:tc>
        <w:tc>
          <w:tcPr>
            <w:tcW w:w="3096" w:type="dxa"/>
          </w:tcPr>
          <w:p w14:paraId="60096D9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 w:hAnsi="仿宋" w:eastAsia="仿宋" w:cs="仿宋"/>
                <w:sz w:val="32"/>
                <w:szCs w:val="32"/>
                <w:highlight w:val="none"/>
                <w:vertAlign w:val="baseline"/>
                <w:lang w:eastAsia="zh-CN"/>
              </w:rPr>
            </w:pPr>
          </w:p>
        </w:tc>
      </w:tr>
      <w:tr w14:paraId="316BC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95" w:type="dxa"/>
          </w:tcPr>
          <w:p w14:paraId="342FD68B">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藁城区科工局</w:t>
            </w:r>
          </w:p>
        </w:tc>
        <w:tc>
          <w:tcPr>
            <w:tcW w:w="3096" w:type="dxa"/>
          </w:tcPr>
          <w:p w14:paraId="04072408">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副局长</w:t>
            </w:r>
          </w:p>
        </w:tc>
        <w:tc>
          <w:tcPr>
            <w:tcW w:w="3096" w:type="dxa"/>
          </w:tcPr>
          <w:p w14:paraId="6DE87F6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 w:hAnsi="仿宋" w:eastAsia="仿宋" w:cs="仿宋"/>
                <w:sz w:val="32"/>
                <w:szCs w:val="32"/>
                <w:highlight w:val="none"/>
                <w:vertAlign w:val="baseline"/>
                <w:lang w:eastAsia="zh-CN"/>
              </w:rPr>
            </w:pPr>
          </w:p>
        </w:tc>
      </w:tr>
    </w:tbl>
    <w:p w14:paraId="76BD7A7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 w:hAnsi="仿宋" w:eastAsia="仿宋" w:cs="仿宋"/>
          <w:sz w:val="32"/>
          <w:szCs w:val="32"/>
          <w:highlight w:val="none"/>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2A414">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059B6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4059B6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4FE825">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0812699B"/>
    <w:rsid w:val="0F734919"/>
    <w:rsid w:val="137E13F1"/>
    <w:rsid w:val="13B61930"/>
    <w:rsid w:val="1461102C"/>
    <w:rsid w:val="18405CDD"/>
    <w:rsid w:val="19EF4292"/>
    <w:rsid w:val="1BAF1154"/>
    <w:rsid w:val="1C655171"/>
    <w:rsid w:val="20276775"/>
    <w:rsid w:val="20D17185"/>
    <w:rsid w:val="252238AB"/>
    <w:rsid w:val="27A075A5"/>
    <w:rsid w:val="2A2729D2"/>
    <w:rsid w:val="2DED73F9"/>
    <w:rsid w:val="2FC765E4"/>
    <w:rsid w:val="3AEF6FE7"/>
    <w:rsid w:val="3B582C6F"/>
    <w:rsid w:val="3F014150"/>
    <w:rsid w:val="40801B06"/>
    <w:rsid w:val="43AA39BB"/>
    <w:rsid w:val="43B727E6"/>
    <w:rsid w:val="45AC22C5"/>
    <w:rsid w:val="479B47AF"/>
    <w:rsid w:val="483830FF"/>
    <w:rsid w:val="493B718D"/>
    <w:rsid w:val="50A87ED0"/>
    <w:rsid w:val="53A42ADD"/>
    <w:rsid w:val="596F5FFB"/>
    <w:rsid w:val="5C4A315B"/>
    <w:rsid w:val="60162CA8"/>
    <w:rsid w:val="62E8789F"/>
    <w:rsid w:val="661D3074"/>
    <w:rsid w:val="69A37CBE"/>
    <w:rsid w:val="6BDE7164"/>
    <w:rsid w:val="6E137257"/>
    <w:rsid w:val="6E577A92"/>
    <w:rsid w:val="7111233A"/>
    <w:rsid w:val="72525EF8"/>
    <w:rsid w:val="7CD261C8"/>
    <w:rsid w:val="7DF40C5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Pages>
  <Words>1706</Words>
  <Characters>1800</Characters>
  <Lines>3</Lines>
  <Paragraphs>1</Paragraphs>
  <TotalTime>1</TotalTime>
  <ScaleCrop>false</ScaleCrop>
  <LinksUpToDate>false</LinksUpToDate>
  <CharactersWithSpaces>1805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2025-05-06T06:00:42Z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032C074AE4E04C048001204E4DE852D1_13</vt:lpwstr>
  </property>
</Properties>
</file>