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38804">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439DF7D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2C522138">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石家庄市藁城区民族宗教事务局</w:t>
      </w:r>
    </w:p>
    <w:p w14:paraId="537E12C6">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年度整体支出绩效自评工作报告</w:t>
      </w:r>
    </w:p>
    <w:p w14:paraId="2996E8B1">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45C21C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民宗局</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407C5FE1">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6100BA8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70BC17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简述部门职能、组织机构及人员、资产等基本情况。</w:t>
      </w:r>
    </w:p>
    <w:p w14:paraId="678C77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部门职能：</w:t>
      </w:r>
    </w:p>
    <w:p w14:paraId="24C429D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1、贯彻执行党和国家民族、宗教工作方针、政策，研究并拟订全区有关民族、宗教事务的规范性文件，制定落实措施并监督检查执行情况。开展民族、宗教法律、法规和政策的宣传教育工作。</w:t>
      </w:r>
    </w:p>
    <w:p w14:paraId="42EE15A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全区民族关系，促进各民族间的平等团结、互相合作，依法保护少数民族合法权益。处理涉及民族关系的有关事宜。建立和完善少数民族事业发展综合评价监测体系，推进实施民族事务服务体系和民族事务管理信息化建设。组织承办区民族团结进步表彰活动。</w:t>
      </w:r>
    </w:p>
    <w:p w14:paraId="27B8D44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3、配合有关部门做好少数民族的扶贫工作。参与有关少数民族的专项贷款、专项资金的分配和使用管理。</w:t>
      </w:r>
    </w:p>
    <w:p w14:paraId="38436039">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4、协调有关部门促进全区少数民族教育、科技、文化、卫生、体育等社会事业的发展。</w:t>
      </w:r>
    </w:p>
    <w:p w14:paraId="3C00C9F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5、依法保护公民宗教信仰自由，维护宗教团体和宗教场所的合法权益，保护宗教教职人员履行正常的教务活动，保护信教群众正常的宗教活动。</w:t>
      </w:r>
    </w:p>
    <w:p w14:paraId="6B7A6E0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6、依法加强对全区宗教事务的管理，引导宗教在法律、法规和政策范围内活动，防止和制止利用宗教进行非法、违法活动，抵御境外利用宗教进行的渗透活动。</w:t>
      </w:r>
    </w:p>
    <w:p w14:paraId="54CD4A3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7、配合有关部门和宗教界开展对外以及对港澳台的宗教交往活动和涉及民族和宗教对外宣传工作。</w:t>
      </w:r>
    </w:p>
    <w:p w14:paraId="7CC7997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8、协助有关部门做好全区少数民族干部和各类专业技术人才的培养、教育和使用工作。</w:t>
      </w:r>
    </w:p>
    <w:p w14:paraId="6EB9AA9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9、指导乡（镇）、村民族、宗教工作，及时处理民族、宗教方面的突发事件和影响社会稳定的因素。</w:t>
      </w:r>
    </w:p>
    <w:p w14:paraId="73C5E32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10、按程序做好清真食品生产经营许可的审批工作。依法做好清真食品生产经营的监管工作，打击违法生产经营清真食品经营的行为，维护少数民族合法权益。</w:t>
      </w:r>
    </w:p>
    <w:p w14:paraId="4E3EC5A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11、承办区政府交办的其他事项。</w:t>
      </w:r>
    </w:p>
    <w:p w14:paraId="5BD78A4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组织机构及人员、资产等基本情况。</w:t>
      </w:r>
    </w:p>
    <w:p w14:paraId="2ABA2C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226"/>
        <w:gridCol w:w="1985"/>
        <w:gridCol w:w="2384"/>
      </w:tblGrid>
      <w:tr w14:paraId="30E5C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7D3E56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226" w:type="dxa"/>
            <w:vAlign w:val="center"/>
          </w:tcPr>
          <w:p w14:paraId="578D3CD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85" w:type="dxa"/>
            <w:vAlign w:val="center"/>
          </w:tcPr>
          <w:p w14:paraId="450BBE6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384" w:type="dxa"/>
            <w:vAlign w:val="center"/>
          </w:tcPr>
          <w:p w14:paraId="228EE1C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AA9B4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344676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226" w:type="dxa"/>
          </w:tcPr>
          <w:p w14:paraId="5AAAD490">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石家庄市藁城区民族宗教事务局</w:t>
            </w:r>
          </w:p>
        </w:tc>
        <w:tc>
          <w:tcPr>
            <w:tcW w:w="1985" w:type="dxa"/>
          </w:tcPr>
          <w:p w14:paraId="0D253A8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384" w:type="dxa"/>
          </w:tcPr>
          <w:p w14:paraId="6D4AC4B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14:paraId="03181E6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本单位编制人数8人，年末实有人数7人。</w:t>
      </w:r>
    </w:p>
    <w:p w14:paraId="0FF12AD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2024年末资产总额22.42万元。</w:t>
      </w:r>
    </w:p>
    <w:p w14:paraId="1D9AA114">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部门收支预决算情况</w:t>
      </w:r>
    </w:p>
    <w:p w14:paraId="065D2BBB">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本部门2024年度预算收支307.16万元，其中基本支出246.64万元，项目支出60.52万元。</w:t>
      </w:r>
    </w:p>
    <w:p w14:paraId="2C75AFF7">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本部门2024年度决算收支291.86万元，其中基本支出234.68万元，项目支出57.18万元。</w:t>
      </w:r>
    </w:p>
    <w:p w14:paraId="01F731F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（三）部门整体支出绩效目标、指标</w:t>
      </w:r>
    </w:p>
    <w:p w14:paraId="1E75405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总体绩效目标：坚持以习近平新时代中国特色社会主义思想为指导，深入贯彻党的二十大和二十届各次会不会精神，做好新时代新阶段的民族宗教工作，全面落实省委十届三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w:t>
      </w:r>
    </w:p>
    <w:p w14:paraId="48233C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分项绩效目标：（一）加强宗教政策贯彻落实,宣传教育宗教界代表人士。</w:t>
      </w:r>
    </w:p>
    <w:p w14:paraId="1AE43C8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绩效目标：贯彻执行党和国家民族、宗教工作方针、政策，开展民族、宗教法律、法规和政策的宣传教育工作。 </w:t>
      </w:r>
    </w:p>
    <w:p w14:paraId="0D87A1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100人以上，全年开展宣传民族宗教法律、法规和教育引导政策范围内活动，防止和制止利用宗教进行非法、违法活动，抵御境外利用宗教进行的渗透活动。</w:t>
      </w:r>
    </w:p>
    <w:p w14:paraId="18A269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（二）做好民族维稳工作，提升民族地区社会事业发展。</w:t>
      </w:r>
    </w:p>
    <w:p w14:paraId="0023EFF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绩效目标：处理涉及民族关系的有关事宜。建立和完善少数民族事业发展综合评价监测体系，推进实施民族事务服务体系和民族事务管理信息化建设。组织承办区民族团结进步表彰活动。</w:t>
      </w:r>
    </w:p>
    <w:p w14:paraId="61CB5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绩效指标：广泛宣传民族宗教政策，营造“三个离不开思想”。积极谋划和帮助全区少数民族乡村各项社会事业发展。深入少数民族乡村各项工作的调查研究，每年不少于3次。</w:t>
      </w:r>
    </w:p>
    <w:p w14:paraId="3CFD99A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（三）进一步加强基层宗教工作，确保宗教活动有序开展。</w:t>
      </w:r>
    </w:p>
    <w:p w14:paraId="5C7C14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4B3FD8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绩效指标：维护宗教团体和宗教场所的合法权益，保护宗教教职人员履行正常的教务活动，保护信教群众正常的宗教活动。及时处理民族、宗教方面的突发事件和影响社会稳定的因素。</w:t>
      </w:r>
    </w:p>
    <w:p w14:paraId="595911B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结合相关部门及乡镇，加大非法宗教活动场所检查力度，坚决取缔非法宗教活动场所和非法宗教活动，每年督导检查3次以上。</w:t>
      </w:r>
    </w:p>
    <w:p w14:paraId="6A8DFF4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B93FAE6">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自评的组织工作</w:t>
      </w:r>
    </w:p>
    <w:p w14:paraId="5095BB5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成立预算绩效评价小组。为保证绩效评价工作顺利开展，石家庄市藁城区民族宗教事务局成立了绩效评价小组，负责绩效评价的组织管理等工作。</w:t>
      </w:r>
    </w:p>
    <w:p w14:paraId="2CBA6F48">
      <w:pPr>
        <w:keepNext w:val="0"/>
        <w:keepLines w:val="0"/>
        <w:pageBreakBefore w:val="0"/>
        <w:widowControl w:val="0"/>
        <w:numPr>
          <w:ilvl w:val="0"/>
          <w:numId w:val="3"/>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自评的方法和过程</w:t>
      </w:r>
    </w:p>
    <w:p w14:paraId="788EC579">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 xml:space="preserve">    石家庄市藁城区民族宗教事务局按照藁财字【2020】23号文件《藁城区财政局关于印发&lt;藁城区区级部门预算项目绩效自评管理办法&gt;的通知》要求整理相关数据和资料，对部门综合绩效情况进行自我评价，由绩效评价领导小组牵头，组织局各科室对2024年所有与本部门相关的财政支出项目开展了自评，逐个项目填报了《区级部门预算项目自评表》，并撰写《2024部门年度绩效自评工作报告》。</w:t>
      </w:r>
    </w:p>
    <w:p w14:paraId="45AEB21B">
      <w:pPr>
        <w:keepNext w:val="0"/>
        <w:keepLines w:val="0"/>
        <w:pageBreakBefore w:val="0"/>
        <w:widowControl w:val="0"/>
        <w:numPr>
          <w:ilvl w:val="0"/>
          <w:numId w:val="0"/>
        </w:numPr>
        <w:kinsoku/>
        <w:wordWrap/>
        <w:overflowPunct/>
        <w:topLinePunct w:val="0"/>
        <w:autoSpaceDE/>
        <w:autoSpaceDN/>
        <w:bidi w:val="0"/>
        <w:spacing w:line="560" w:lineRule="exact"/>
        <w:ind w:leftChars="200" w:firstLine="640" w:firstLineChars="200"/>
        <w:textAlignment w:val="auto"/>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石家庄市藁城区民族宗教事务局严格执行财经制度和管理规定，按时完成预算执行进度，严格控制、合理利用各项经费，按要求进行预算管理。</w:t>
      </w:r>
    </w:p>
    <w:p w14:paraId="41714633">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仿宋_GB2312" w:hAnsi="仿宋_GB2312" w:eastAsia="仿宋_GB2312" w:cs="仿宋_GB2312"/>
          <w:bCs/>
          <w:sz w:val="32"/>
          <w:szCs w:val="32"/>
          <w:lang w:val="en-US" w:eastAsia="zh-CN"/>
        </w:rPr>
      </w:pPr>
    </w:p>
    <w:p w14:paraId="3EC7312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部门整体支出绩效目标实现情况及指标分析</w:t>
      </w:r>
    </w:p>
    <w:p w14:paraId="0F4E6CF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我局按照持续深入开展民族团结进步创建工作，扎实稳步推进民族乡村经济社会发展，坚持重拳整治宗教领域突出问题，高效稳妥处理民族宗教因素矛盾纠纷，持之以恒推进机关全面建设上水平的总体工作思路，认真谋划，狠抓落实。</w:t>
      </w:r>
    </w:p>
    <w:p w14:paraId="37F7F1C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本着民族地区发展的原则，紧紧围绕少数民族特色村寨建设，加快少数民族乡村基础设施，加速提升少数民族群众生产生活水平，提高少数民族群众幸福指数，努力使全区民族乡村的生产生活条件和环境面貌得到明显改善。</w:t>
      </w:r>
    </w:p>
    <w:p w14:paraId="1989667F">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为确保全区宗教领域安全稳定，适应新时期宗教领域与社会发展的需要，提升宗教界队伍的整体素质，有效贯彻执行国家关于宗教工作的方针政策，依法管理宗教事务，监督检查宗教活动场所，为藁城区宗教领域和谐稳定打下良好基础。按年初预算，我局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eastAsia="zh-CN"/>
        </w:rPr>
        <w:t>年</w:t>
      </w:r>
      <w:r>
        <w:rPr>
          <w:rFonts w:hint="eastAsia" w:ascii="仿宋_GB2312" w:hAnsi="仿宋_GB2312" w:eastAsia="仿宋_GB2312" w:cs="仿宋_GB2312"/>
          <w:b w:val="0"/>
          <w:bCs w:val="0"/>
          <w:sz w:val="32"/>
          <w:szCs w:val="32"/>
          <w:lang w:val="en-US" w:eastAsia="zh-CN"/>
        </w:rPr>
        <w:t>调整</w:t>
      </w:r>
      <w:r>
        <w:rPr>
          <w:rFonts w:hint="eastAsia" w:ascii="仿宋_GB2312" w:hAnsi="仿宋_GB2312" w:eastAsia="仿宋_GB2312" w:cs="仿宋_GB2312"/>
          <w:b w:val="0"/>
          <w:bCs w:val="0"/>
          <w:sz w:val="32"/>
          <w:szCs w:val="32"/>
          <w:lang w:eastAsia="zh-CN"/>
        </w:rPr>
        <w:t>预算项目经费共</w:t>
      </w:r>
      <w:r>
        <w:rPr>
          <w:rFonts w:hint="eastAsia" w:ascii="仿宋_GB2312" w:hAnsi="仿宋_GB2312" w:eastAsia="仿宋_GB2312" w:cs="仿宋_GB2312"/>
          <w:b w:val="0"/>
          <w:bCs w:val="0"/>
          <w:sz w:val="32"/>
          <w:szCs w:val="32"/>
          <w:lang w:val="en-US" w:eastAsia="zh-CN"/>
        </w:rPr>
        <w:t>57.38</w:t>
      </w:r>
      <w:r>
        <w:rPr>
          <w:rFonts w:hint="eastAsia" w:ascii="仿宋_GB2312" w:hAnsi="仿宋_GB2312" w:eastAsia="仿宋_GB2312" w:cs="仿宋_GB2312"/>
          <w:b w:val="0"/>
          <w:bCs w:val="0"/>
          <w:sz w:val="32"/>
          <w:szCs w:val="32"/>
          <w:lang w:eastAsia="zh-CN"/>
        </w:rPr>
        <w:t>万元，目前已使用项目资金</w:t>
      </w:r>
      <w:r>
        <w:rPr>
          <w:rFonts w:hint="eastAsia" w:ascii="仿宋_GB2312" w:hAnsi="仿宋_GB2312" w:eastAsia="仿宋_GB2312" w:cs="仿宋_GB2312"/>
          <w:b w:val="0"/>
          <w:bCs w:val="0"/>
          <w:sz w:val="32"/>
          <w:szCs w:val="32"/>
          <w:lang w:val="en-US" w:eastAsia="zh-CN"/>
        </w:rPr>
        <w:t>57.18</w:t>
      </w:r>
      <w:r>
        <w:rPr>
          <w:rFonts w:hint="eastAsia" w:ascii="仿宋_GB2312" w:hAnsi="仿宋_GB2312" w:eastAsia="仿宋_GB2312" w:cs="仿宋_GB2312"/>
          <w:b w:val="0"/>
          <w:bCs w:val="0"/>
          <w:sz w:val="32"/>
          <w:szCs w:val="32"/>
          <w:lang w:eastAsia="zh-CN"/>
        </w:rPr>
        <w:t>万元。主要支出明细如下：</w:t>
      </w:r>
    </w:p>
    <w:p w14:paraId="4694A2D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民族工作经费1.2</w:t>
      </w:r>
      <w:r>
        <w:rPr>
          <w:rFonts w:hint="eastAsia" w:ascii="仿宋_GB2312" w:hAnsi="仿宋_GB2312" w:eastAsia="仿宋_GB2312" w:cs="仿宋_GB2312"/>
          <w:b w:val="0"/>
          <w:bCs w:val="0"/>
          <w:sz w:val="32"/>
          <w:szCs w:val="32"/>
          <w:lang w:eastAsia="zh-CN"/>
        </w:rPr>
        <w:t>万元；</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宗教工作经费3.2</w:t>
      </w:r>
      <w:r>
        <w:rPr>
          <w:rFonts w:hint="eastAsia" w:ascii="仿宋_GB2312" w:hAnsi="仿宋_GB2312" w:eastAsia="仿宋_GB2312" w:cs="仿宋_GB2312"/>
          <w:b w:val="0"/>
          <w:bCs w:val="0"/>
          <w:sz w:val="32"/>
          <w:szCs w:val="32"/>
          <w:lang w:eastAsia="zh-CN"/>
        </w:rPr>
        <w:t>万元（</w:t>
      </w:r>
      <w:r>
        <w:rPr>
          <w:rFonts w:hint="eastAsia" w:ascii="仿宋_GB2312" w:hAnsi="仿宋_GB2312" w:eastAsia="仿宋_GB2312" w:cs="仿宋_GB2312"/>
          <w:b w:val="0"/>
          <w:bCs w:val="0"/>
          <w:sz w:val="32"/>
          <w:szCs w:val="32"/>
          <w:lang w:val="en-US" w:eastAsia="zh-CN"/>
        </w:rPr>
        <w:t>支出3万元）</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劳务派遣人员工资4.98</w:t>
      </w:r>
      <w:r>
        <w:rPr>
          <w:rFonts w:hint="eastAsia" w:ascii="仿宋_GB2312" w:hAnsi="仿宋_GB2312" w:eastAsia="仿宋_GB2312" w:cs="仿宋_GB2312"/>
          <w:b w:val="0"/>
          <w:bCs w:val="0"/>
          <w:sz w:val="32"/>
          <w:szCs w:val="32"/>
          <w:lang w:eastAsia="zh-CN"/>
        </w:rPr>
        <w:t>万元；</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eastAsia="zh-CN"/>
        </w:rPr>
        <w:t>、驻村工作队工作生活保障经费</w:t>
      </w:r>
      <w:r>
        <w:rPr>
          <w:rFonts w:hint="eastAsia" w:ascii="仿宋_GB2312" w:hAnsi="仿宋_GB2312" w:eastAsia="仿宋_GB2312" w:cs="仿宋_GB2312"/>
          <w:b w:val="0"/>
          <w:bCs w:val="0"/>
          <w:sz w:val="32"/>
          <w:szCs w:val="32"/>
          <w:lang w:val="en-US" w:eastAsia="zh-CN"/>
        </w:rPr>
        <w:t>48</w:t>
      </w:r>
      <w:r>
        <w:rPr>
          <w:rFonts w:hint="eastAsia" w:ascii="仿宋_GB2312" w:hAnsi="仿宋_GB2312" w:eastAsia="仿宋_GB2312" w:cs="仿宋_GB2312"/>
          <w:b w:val="0"/>
          <w:bCs w:val="0"/>
          <w:sz w:val="32"/>
          <w:szCs w:val="32"/>
          <w:lang w:eastAsia="zh-CN"/>
        </w:rPr>
        <w:t>万元。全年实现支出率</w:t>
      </w:r>
      <w:r>
        <w:rPr>
          <w:rFonts w:hint="eastAsia" w:ascii="仿宋_GB2312" w:hAnsi="仿宋_GB2312" w:eastAsia="仿宋_GB2312" w:cs="仿宋_GB2312"/>
          <w:b w:val="0"/>
          <w:bCs w:val="0"/>
          <w:sz w:val="32"/>
          <w:szCs w:val="32"/>
          <w:lang w:val="en-US" w:eastAsia="zh-CN"/>
        </w:rPr>
        <w:t>99.65</w:t>
      </w:r>
      <w:r>
        <w:rPr>
          <w:rFonts w:hint="eastAsia" w:ascii="仿宋_GB2312" w:hAnsi="仿宋_GB2312" w:eastAsia="仿宋_GB2312" w:cs="仿宋_GB2312"/>
          <w:b w:val="0"/>
          <w:bCs w:val="0"/>
          <w:sz w:val="32"/>
          <w:szCs w:val="32"/>
          <w:lang w:eastAsia="zh-CN"/>
        </w:rPr>
        <w:t>%。</w:t>
      </w:r>
    </w:p>
    <w:p w14:paraId="46EFC87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我局将上述资金细化，根据区级财政经费支出要求，结合我单位实际情况，制定了切实可行、可量化、可考评的年度目标，并依据财政制定的相关财经制度、及行政会计制度，在严格实行专款专用的前提下进行了实时监控、全程监督。单位领导十分重视专项资金的使用，严格按财政相关要求对资金项目进行支出使用。</w:t>
      </w:r>
    </w:p>
    <w:p w14:paraId="18F5E08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Chars="200" w:right="0" w:rightChars="0" w:firstLine="640" w:firstLineChars="200"/>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截至202</w:t>
      </w: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eastAsia="zh-CN"/>
        </w:rPr>
        <w:t>年12月底，单位尚未发现有挪用、挤占专项资金的情况，整个项目资金使用率已达到</w:t>
      </w:r>
      <w:r>
        <w:rPr>
          <w:rFonts w:hint="eastAsia" w:ascii="仿宋_GB2312" w:hAnsi="仿宋_GB2312" w:eastAsia="仿宋_GB2312" w:cs="仿宋_GB2312"/>
          <w:b w:val="0"/>
          <w:bCs w:val="0"/>
          <w:sz w:val="32"/>
          <w:szCs w:val="32"/>
          <w:lang w:val="en-US" w:eastAsia="zh-CN"/>
        </w:rPr>
        <w:t>99.65</w:t>
      </w:r>
      <w:r>
        <w:rPr>
          <w:rFonts w:hint="eastAsia" w:ascii="仿宋_GB2312" w:hAnsi="仿宋_GB2312" w:eastAsia="仿宋_GB2312" w:cs="仿宋_GB2312"/>
          <w:b w:val="0"/>
          <w:bCs w:val="0"/>
          <w:sz w:val="32"/>
          <w:szCs w:val="32"/>
          <w:lang w:eastAsia="zh-CN"/>
        </w:rPr>
        <w:t>%。</w:t>
      </w:r>
    </w:p>
    <w:p w14:paraId="4939990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四、评价结论和评价等级</w:t>
      </w:r>
    </w:p>
    <w:p w14:paraId="676E3D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为更好更全面地做好评价工作，石家庄市藁城区民族宗教局结合预算绩效评价的绩效目标，覆盖了部门工作投入、过程（执行）、产出、效果等四个方面。根据项目执行情况和项目绩效情况，对各项项目预算情况及绩效进行了综合评价，针对以上</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项支出分类，设置了</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个绩效自评</w:t>
      </w:r>
      <w:bookmarkStart w:id="0" w:name="_GoBack"/>
      <w:bookmarkEnd w:id="0"/>
      <w:r>
        <w:rPr>
          <w:rFonts w:hint="eastAsia" w:ascii="仿宋_GB2312" w:hAnsi="仿宋_GB2312" w:eastAsia="仿宋_GB2312" w:cs="仿宋_GB2312"/>
          <w:sz w:val="32"/>
          <w:szCs w:val="32"/>
          <w:highlight w:val="none"/>
          <w:lang w:eastAsia="zh-CN"/>
        </w:rPr>
        <w:t>表，综合绩效评价等级为“</w:t>
      </w:r>
      <w:r>
        <w:rPr>
          <w:rFonts w:hint="eastAsia" w:ascii="仿宋_GB2312" w:hAnsi="仿宋_GB2312" w:eastAsia="仿宋_GB2312" w:cs="仿宋_GB2312"/>
          <w:sz w:val="32"/>
          <w:szCs w:val="32"/>
          <w:highlight w:val="none"/>
          <w:lang w:val="en-US" w:eastAsia="zh-CN"/>
        </w:rPr>
        <w:t>优秀</w:t>
      </w:r>
      <w:r>
        <w:rPr>
          <w:rFonts w:hint="eastAsia" w:ascii="仿宋_GB2312" w:hAnsi="仿宋_GB2312" w:eastAsia="仿宋_GB2312" w:cs="仿宋_GB2312"/>
          <w:sz w:val="32"/>
          <w:szCs w:val="32"/>
          <w:highlight w:val="none"/>
          <w:lang w:eastAsia="zh-CN"/>
        </w:rPr>
        <w:t>”。</w:t>
      </w:r>
    </w:p>
    <w:p w14:paraId="663DCF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石家庄市藁城区民族宗教事务局 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年设立的绩效目标符合国家法律法规、国民经济和社会发展总体规划，符合部门“三定”方案确定的职能职责，符合部门中长期实施规划。绩效指标清晰、可量化，与部门年度的任务数相对应，与202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年预算资金相匹配。预算配置科学合理，预算执行积极有效，预算管理透明规范，资产管理安全高效，职责履行目标完成、质量达标，履职效益较好。202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年度石家庄市藁城区民族宗教事务局严格执行财经制度和管理规定，按时完成预算执行进度，严格控制、合理利用各项经费，鼓励合法合规的经费开支，按要求进行预算管理。</w:t>
      </w:r>
    </w:p>
    <w:p w14:paraId="022C4FA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五、</w:t>
      </w:r>
      <w:r>
        <w:rPr>
          <w:rFonts w:hint="eastAsia" w:ascii="仿宋_GB2312" w:hAnsi="仿宋_GB2312" w:eastAsia="仿宋_GB2312" w:cs="仿宋_GB2312"/>
          <w:sz w:val="32"/>
          <w:szCs w:val="32"/>
        </w:rPr>
        <w:t>存在的问题及改进措施</w:t>
      </w:r>
    </w:p>
    <w:p w14:paraId="67CCB42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1、加强政策学习，提高思想认识。组织单位工作人员认真学习《预算法》等相关法规，增强财务人员的预算意识，提高预算管理水平。加强财政资金管理，保证各项工作顺利开展，确保工作任务优质高效完成。</w:t>
      </w:r>
    </w:p>
    <w:p w14:paraId="3BB9004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了解资金使用是否达到了预期目标，资金管理是否规范，资金使用是否有效，检验资金支出效率和效果，分析存在问题及原因，及时总结经验，改进管理措施，不断增强和落实绩效管理责任，完善工作机制，有效提高资金管理水平和使用效益。</w:t>
      </w:r>
    </w:p>
    <w:p w14:paraId="68122DC3">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3、通过整体支出绩效自评，制定了部门绩效管理办法及项目工作实施方案，建立了长效机制；促进单位规范使用项目资金。</w:t>
      </w:r>
    </w:p>
    <w:p w14:paraId="03755A07">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六、评价工作组人员名单及签字（姓名、工作单位、职务、职称）</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3046"/>
      </w:tblGrid>
      <w:tr w14:paraId="5F982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Pr>
          <w:p w14:paraId="43B430DE">
            <w:pPr>
              <w:widowControl w:val="0"/>
              <w:wordWrap/>
              <w:spacing w:line="560" w:lineRule="exact"/>
              <w:ind w:left="0" w:leftChars="0" w:right="0"/>
              <w:textAlignment w:val="auto"/>
              <w:outlineLvl w:val="9"/>
              <w:rPr>
                <w:rFonts w:hint="eastAsia" w:ascii="仿宋" w:hAnsi="仿宋" w:eastAsia="仿宋" w:cs="黑体"/>
                <w:szCs w:val="22"/>
              </w:rPr>
            </w:pPr>
            <w:r>
              <w:rPr>
                <w:rFonts w:hint="eastAsia" w:ascii="仿宋" w:hAnsi="仿宋" w:eastAsia="仿宋" w:cs="黑体"/>
                <w:szCs w:val="22"/>
              </w:rPr>
              <w:t>工作单位</w:t>
            </w:r>
          </w:p>
        </w:tc>
        <w:tc>
          <w:tcPr>
            <w:tcW w:w="2265" w:type="dxa"/>
          </w:tcPr>
          <w:p w14:paraId="4E939A1E">
            <w:pPr>
              <w:widowControl w:val="0"/>
              <w:wordWrap/>
              <w:spacing w:line="560" w:lineRule="exact"/>
              <w:ind w:left="0" w:leftChars="0" w:right="0"/>
              <w:textAlignment w:val="auto"/>
              <w:outlineLvl w:val="9"/>
              <w:rPr>
                <w:rFonts w:hint="eastAsia" w:ascii="仿宋" w:hAnsi="仿宋" w:eastAsia="仿宋" w:cs="黑体"/>
                <w:szCs w:val="22"/>
                <w:lang w:val="en-US" w:eastAsia="zh-CN"/>
              </w:rPr>
            </w:pPr>
            <w:r>
              <w:rPr>
                <w:rFonts w:hint="eastAsia" w:ascii="仿宋" w:hAnsi="仿宋" w:eastAsia="仿宋" w:cs="黑体"/>
                <w:szCs w:val="22"/>
              </w:rPr>
              <w:t>职务</w:t>
            </w:r>
            <w:r>
              <w:rPr>
                <w:rFonts w:hint="eastAsia" w:ascii="仿宋" w:hAnsi="仿宋" w:eastAsia="仿宋" w:cs="黑体"/>
                <w:szCs w:val="22"/>
                <w:lang w:val="en-US" w:eastAsia="zh-CN"/>
              </w:rPr>
              <w:t>/职称</w:t>
            </w:r>
          </w:p>
        </w:tc>
        <w:tc>
          <w:tcPr>
            <w:tcW w:w="3046" w:type="dxa"/>
          </w:tcPr>
          <w:p w14:paraId="6F62A483">
            <w:pPr>
              <w:widowControl w:val="0"/>
              <w:wordWrap/>
              <w:spacing w:line="560" w:lineRule="exact"/>
              <w:ind w:left="0" w:leftChars="0" w:right="0"/>
              <w:textAlignment w:val="auto"/>
              <w:outlineLvl w:val="9"/>
              <w:rPr>
                <w:rFonts w:hint="eastAsia" w:ascii="仿宋" w:hAnsi="仿宋" w:eastAsia="仿宋" w:cs="黑体"/>
                <w:szCs w:val="22"/>
              </w:rPr>
            </w:pPr>
            <w:r>
              <w:rPr>
                <w:rFonts w:hint="eastAsia" w:ascii="仿宋" w:hAnsi="仿宋" w:eastAsia="仿宋" w:cs="黑体"/>
                <w:szCs w:val="22"/>
              </w:rPr>
              <w:t>姓名</w:t>
            </w:r>
          </w:p>
        </w:tc>
      </w:tr>
      <w:tr w14:paraId="28E14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Pr>
          <w:p w14:paraId="3045526C">
            <w:pPr>
              <w:widowControl w:val="0"/>
              <w:wordWrap/>
              <w:spacing w:line="560" w:lineRule="exact"/>
              <w:ind w:left="0" w:leftChars="0" w:right="0"/>
              <w:jc w:val="center"/>
              <w:textAlignment w:val="auto"/>
              <w:outlineLvl w:val="9"/>
              <w:rPr>
                <w:rFonts w:hint="eastAsia" w:ascii="仿宋" w:hAnsi="仿宋" w:eastAsia="仿宋" w:cs="黑体"/>
                <w:szCs w:val="22"/>
                <w:lang w:val="en-US" w:eastAsia="zh-CN"/>
              </w:rPr>
            </w:pPr>
          </w:p>
          <w:p w14:paraId="7D7A8AB3">
            <w:pPr>
              <w:widowControl w:val="0"/>
              <w:wordWrap/>
              <w:spacing w:line="560" w:lineRule="exact"/>
              <w:ind w:left="0" w:leftChars="0" w:right="0"/>
              <w:jc w:val="center"/>
              <w:textAlignment w:val="auto"/>
              <w:outlineLvl w:val="9"/>
              <w:rPr>
                <w:rFonts w:hint="eastAsia" w:ascii="仿宋" w:hAnsi="仿宋" w:eastAsia="仿宋" w:cs="黑体"/>
                <w:szCs w:val="22"/>
                <w:lang w:val="en-US" w:eastAsia="zh-CN"/>
              </w:rPr>
            </w:pPr>
          </w:p>
          <w:p w14:paraId="0A4AFD04">
            <w:pPr>
              <w:widowControl w:val="0"/>
              <w:wordWrap/>
              <w:spacing w:line="560" w:lineRule="exact"/>
              <w:ind w:left="0" w:leftChars="0" w:right="0"/>
              <w:jc w:val="center"/>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石家庄市藁城区民族宗教事务局</w:t>
            </w:r>
          </w:p>
          <w:p w14:paraId="77A8737D">
            <w:pPr>
              <w:widowControl w:val="0"/>
              <w:wordWrap/>
              <w:spacing w:line="560" w:lineRule="exact"/>
              <w:ind w:left="0" w:leftChars="0" w:right="0"/>
              <w:jc w:val="center"/>
              <w:textAlignment w:val="auto"/>
              <w:outlineLvl w:val="9"/>
              <w:rPr>
                <w:rFonts w:hint="eastAsia" w:ascii="仿宋" w:hAnsi="仿宋" w:eastAsia="仿宋" w:cs="黑体"/>
                <w:szCs w:val="22"/>
              </w:rPr>
            </w:pPr>
          </w:p>
        </w:tc>
        <w:tc>
          <w:tcPr>
            <w:tcW w:w="2265" w:type="dxa"/>
            <w:tcBorders>
              <w:left w:val="single" w:color="auto" w:sz="4" w:space="0"/>
            </w:tcBorders>
          </w:tcPr>
          <w:p w14:paraId="681DD706">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党组书记</w:t>
            </w:r>
          </w:p>
        </w:tc>
        <w:tc>
          <w:tcPr>
            <w:tcW w:w="3046" w:type="dxa"/>
            <w:tcBorders>
              <w:left w:val="single" w:color="auto" w:sz="4" w:space="0"/>
            </w:tcBorders>
          </w:tcPr>
          <w:p w14:paraId="366151E4">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王文刚</w:t>
            </w:r>
          </w:p>
        </w:tc>
      </w:tr>
      <w:tr w14:paraId="19381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50088727">
            <w:pPr>
              <w:widowControl w:val="0"/>
              <w:wordWrap/>
              <w:spacing w:line="560" w:lineRule="exact"/>
              <w:ind w:left="0" w:leftChars="0" w:right="0"/>
              <w:textAlignment w:val="auto"/>
              <w:outlineLvl w:val="9"/>
              <w:rPr>
                <w:rFonts w:ascii="仿宋" w:hAnsi="仿宋" w:eastAsia="仿宋" w:cs="黑体"/>
                <w:szCs w:val="22"/>
              </w:rPr>
            </w:pPr>
          </w:p>
        </w:tc>
        <w:tc>
          <w:tcPr>
            <w:tcW w:w="2265" w:type="dxa"/>
            <w:tcBorders>
              <w:left w:val="single" w:color="auto" w:sz="4" w:space="0"/>
            </w:tcBorders>
          </w:tcPr>
          <w:p w14:paraId="2DA2B675">
            <w:pPr>
              <w:widowControl w:val="0"/>
              <w:wordWrap/>
              <w:spacing w:line="560" w:lineRule="exact"/>
              <w:ind w:left="0" w:leftChars="0" w:right="0"/>
              <w:textAlignment w:val="auto"/>
              <w:outlineLvl w:val="9"/>
              <w:rPr>
                <w:rFonts w:hint="eastAsia" w:ascii="仿宋" w:hAnsi="仿宋" w:eastAsia="仿宋" w:cs="黑体"/>
                <w:szCs w:val="22"/>
                <w:lang w:val="en-US" w:eastAsia="zh-CN"/>
              </w:rPr>
            </w:pPr>
            <w:r>
              <w:rPr>
                <w:rFonts w:hint="eastAsia" w:ascii="仿宋" w:hAnsi="仿宋" w:eastAsia="仿宋" w:cs="黑体"/>
                <w:szCs w:val="22"/>
                <w:lang w:val="en-US" w:eastAsia="zh-CN"/>
              </w:rPr>
              <w:t>局长</w:t>
            </w:r>
          </w:p>
        </w:tc>
        <w:tc>
          <w:tcPr>
            <w:tcW w:w="3046" w:type="dxa"/>
            <w:tcBorders>
              <w:left w:val="single" w:color="auto" w:sz="4" w:space="0"/>
            </w:tcBorders>
          </w:tcPr>
          <w:p w14:paraId="7C7F0D8F">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孙景茹</w:t>
            </w:r>
          </w:p>
        </w:tc>
      </w:tr>
      <w:tr w14:paraId="7DDDE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41B8942F">
            <w:pPr>
              <w:widowControl w:val="0"/>
              <w:wordWrap/>
              <w:spacing w:line="560" w:lineRule="exact"/>
              <w:ind w:left="0" w:leftChars="0" w:right="0"/>
              <w:textAlignment w:val="auto"/>
              <w:outlineLvl w:val="9"/>
              <w:rPr>
                <w:rFonts w:ascii="仿宋" w:hAnsi="仿宋" w:eastAsia="仿宋" w:cs="黑体"/>
                <w:szCs w:val="22"/>
              </w:rPr>
            </w:pPr>
          </w:p>
        </w:tc>
        <w:tc>
          <w:tcPr>
            <w:tcW w:w="2265" w:type="dxa"/>
            <w:tcBorders>
              <w:left w:val="single" w:color="auto" w:sz="4" w:space="0"/>
            </w:tcBorders>
          </w:tcPr>
          <w:p w14:paraId="6013FEA3">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副局长</w:t>
            </w:r>
          </w:p>
        </w:tc>
        <w:tc>
          <w:tcPr>
            <w:tcW w:w="3046" w:type="dxa"/>
            <w:tcBorders>
              <w:left w:val="single" w:color="auto" w:sz="4" w:space="0"/>
            </w:tcBorders>
          </w:tcPr>
          <w:p w14:paraId="522E7F4F">
            <w:pPr>
              <w:widowControl w:val="0"/>
              <w:wordWrap/>
              <w:spacing w:line="560" w:lineRule="exact"/>
              <w:ind w:left="0" w:leftChars="0" w:right="0"/>
              <w:textAlignment w:val="auto"/>
              <w:outlineLvl w:val="9"/>
              <w:rPr>
                <w:rFonts w:hint="eastAsia" w:ascii="仿宋" w:hAnsi="仿宋" w:eastAsia="仿宋" w:cs="黑体"/>
                <w:szCs w:val="22"/>
                <w:lang w:val="en-US" w:eastAsia="zh-CN"/>
              </w:rPr>
            </w:pPr>
            <w:r>
              <w:rPr>
                <w:rFonts w:hint="eastAsia" w:ascii="仿宋" w:hAnsi="仿宋" w:eastAsia="仿宋" w:cs="黑体"/>
                <w:szCs w:val="22"/>
                <w:lang w:val="en-US" w:eastAsia="zh-CN"/>
              </w:rPr>
              <w:t>张扬</w:t>
            </w:r>
          </w:p>
        </w:tc>
      </w:tr>
      <w:tr w14:paraId="118DA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023AAA6D">
            <w:pPr>
              <w:widowControl w:val="0"/>
              <w:wordWrap/>
              <w:spacing w:line="560" w:lineRule="exact"/>
              <w:ind w:left="0" w:leftChars="0" w:right="0"/>
              <w:textAlignment w:val="auto"/>
              <w:outlineLvl w:val="9"/>
              <w:rPr>
                <w:rFonts w:ascii="仿宋" w:hAnsi="仿宋" w:eastAsia="仿宋" w:cs="黑体"/>
                <w:szCs w:val="22"/>
              </w:rPr>
            </w:pPr>
          </w:p>
        </w:tc>
        <w:tc>
          <w:tcPr>
            <w:tcW w:w="2265" w:type="dxa"/>
            <w:tcBorders>
              <w:left w:val="single" w:color="auto" w:sz="4" w:space="0"/>
            </w:tcBorders>
          </w:tcPr>
          <w:p w14:paraId="01AB911D">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副局长</w:t>
            </w:r>
          </w:p>
        </w:tc>
        <w:tc>
          <w:tcPr>
            <w:tcW w:w="3046" w:type="dxa"/>
            <w:tcBorders>
              <w:left w:val="single" w:color="auto" w:sz="4" w:space="0"/>
            </w:tcBorders>
          </w:tcPr>
          <w:p w14:paraId="40B5DF95">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刘峻鹏</w:t>
            </w:r>
          </w:p>
        </w:tc>
      </w:tr>
      <w:tr w14:paraId="25DCD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Pr>
          <w:p w14:paraId="43AEBCE7">
            <w:pPr>
              <w:widowControl w:val="0"/>
              <w:wordWrap/>
              <w:spacing w:line="560" w:lineRule="exact"/>
              <w:ind w:left="0" w:leftChars="0" w:right="0"/>
              <w:textAlignment w:val="auto"/>
              <w:outlineLvl w:val="9"/>
              <w:rPr>
                <w:rFonts w:ascii="仿宋" w:hAnsi="仿宋" w:eastAsia="仿宋" w:cs="黑体"/>
                <w:szCs w:val="22"/>
              </w:rPr>
            </w:pPr>
          </w:p>
        </w:tc>
        <w:tc>
          <w:tcPr>
            <w:tcW w:w="2265" w:type="dxa"/>
            <w:tcBorders>
              <w:left w:val="single" w:color="auto" w:sz="4" w:space="0"/>
            </w:tcBorders>
          </w:tcPr>
          <w:p w14:paraId="71CA0D58">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办公室主任</w:t>
            </w:r>
          </w:p>
        </w:tc>
        <w:tc>
          <w:tcPr>
            <w:tcW w:w="3046" w:type="dxa"/>
            <w:tcBorders>
              <w:left w:val="single" w:color="auto" w:sz="4" w:space="0"/>
            </w:tcBorders>
          </w:tcPr>
          <w:p w14:paraId="72B41179">
            <w:pPr>
              <w:widowControl w:val="0"/>
              <w:wordWrap/>
              <w:spacing w:line="560" w:lineRule="exact"/>
              <w:ind w:left="0" w:leftChars="0" w:right="0"/>
              <w:textAlignment w:val="auto"/>
              <w:outlineLvl w:val="9"/>
              <w:rPr>
                <w:rFonts w:hint="default" w:ascii="仿宋" w:hAnsi="仿宋" w:eastAsia="仿宋" w:cs="黑体"/>
                <w:szCs w:val="22"/>
                <w:lang w:val="en-US" w:eastAsia="zh-CN"/>
              </w:rPr>
            </w:pPr>
            <w:r>
              <w:rPr>
                <w:rFonts w:hint="eastAsia" w:ascii="仿宋" w:hAnsi="仿宋" w:eastAsia="仿宋" w:cs="黑体"/>
                <w:szCs w:val="22"/>
                <w:lang w:val="en-US" w:eastAsia="zh-CN"/>
              </w:rPr>
              <w:t>刘建军</w:t>
            </w:r>
          </w:p>
        </w:tc>
      </w:tr>
    </w:tbl>
    <w:p w14:paraId="1526EE0C">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06236">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4FDB34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74FDB34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E6BE6">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BEABC44"/>
    <w:multiLevelType w:val="singleLevel"/>
    <w:tmpl w:val="DBEABC44"/>
    <w:lvl w:ilvl="0" w:tentative="0">
      <w:start w:val="1"/>
      <w:numFmt w:val="chineseCounting"/>
      <w:suff w:val="nothing"/>
      <w:lvlText w:val="（%1）"/>
      <w:lvlJc w:val="left"/>
      <w:rPr>
        <w:rFonts w:hint="eastAsia"/>
      </w:rPr>
    </w:lvl>
  </w:abstractNum>
  <w:abstractNum w:abstractNumId="2">
    <w:nsid w:val="7E0DD502"/>
    <w:multiLevelType w:val="singleLevel"/>
    <w:tmpl w:val="7E0DD502"/>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3OTRkZDY5ODBkYWI2NWMxYmI0ZTM2MGNjYjUzMW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55C132D"/>
    <w:rsid w:val="13B61930"/>
    <w:rsid w:val="1A3B21A2"/>
    <w:rsid w:val="1BAF1154"/>
    <w:rsid w:val="1C655171"/>
    <w:rsid w:val="20276775"/>
    <w:rsid w:val="26B75F6B"/>
    <w:rsid w:val="2A042D0F"/>
    <w:rsid w:val="2F2C2A40"/>
    <w:rsid w:val="344704E1"/>
    <w:rsid w:val="395A3176"/>
    <w:rsid w:val="39744C0B"/>
    <w:rsid w:val="3AEF6FE7"/>
    <w:rsid w:val="41D73110"/>
    <w:rsid w:val="441F3676"/>
    <w:rsid w:val="4715139A"/>
    <w:rsid w:val="493B718D"/>
    <w:rsid w:val="501B54CC"/>
    <w:rsid w:val="50D90DDF"/>
    <w:rsid w:val="51CE25CF"/>
    <w:rsid w:val="53A42ADD"/>
    <w:rsid w:val="563B01B4"/>
    <w:rsid w:val="56604927"/>
    <w:rsid w:val="590F0BE0"/>
    <w:rsid w:val="5C4A315B"/>
    <w:rsid w:val="5D361833"/>
    <w:rsid w:val="5F1D7D3E"/>
    <w:rsid w:val="659D3FA3"/>
    <w:rsid w:val="661D3074"/>
    <w:rsid w:val="6B1C1E0E"/>
    <w:rsid w:val="6B9853A6"/>
    <w:rsid w:val="6BDE7164"/>
    <w:rsid w:val="73264DD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Theme="minorHAnsi" w:hAnsiTheme="minorHAnsi" w:eastAsiaTheme="minorEastAsia" w:cstheme="minorBidi"/>
      <w:b/>
      <w:bCs/>
      <w:kern w:val="44"/>
      <w:sz w:val="44"/>
      <w:szCs w:val="44"/>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autoRedefine/>
    <w:qFormat/>
    <w:uiPriority w:val="0"/>
    <w:rPr>
      <w:rFonts w:asciiTheme="minorHAnsi" w:hAnsiTheme="minorHAnsi" w:eastAsiaTheme="minorEastAsia" w:cstheme="minorBid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页眉 Char"/>
    <w:basedOn w:val="7"/>
    <w:link w:val="4"/>
    <w:qFormat/>
    <w:uiPriority w:val="99"/>
    <w:rPr>
      <w:sz w:val="18"/>
      <w:szCs w:val="18"/>
    </w:rPr>
  </w:style>
  <w:style w:type="character" w:customStyle="1" w:styleId="9">
    <w:name w:val="页脚 Char"/>
    <w:basedOn w:val="7"/>
    <w:link w:val="3"/>
    <w:autoRedefine/>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8</Pages>
  <Words>3716</Words>
  <Characters>3822</Characters>
  <Lines>3</Lines>
  <Paragraphs>1</Paragraphs>
  <TotalTime>0</TotalTime>
  <ScaleCrop>false</ScaleCrop>
  <LinksUpToDate>false</LinksUpToDate>
  <CharactersWithSpaces>3837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2025-05-16T09:07:04Z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eyJoZGlkIjoiZWFiZDA5ODMyMjczYmM0MDUyYjk1NDhmMzg4ZjdmODkiLCJ1c2VySWQiOiIxNTUwMjQwMDk2In0=</vt:lpwstr>
  </property>
</Properties>
</file>