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rPr>
      </w:pPr>
      <w:r>
        <w:rPr>
          <w:rFonts w:hint="eastAsia" w:ascii="方正小标宋简体" w:hAnsi="方正小标宋简体" w:eastAsia="方正小标宋简体" w:cs="方正小标宋简体"/>
          <w:b w:val="0"/>
          <w:bCs w:val="0"/>
          <w:sz w:val="44"/>
          <w:szCs w:val="44"/>
          <w:lang w:val="en-US" w:eastAsia="zh-CN"/>
        </w:rPr>
        <w:t>石家庄市生态环境局藁城区分局部门</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rPr>
        <w:t>2024年度整体支出绩效自评报告</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则，对石家庄市生态环境局藁城区分局部门202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pStyle w:val="12"/>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机构设置：</w:t>
      </w:r>
    </w:p>
    <w:p>
      <w:pPr>
        <w:pStyle w:val="12"/>
        <w:keepNext w:val="0"/>
        <w:keepLines w:val="0"/>
        <w:pageBreakBefore w:val="0"/>
        <w:kinsoku/>
        <w:wordWrap/>
        <w:overflowPunct/>
        <w:topLinePunct w:val="0"/>
        <w:autoSpaceDE/>
        <w:autoSpaceDN/>
        <w:bidi w:val="0"/>
        <w:spacing w:line="560" w:lineRule="exact"/>
        <w:ind w:firstLine="640" w:firstLineChars="200"/>
        <w:jc w:val="both"/>
        <w:textAlignment w:val="auto"/>
        <w:rPr>
          <w:rFonts w:hint="default"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“局队合一”体制改革后，我局共有</w:t>
      </w:r>
      <w:r>
        <w:rPr>
          <w:rFonts w:hint="default" w:ascii="仿宋_GB2312" w:hAnsi="Times New Roman" w:eastAsia="仿宋_GB2312" w:cs="Wingdings"/>
          <w:color w:val="000000" w:themeColor="text1"/>
          <w:kern w:val="2"/>
          <w:sz w:val="32"/>
          <w:szCs w:val="32"/>
          <w:lang w:val="en" w:eastAsia="zh-CN" w:bidi="ar-SA"/>
          <w14:textFill>
            <w14:solidFill>
              <w14:schemeClr w14:val="tx1"/>
            </w14:solidFill>
          </w14:textFill>
        </w:rPr>
        <w:t>9</w:t>
      </w: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个内设机构，分别为综合股、管理股、机动中队、督导中队，</w:t>
      </w:r>
      <w:r>
        <w:rPr>
          <w:rFonts w:hint="default" w:ascii="仿宋_GB2312" w:hAnsi="Times New Roman" w:eastAsia="仿宋_GB2312" w:cs="Wingdings"/>
          <w:color w:val="000000" w:themeColor="text1"/>
          <w:kern w:val="2"/>
          <w:sz w:val="32"/>
          <w:szCs w:val="32"/>
          <w:lang w:val="en" w:eastAsia="zh-CN" w:bidi="ar-SA"/>
          <w14:textFill>
            <w14:solidFill>
              <w14:schemeClr w14:val="tx1"/>
            </w14:solidFill>
          </w14:textFill>
        </w:rPr>
        <w:t>4</w:t>
      </w:r>
      <w:r>
        <w:rPr>
          <w:rFonts w:hint="eastAsia" w:ascii="仿宋_GB2312" w:hAnsi="Times New Roman" w:eastAsia="仿宋_GB2312" w:cs="Wingdings"/>
          <w:color w:val="000000" w:themeColor="text1"/>
          <w:kern w:val="2"/>
          <w:sz w:val="32"/>
          <w:szCs w:val="32"/>
          <w:lang w:val="en" w:eastAsia="zh-CN" w:bidi="ar-SA"/>
          <w14:textFill>
            <w14:solidFill>
              <w14:schemeClr w14:val="tx1"/>
            </w14:solidFill>
          </w14:textFill>
        </w:rPr>
        <w:t>个执法中队，</w:t>
      </w:r>
      <w:bookmarkStart w:id="0" w:name="_GoBack"/>
      <w:bookmarkEnd w:id="0"/>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以及直属事业单位石家庄市藁城环境监控中心。</w:t>
      </w:r>
    </w:p>
    <w:p>
      <w:pPr>
        <w:pStyle w:val="12"/>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人员统计：</w:t>
      </w:r>
    </w:p>
    <w:p>
      <w:pPr>
        <w:pStyle w:val="12"/>
        <w:keepNext w:val="0"/>
        <w:keepLines w:val="0"/>
        <w:pageBreakBefore w:val="0"/>
        <w:kinsoku/>
        <w:wordWrap/>
        <w:overflowPunct/>
        <w:topLinePunct w:val="0"/>
        <w:autoSpaceDE/>
        <w:autoSpaceDN/>
        <w:bidi w:val="0"/>
        <w:spacing w:line="56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截止到2024年12月31日，我单位共有在编人员46人，其中行政编制8人，事业编制38人。共有退休人员33人。</w:t>
      </w:r>
    </w:p>
    <w:p>
      <w:pPr>
        <w:pStyle w:val="12"/>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Wingdings"/>
          <w:b/>
          <w:bCs/>
          <w:color w:val="000000" w:themeColor="text1"/>
          <w:kern w:val="2"/>
          <w:sz w:val="32"/>
          <w:szCs w:val="32"/>
          <w:lang w:val="en-US" w:eastAsia="zh-CN" w:bidi="ar-SA"/>
          <w14:textFill>
            <w14:solidFill>
              <w14:schemeClr w14:val="tx1"/>
            </w14:solidFill>
          </w14:textFill>
        </w:rPr>
        <w:t>职责职能</w:t>
      </w: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 xml:space="preserve">负责建立健全全区生态环境基本制度；负责全区重大环境问题的统筹协调和监督管理；负责监督管理全区减排目标的落实；负责提出全区生态环境领域固定资产投资规模和方向，区级财政性资金安排的意见；负责全区环境污染防治的监督管理；指导协调和监督全区生态保护修复工作；负责核安全和辐射安全的监督管理工作；负责全区生态环境准入的监督管理；负责全区生态环境监测工作；负责全区应对气候变化工作；统一负责全区生态环境监督执法；组织、指导和协调全区生态环境宣传教育工作，推动社会组织和公众参与生态环境保护；参与处理涉外生态环境事务；完成区委、区政府和石家庄市生态环境局交办的其他任务。  </w:t>
      </w:r>
      <w:r>
        <w:rPr>
          <w:rFonts w:hint="eastAsia" w:ascii="仿宋_GB2312" w:hAnsi="仿宋_GB2312" w:eastAsia="仿宋_GB2312" w:cs="仿宋_GB2312"/>
          <w:sz w:val="32"/>
          <w:szCs w:val="32"/>
          <w:highlight w:val="none"/>
          <w:lang w:eastAsia="zh-CN"/>
        </w:rPr>
        <w:t>。</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pStyle w:val="13"/>
      </w:pPr>
      <w:r>
        <w:t>反映本部门当年全部收入。202</w:t>
      </w:r>
      <w:r>
        <w:rPr>
          <w:rFonts w:hint="eastAsia"/>
          <w:lang w:val="en-US" w:eastAsia="zh-CN"/>
        </w:rPr>
        <w:t>4</w:t>
      </w:r>
      <w:r>
        <w:t>年预算收入</w:t>
      </w:r>
      <w:r>
        <w:rPr>
          <w:rFonts w:hint="eastAsia"/>
          <w:lang w:val="en-US" w:eastAsia="zh-CN"/>
        </w:rPr>
        <w:t>1382.26</w:t>
      </w:r>
      <w:r>
        <w:t>万元，其中：一般公共预算收入</w:t>
      </w:r>
      <w:r>
        <w:rPr>
          <w:rFonts w:hint="eastAsia"/>
          <w:lang w:val="en-US" w:eastAsia="zh-CN"/>
        </w:rPr>
        <w:t>1382.26</w:t>
      </w:r>
      <w:r>
        <w:t>万元，基金预算收入0万元，财政专户核拨收入0万元，</w:t>
      </w:r>
      <w:r>
        <w:rPr>
          <w:rFonts w:hint="eastAsia"/>
          <w:lang w:eastAsia="zh-CN"/>
        </w:rPr>
        <w:t>其他来源收入</w:t>
      </w:r>
      <w:r>
        <w:rPr>
          <w:rFonts w:hint="eastAsia"/>
          <w:lang w:val="en-US" w:eastAsia="zh-CN"/>
        </w:rPr>
        <w:t>0</w:t>
      </w:r>
      <w:r>
        <w:t>万元。</w:t>
      </w:r>
    </w:p>
    <w:p>
      <w:pPr>
        <w:pStyle w:val="13"/>
      </w:pPr>
      <w:r>
        <w:t>2、</w:t>
      </w:r>
      <w:r>
        <w:rPr>
          <w:rFonts w:hint="eastAsia"/>
          <w:lang w:eastAsia="zh-CN"/>
        </w:rPr>
        <w:t>预算</w:t>
      </w:r>
      <w:r>
        <w:t>支出说明</w:t>
      </w:r>
    </w:p>
    <w:p>
      <w:pPr>
        <w:pStyle w:val="13"/>
      </w:pPr>
      <w:r>
        <w:t>202</w:t>
      </w:r>
      <w:r>
        <w:rPr>
          <w:rFonts w:hint="eastAsia"/>
          <w:lang w:val="en-US" w:eastAsia="zh-CN"/>
        </w:rPr>
        <w:t>4</w:t>
      </w:r>
      <w:r>
        <w:t>年部门支出预算为</w:t>
      </w:r>
      <w:r>
        <w:rPr>
          <w:rFonts w:hint="eastAsia"/>
          <w:lang w:val="en-US" w:eastAsia="zh-CN"/>
        </w:rPr>
        <w:t>1382.26</w:t>
      </w:r>
      <w:r>
        <w:t>万元，其中基本支出</w:t>
      </w:r>
      <w:r>
        <w:rPr>
          <w:rFonts w:hint="eastAsia"/>
          <w:lang w:val="en-US" w:eastAsia="zh-CN"/>
        </w:rPr>
        <w:t>442.26</w:t>
      </w:r>
      <w:r>
        <w:t>万元，包括人员经费</w:t>
      </w:r>
      <w:r>
        <w:rPr>
          <w:rFonts w:hint="eastAsia"/>
          <w:lang w:val="en-US" w:eastAsia="zh-CN"/>
        </w:rPr>
        <w:t>442.26</w:t>
      </w:r>
      <w:r>
        <w:t>万元和日常公用经费0万元；项目支出</w:t>
      </w:r>
      <w:r>
        <w:rPr>
          <w:rFonts w:hint="eastAsia"/>
          <w:lang w:val="en-US" w:eastAsia="zh-CN"/>
        </w:rPr>
        <w:t>940</w:t>
      </w:r>
      <w:r>
        <w:t>万元，主要为大气污染防治资金支出</w:t>
      </w:r>
      <w:r>
        <w:rPr>
          <w:rFonts w:hint="eastAsia"/>
          <w:lang w:val="en-US" w:eastAsia="zh-CN"/>
        </w:rPr>
        <w:t>370.1</w:t>
      </w:r>
      <w:r>
        <w:t>万元，</w:t>
      </w:r>
      <w:r>
        <w:rPr>
          <w:rFonts w:hint="eastAsia"/>
          <w:lang w:eastAsia="zh-CN"/>
        </w:rPr>
        <w:t>一般行政管理事务支出</w:t>
      </w:r>
      <w:r>
        <w:rPr>
          <w:rFonts w:hint="eastAsia"/>
          <w:lang w:val="en-US" w:eastAsia="zh-CN"/>
        </w:rPr>
        <w:t>569.9</w:t>
      </w:r>
      <w:r>
        <w:t>万元；其他支出0万元。</w:t>
      </w:r>
    </w:p>
    <w:p>
      <w:pPr>
        <w:pStyle w:val="13"/>
        <w:rPr>
          <w:rFonts w:hint="eastAsia" w:eastAsia="方正仿宋_GBK"/>
          <w:color w:val="auto"/>
          <w:lang w:val="en-US" w:eastAsia="zh-CN"/>
        </w:rPr>
      </w:pPr>
      <w:r>
        <w:rPr>
          <w:rFonts w:hint="eastAsia"/>
          <w:color w:val="auto"/>
          <w:lang w:val="en-US" w:eastAsia="zh-CN"/>
        </w:rPr>
        <w:t>3、决算情况说明</w:t>
      </w:r>
    </w:p>
    <w:p>
      <w:pPr>
        <w:pStyle w:val="13"/>
        <w:rPr>
          <w:rFonts w:hint="eastAsia" w:ascii="楷体_GB2312" w:hAnsi="楷体_GB2312" w:eastAsia="楷体_GB2312" w:cs="楷体_GB2312"/>
          <w:bCs/>
          <w:color w:val="auto"/>
          <w:sz w:val="32"/>
          <w:szCs w:val="32"/>
        </w:rPr>
      </w:pPr>
      <w:r>
        <w:rPr>
          <w:color w:val="auto"/>
        </w:rPr>
        <w:t>202</w:t>
      </w:r>
      <w:r>
        <w:rPr>
          <w:rFonts w:hint="eastAsia"/>
          <w:color w:val="auto"/>
          <w:lang w:val="en-US" w:eastAsia="zh-CN"/>
        </w:rPr>
        <w:t>4</w:t>
      </w:r>
      <w:r>
        <w:rPr>
          <w:color w:val="auto"/>
        </w:rPr>
        <w:t>年部门支出预算为</w:t>
      </w:r>
      <w:r>
        <w:rPr>
          <w:rFonts w:hint="eastAsia"/>
          <w:color w:val="auto"/>
          <w:lang w:val="en-US" w:eastAsia="zh-CN"/>
        </w:rPr>
        <w:t>1406.21</w:t>
      </w:r>
      <w:r>
        <w:rPr>
          <w:color w:val="auto"/>
        </w:rPr>
        <w:t>万元，</w:t>
      </w:r>
      <w:r>
        <w:rPr>
          <w:rFonts w:hint="eastAsia"/>
          <w:color w:val="auto"/>
          <w:lang w:eastAsia="zh-CN"/>
        </w:rPr>
        <w:t>比预算支出增加的原因是项目支出增加，</w:t>
      </w:r>
      <w:r>
        <w:rPr>
          <w:color w:val="auto"/>
        </w:rPr>
        <w:t>其中基本支出</w:t>
      </w:r>
      <w:r>
        <w:rPr>
          <w:rFonts w:hint="eastAsia"/>
          <w:color w:val="auto"/>
          <w:lang w:val="en-US" w:eastAsia="zh-CN"/>
        </w:rPr>
        <w:t>382.87</w:t>
      </w:r>
      <w:r>
        <w:rPr>
          <w:color w:val="auto"/>
        </w:rPr>
        <w:t>万元，包括人员经费</w:t>
      </w:r>
      <w:r>
        <w:rPr>
          <w:rFonts w:hint="eastAsia"/>
          <w:color w:val="auto"/>
          <w:lang w:val="en-US" w:eastAsia="zh-CN"/>
        </w:rPr>
        <w:t>382.87</w:t>
      </w:r>
      <w:r>
        <w:rPr>
          <w:color w:val="auto"/>
        </w:rPr>
        <w:t>万元和日常公用经费0万元；项目支出</w:t>
      </w:r>
      <w:r>
        <w:rPr>
          <w:rFonts w:hint="eastAsia"/>
          <w:color w:val="auto"/>
          <w:lang w:val="en-US" w:eastAsia="zh-CN"/>
        </w:rPr>
        <w:t>1023.34</w:t>
      </w:r>
      <w:r>
        <w:rPr>
          <w:color w:val="auto"/>
        </w:rPr>
        <w:t>万元</w:t>
      </w:r>
      <w:r>
        <w:rPr>
          <w:rFonts w:hint="eastAsia"/>
          <w:color w:val="auto"/>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认真贯彻执行国家、省环境保护的方针、政策、法律，明确职责分工，提升环保部门的履</w:t>
      </w:r>
      <w:r>
        <w:rPr>
          <w:rFonts w:hint="default" w:ascii="仿宋_GB2312" w:hAnsi="仿宋_GB2312" w:eastAsia="仿宋_GB2312" w:cs="仿宋_GB2312"/>
          <w:sz w:val="32"/>
          <w:szCs w:val="32"/>
          <w:lang w:val="en-US" w:eastAsia="zh-CN"/>
        </w:rPr>
        <w:t>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有效整合全市生态环境保护领域执法职责和队伍，理顺执法体制，创新执法机制，优化资源配置，强化执法监管，科学合理设置执法机构，强化生态环境保护综合执法体系和能力建设；承担法律、法规、规章和规范性文件规定的其他职责，以及上级环保部门、本局委托和交办的其他工作任务。</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snapToGrid w:val="0"/>
        <w:spacing w:line="360" w:lineRule="auto"/>
        <w:ind w:firstLine="640" w:firstLineChars="200"/>
        <w:rPr>
          <w:rFonts w:hint="eastAsia" w:ascii="仿宋" w:hAnsi="仿宋" w:eastAsia="仿宋" w:cs="仿宋"/>
          <w:sz w:val="32"/>
          <w:szCs w:val="32"/>
        </w:rPr>
      </w:pPr>
      <w:r>
        <w:rPr>
          <w:rFonts w:ascii="仿宋" w:hAnsi="仿宋" w:eastAsia="仿宋" w:cs="仿宋"/>
          <w:sz w:val="32"/>
          <w:szCs w:val="32"/>
        </w:rPr>
        <w:t>为加强财政支出管理，提高财政资金使用效益，根据《</w:t>
      </w:r>
      <w:r>
        <w:rPr>
          <w:rFonts w:hint="eastAsia" w:ascii="仿宋" w:hAnsi="仿宋" w:eastAsia="仿宋" w:cs="仿宋"/>
          <w:sz w:val="32"/>
          <w:szCs w:val="32"/>
        </w:rPr>
        <w:t>藁城区区级部门预算绩效管理工作考核办法（试行）</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〕25号）、《</w:t>
      </w:r>
      <w:r>
        <w:rPr>
          <w:rFonts w:hint="eastAsia" w:ascii="仿宋" w:hAnsi="仿宋" w:eastAsia="仿宋" w:cs="仿宋"/>
          <w:sz w:val="32"/>
          <w:szCs w:val="32"/>
        </w:rPr>
        <w:t>藁城区区级部门预算绩效目标设定规范</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w:t>
      </w:r>
      <w:r>
        <w:rPr>
          <w:rFonts w:hint="eastAsia" w:ascii="仿宋" w:hAnsi="仿宋" w:eastAsia="仿宋" w:cs="仿宋"/>
          <w:sz w:val="32"/>
          <w:szCs w:val="32"/>
        </w:rPr>
        <w:t>4</w:t>
      </w:r>
      <w:r>
        <w:rPr>
          <w:rFonts w:ascii="仿宋" w:hAnsi="仿宋" w:eastAsia="仿宋" w:cs="仿宋"/>
          <w:sz w:val="32"/>
          <w:szCs w:val="32"/>
        </w:rPr>
        <w:t>号）、《</w:t>
      </w:r>
      <w:r>
        <w:rPr>
          <w:rFonts w:hint="eastAsia" w:ascii="仿宋" w:hAnsi="仿宋" w:eastAsia="仿宋" w:cs="仿宋"/>
          <w:sz w:val="32"/>
          <w:szCs w:val="32"/>
        </w:rPr>
        <w:t>全面推进预算绩效管理工作实施方案</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w:t>
      </w:r>
      <w:r>
        <w:rPr>
          <w:rFonts w:hint="eastAsia" w:ascii="仿宋" w:hAnsi="仿宋" w:eastAsia="仿宋" w:cs="仿宋"/>
          <w:sz w:val="32"/>
          <w:szCs w:val="32"/>
        </w:rPr>
        <w:t>9</w:t>
      </w:r>
      <w:r>
        <w:rPr>
          <w:rFonts w:ascii="仿宋" w:hAnsi="仿宋" w:eastAsia="仿宋" w:cs="仿宋"/>
          <w:sz w:val="32"/>
          <w:szCs w:val="32"/>
        </w:rPr>
        <w:t>号）等文件精神，结合实际，我单位</w:t>
      </w:r>
      <w:r>
        <w:rPr>
          <w:rFonts w:hint="eastAsia" w:ascii="仿宋" w:hAnsi="仿宋" w:eastAsia="仿宋"/>
          <w:sz w:val="32"/>
          <w:szCs w:val="32"/>
        </w:rPr>
        <w:t>遵循“科学性、规范性、客观性和公正性”的原则，</w:t>
      </w:r>
      <w:r>
        <w:rPr>
          <w:rFonts w:ascii="仿宋" w:hAnsi="仿宋" w:eastAsia="仿宋" w:cs="仿宋"/>
          <w:sz w:val="32"/>
          <w:szCs w:val="32"/>
        </w:rPr>
        <w:t>组织成立了绩效评价工作小组</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联系相关项目</w:t>
      </w:r>
      <w:r>
        <w:rPr>
          <w:rFonts w:hint="eastAsia" w:ascii="仿宋" w:hAnsi="仿宋" w:eastAsia="仿宋" w:cs="仿宋"/>
          <w:sz w:val="32"/>
          <w:szCs w:val="32"/>
          <w:lang w:eastAsia="zh-CN"/>
        </w:rPr>
        <w:t>股室</w:t>
      </w:r>
      <w:r>
        <w:rPr>
          <w:rFonts w:hint="eastAsia" w:ascii="仿宋" w:hAnsi="仿宋" w:eastAsia="仿宋" w:cs="仿宋"/>
          <w:sz w:val="32"/>
          <w:szCs w:val="32"/>
        </w:rPr>
        <w:t>负责人召开专门工作会议，分发给各</w:t>
      </w:r>
      <w:r>
        <w:rPr>
          <w:rFonts w:hint="eastAsia" w:ascii="仿宋" w:hAnsi="仿宋" w:eastAsia="仿宋" w:cs="仿宋"/>
          <w:sz w:val="32"/>
          <w:szCs w:val="32"/>
          <w:lang w:eastAsia="zh-CN"/>
        </w:rPr>
        <w:t>股</w:t>
      </w:r>
      <w:r>
        <w:rPr>
          <w:rFonts w:hint="eastAsia" w:ascii="仿宋" w:hAnsi="仿宋" w:eastAsia="仿宋" w:cs="仿宋"/>
          <w:sz w:val="32"/>
          <w:szCs w:val="32"/>
        </w:rPr>
        <w:t>室需填报项目资料，包括需填报项目清单、财政预算项目库绩效目标表、项目支出绩效评价共性指标体系框架、省住建厅绩效指标规范、绩效共性指标规范等。在会议中明确了绩效自评的工作要求，由各</w:t>
      </w:r>
      <w:r>
        <w:rPr>
          <w:rFonts w:hint="eastAsia" w:ascii="仿宋" w:hAnsi="仿宋" w:eastAsia="仿宋" w:cs="仿宋"/>
          <w:sz w:val="32"/>
          <w:szCs w:val="32"/>
          <w:lang w:eastAsia="zh-CN"/>
        </w:rPr>
        <w:t>股</w:t>
      </w:r>
      <w:r>
        <w:rPr>
          <w:rFonts w:hint="eastAsia" w:ascii="仿宋" w:hAnsi="仿宋" w:eastAsia="仿宋" w:cs="仿宋"/>
          <w:sz w:val="32"/>
          <w:szCs w:val="32"/>
        </w:rPr>
        <w:t>室负责本</w:t>
      </w:r>
      <w:r>
        <w:rPr>
          <w:rFonts w:hint="eastAsia" w:ascii="仿宋" w:hAnsi="仿宋" w:eastAsia="仿宋" w:cs="仿宋"/>
          <w:sz w:val="32"/>
          <w:szCs w:val="32"/>
          <w:lang w:eastAsia="zh-CN"/>
        </w:rPr>
        <w:t>股</w:t>
      </w:r>
      <w:r>
        <w:rPr>
          <w:rFonts w:hint="eastAsia" w:ascii="仿宋" w:hAnsi="仿宋" w:eastAsia="仿宋" w:cs="仿宋"/>
          <w:sz w:val="32"/>
          <w:szCs w:val="32"/>
        </w:rPr>
        <w:t>室的需绩效自评项目填报内容，保证填报效果。各</w:t>
      </w:r>
      <w:r>
        <w:rPr>
          <w:rFonts w:hint="eastAsia" w:ascii="仿宋" w:hAnsi="仿宋" w:eastAsia="仿宋" w:cs="仿宋"/>
          <w:sz w:val="32"/>
          <w:szCs w:val="32"/>
          <w:lang w:eastAsia="zh-CN"/>
        </w:rPr>
        <w:t>股</w:t>
      </w:r>
      <w:r>
        <w:rPr>
          <w:rFonts w:hint="eastAsia" w:ascii="仿宋" w:hAnsi="仿宋" w:eastAsia="仿宋" w:cs="仿宋"/>
          <w:sz w:val="32"/>
          <w:szCs w:val="32"/>
        </w:rPr>
        <w:t>室按要求时间</w:t>
      </w:r>
      <w:r>
        <w:rPr>
          <w:rFonts w:ascii="仿宋" w:hAnsi="仿宋" w:eastAsia="仿宋" w:cs="仿宋"/>
          <w:sz w:val="32"/>
          <w:szCs w:val="32"/>
        </w:rPr>
        <w:t>报送项目绩效自评报告、自评表及相关资料。</w:t>
      </w:r>
    </w:p>
    <w:p>
      <w:pPr>
        <w:snapToGrid w:val="0"/>
        <w:spacing w:line="360" w:lineRule="auto"/>
        <w:ind w:firstLine="640" w:firstLineChars="200"/>
        <w:rPr>
          <w:rFonts w:hint="eastAsia" w:ascii="楷体_GB2312" w:hAnsi="楷体_GB2312" w:eastAsia="楷体_GB2312" w:cs="楷体_GB2312"/>
          <w:bCs/>
          <w:sz w:val="32"/>
          <w:szCs w:val="32"/>
        </w:rPr>
      </w:pPr>
      <w:r>
        <w:rPr>
          <w:rFonts w:ascii="仿宋" w:hAnsi="仿宋" w:eastAsia="仿宋" w:cs="仿宋"/>
          <w:sz w:val="32"/>
          <w:szCs w:val="32"/>
        </w:rPr>
        <w:t>评价小组采取座谈等方式听取情况，检查</w:t>
      </w:r>
      <w:r>
        <w:rPr>
          <w:rFonts w:hint="eastAsia" w:ascii="仿宋" w:hAnsi="仿宋" w:eastAsia="仿宋" w:cs="仿宋"/>
          <w:sz w:val="32"/>
          <w:szCs w:val="32"/>
        </w:rPr>
        <w:t>项目</w:t>
      </w:r>
      <w:r>
        <w:rPr>
          <w:rFonts w:ascii="仿宋" w:hAnsi="仿宋" w:eastAsia="仿宋" w:cs="仿宋"/>
          <w:sz w:val="32"/>
          <w:szCs w:val="32"/>
        </w:rPr>
        <w:t>支出有关账目，收集整理支出相关资料，并根据各部门报送的绩效自评材料进行分析、总结</w:t>
      </w:r>
      <w:r>
        <w:rPr>
          <w:rFonts w:hint="eastAsia" w:ascii="仿宋" w:hAnsi="仿宋" w:eastAsia="仿宋" w:cs="仿宋"/>
          <w:sz w:val="32"/>
          <w:szCs w:val="32"/>
        </w:rPr>
        <w:t>，</w:t>
      </w:r>
      <w:r>
        <w:rPr>
          <w:rFonts w:ascii="仿宋" w:hAnsi="仿宋" w:eastAsia="仿宋" w:cs="仿宋"/>
          <w:sz w:val="32"/>
          <w:szCs w:val="32"/>
        </w:rPr>
        <w:t>开展绩效评价工作。</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部门总体工作正常开展，</w:t>
      </w:r>
      <w:r>
        <w:rPr>
          <w:rFonts w:ascii="仿宋" w:hAnsi="仿宋" w:eastAsia="仿宋" w:cs="仿宋"/>
          <w:sz w:val="32"/>
          <w:szCs w:val="32"/>
        </w:rPr>
        <w:t>从自评情况可以看出，</w:t>
      </w:r>
      <w:r>
        <w:rPr>
          <w:rFonts w:hint="eastAsia" w:ascii="Times New Roman" w:hAnsi="Times New Roman" w:eastAsia="方正仿宋_GBK" w:cs="Times New Roman"/>
          <w:sz w:val="32"/>
          <w:szCs w:val="32"/>
          <w:lang w:eastAsia="zh-CN"/>
        </w:rPr>
        <w:t>所有预算项目均已纳入绩效评价范围</w:t>
      </w:r>
      <w:r>
        <w:rPr>
          <w:rFonts w:hint="eastAsia" w:eastAsia="方正仿宋_GBK" w:cs="Times New Roman"/>
          <w:sz w:val="32"/>
          <w:szCs w:val="32"/>
          <w:lang w:eastAsia="zh-CN"/>
        </w:rPr>
        <w:t>，</w:t>
      </w:r>
      <w:r>
        <w:rPr>
          <w:rFonts w:ascii="仿宋" w:hAnsi="仿宋" w:eastAsia="仿宋" w:cs="仿宋"/>
          <w:sz w:val="32"/>
          <w:szCs w:val="32"/>
        </w:rPr>
        <w:t>较好的完成了年初的目标，</w:t>
      </w:r>
      <w:r>
        <w:rPr>
          <w:rFonts w:hint="eastAsia" w:ascii="仿宋" w:hAnsi="仿宋" w:eastAsia="仿宋" w:cs="仿宋"/>
          <w:sz w:val="32"/>
          <w:szCs w:val="32"/>
        </w:rPr>
        <w:t>专项资金和具体预算支出项目</w:t>
      </w:r>
      <w:r>
        <w:rPr>
          <w:rFonts w:ascii="仿宋" w:hAnsi="仿宋" w:eastAsia="仿宋" w:cs="仿宋"/>
          <w:sz w:val="32"/>
          <w:szCs w:val="32"/>
        </w:rPr>
        <w:t>各项指标也基本达到了预期指标值</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15" w:lineRule="atLeast"/>
        <w:ind w:left="0" w:right="0" w:firstLine="640" w:firstLineChars="200"/>
        <w:jc w:val="left"/>
        <w:textAlignment w:val="auto"/>
        <w:rPr>
          <w:rFonts w:hint="default" w:ascii="仿宋" w:hAnsi="仿宋" w:eastAsia="仿宋" w:cs="仿宋"/>
          <w:sz w:val="32"/>
          <w:szCs w:val="32"/>
          <w:lang w:eastAsia="zh-CN"/>
        </w:rPr>
      </w:pPr>
      <w:r>
        <w:rPr>
          <w:rFonts w:ascii="仿宋" w:hAnsi="仿宋" w:eastAsia="仿宋" w:cs="仿宋"/>
          <w:sz w:val="32"/>
          <w:szCs w:val="32"/>
        </w:rPr>
        <w:t>从自评情况可以看出</w:t>
      </w:r>
      <w:r>
        <w:rPr>
          <w:rFonts w:hint="eastAsia" w:ascii="仿宋" w:hAnsi="仿宋" w:eastAsia="仿宋" w:cs="仿宋"/>
          <w:sz w:val="32"/>
          <w:szCs w:val="32"/>
          <w:lang w:eastAsia="zh-CN"/>
        </w:rPr>
        <w:t>，分项绩效目标和指标从</w:t>
      </w:r>
      <w:r>
        <w:rPr>
          <w:rFonts w:hint="eastAsia" w:ascii="仿宋_GB2312" w:hAnsi="仿宋_GB2312" w:eastAsia="仿宋_GB2312" w:cs="仿宋_GB2312"/>
          <w:sz w:val="32"/>
          <w:szCs w:val="32"/>
          <w:highlight w:val="none"/>
          <w:lang w:eastAsia="zh-CN"/>
        </w:rPr>
        <w:t>完成数量、质量、时效、成本效益等方面</w:t>
      </w:r>
      <w:r>
        <w:rPr>
          <w:rFonts w:hint="eastAsia" w:ascii="仿宋" w:hAnsi="仿宋" w:eastAsia="仿宋" w:cs="仿宋"/>
          <w:sz w:val="32"/>
          <w:szCs w:val="32"/>
          <w:lang w:eastAsia="zh-CN"/>
        </w:rPr>
        <w:t>较好的完成了年初的目标：</w:t>
      </w:r>
      <w:r>
        <w:rPr>
          <w:rFonts w:hint="default" w:ascii="仿宋" w:hAnsi="仿宋" w:eastAsia="仿宋" w:cs="仿宋"/>
          <w:sz w:val="32"/>
          <w:szCs w:val="32"/>
          <w:lang w:val="en-US" w:eastAsia="zh-CN"/>
        </w:rPr>
        <w:t>及时发放劳务派遣人员工资、完成对辅勤人员的体检，完成对三个点位的维护，保障工作正常进行。</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目标设定基本准确，绩效指标全面完整、科学合理，绩效标准恰当适宜、易于评价。在开展预算自评工作时，针对具体绩效评价对象的特点，设计了能够体现项目特点绩效评价指标体系。绩效指标权重由本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调整至其他指标。若被评价项目不涉及服务对象满意度内容或因服务对象满意度获取难度较大、成本较高而未能获取，则服务对象满意度的10分调入效益考核事项。</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keepNext w:val="0"/>
        <w:keepLines w:val="0"/>
        <w:pageBreakBefore w:val="0"/>
        <w:widowControl w:val="0"/>
        <w:numPr>
          <w:ilvl w:val="0"/>
          <w:numId w:val="0"/>
        </w:numPr>
        <w:kinsoku/>
        <w:wordWrap/>
        <w:overflowPunct/>
        <w:topLinePunct w:val="0"/>
        <w:autoSpaceDE/>
        <w:autoSpaceDN/>
        <w:bidi w:val="0"/>
        <w:spacing w:line="560" w:lineRule="exact"/>
        <w:ind w:firstLine="1600" w:firstLineChars="500"/>
        <w:textAlignment w:val="auto"/>
        <w:rPr>
          <w:rFonts w:hint="eastAsia" w:ascii="楷体_GB2312" w:hAnsi="楷体_GB2312" w:eastAsia="楷体_GB2312" w:cs="楷体_GB2312"/>
          <w:bCs/>
          <w:sz w:val="32"/>
          <w:szCs w:val="32"/>
          <w:lang w:eastAsia="zh-CN"/>
        </w:rPr>
      </w:pPr>
      <w:r>
        <w:rPr>
          <w:rFonts w:hint="eastAsia" w:ascii="楷体_GB2312" w:hAnsi="楷体_GB2312" w:eastAsia="楷体_GB2312" w:cs="楷体_GB2312"/>
          <w:bCs/>
          <w:sz w:val="32"/>
          <w:szCs w:val="32"/>
          <w:lang w:eastAsia="zh-CN"/>
        </w:rPr>
        <w:t>无</w:t>
      </w:r>
    </w:p>
    <w:p>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 xml:space="preserve">        无</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89"/>
        <w:gridCol w:w="2265"/>
        <w:gridCol w:w="28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工作单位</w:t>
            </w:r>
          </w:p>
        </w:tc>
        <w:tc>
          <w:tcPr>
            <w:tcW w:w="2265" w:type="dxa"/>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rPr>
              <w:t>职务</w:t>
            </w:r>
            <w:r>
              <w:rPr>
                <w:rFonts w:hint="eastAsia" w:ascii="仿宋_GB2312" w:hAnsi="仿宋" w:eastAsia="仿宋_GB2312" w:cs="仿宋_GB2312"/>
                <w:sz w:val="32"/>
                <w:szCs w:val="32"/>
                <w:lang w:val="en-US" w:eastAsia="zh-CN"/>
              </w:rPr>
              <w:t>/职称</w:t>
            </w:r>
          </w:p>
        </w:tc>
        <w:tc>
          <w:tcPr>
            <w:tcW w:w="2867" w:type="dxa"/>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restart"/>
          </w:tcPr>
          <w:p>
            <w:pPr>
              <w:pBdr>
                <w:top w:val="none" w:color="auto" w:sz="0" w:space="0"/>
                <w:left w:val="none" w:color="auto" w:sz="0" w:space="0"/>
                <w:bottom w:val="none" w:color="auto" w:sz="0" w:space="0"/>
                <w:right w:val="none" w:color="auto" w:sz="0" w:space="0"/>
              </w:pBdr>
              <w:wordWrap/>
              <w:spacing w:line="560" w:lineRule="exact"/>
              <w:ind w:left="0"/>
              <w:jc w:val="center"/>
              <w:rPr>
                <w:rFonts w:ascii="仿宋_GB2312" w:hAnsi="仿宋" w:eastAsia="仿宋_GB2312" w:cs="仿宋_GB2312"/>
                <w:sz w:val="32"/>
                <w:szCs w:val="32"/>
              </w:rPr>
            </w:pPr>
          </w:p>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p>
        </w:tc>
        <w:tc>
          <w:tcPr>
            <w:tcW w:w="2265" w:type="dxa"/>
            <w:tcBorders>
              <w:left w:val="single" w:color="auto" w:sz="4" w:space="0"/>
            </w:tcBorders>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p>
        </w:tc>
        <w:tc>
          <w:tcPr>
            <w:tcW w:w="2867" w:type="dxa"/>
            <w:tcBorders>
              <w:left w:val="single" w:color="auto" w:sz="4" w:space="0"/>
            </w:tcBorders>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tc>
        <w:tc>
          <w:tcPr>
            <w:tcW w:w="2265" w:type="dxa"/>
            <w:tcBorders>
              <w:left w:val="single" w:color="auto" w:sz="4" w:space="0"/>
            </w:tcBorders>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p>
        </w:tc>
        <w:tc>
          <w:tcPr>
            <w:tcW w:w="2867" w:type="dxa"/>
            <w:tcBorders>
              <w:left w:val="single" w:color="auto" w:sz="4" w:space="0"/>
            </w:tcBorders>
          </w:tcPr>
          <w:p>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589" w:type="dxa"/>
            <w:vMerge w:val="continue"/>
          </w:tcPr>
          <w:p/>
        </w:tc>
        <w:tc>
          <w:tcPr>
            <w:tcW w:w="2265" w:type="dxa"/>
            <w:tcBorders>
              <w:left w:val="single" w:color="auto" w:sz="4" w:space="0"/>
            </w:tcBorders>
          </w:tcPr>
          <w:p>
            <w:pPr>
              <w:pBdr>
                <w:top w:val="none" w:color="auto" w:sz="0" w:space="0"/>
                <w:left w:val="none" w:color="auto" w:sz="0" w:space="0"/>
                <w:bottom w:val="none" w:color="auto" w:sz="0" w:space="0"/>
                <w:right w:val="none" w:color="auto" w:sz="0" w:space="0"/>
              </w:pBdr>
              <w:wordWrap/>
              <w:spacing w:line="560" w:lineRule="exact"/>
              <w:ind w:left="0"/>
              <w:jc w:val="center"/>
              <w:rPr>
                <w:rFonts w:ascii="仿宋_GB2312" w:hAnsi="仿宋" w:eastAsia="仿宋_GB2312" w:cs="仿宋_GB2312"/>
                <w:sz w:val="32"/>
                <w:szCs w:val="32"/>
              </w:rPr>
            </w:pPr>
          </w:p>
        </w:tc>
        <w:tc>
          <w:tcPr>
            <w:tcW w:w="2867" w:type="dxa"/>
            <w:tcBorders>
              <w:left w:val="single" w:color="auto" w:sz="4" w:space="0"/>
            </w:tcBorders>
          </w:tcPr>
          <w:p>
            <w:pPr>
              <w:pBdr>
                <w:top w:val="none" w:color="auto" w:sz="0" w:space="0"/>
                <w:left w:val="none" w:color="auto" w:sz="0" w:space="0"/>
                <w:bottom w:val="none" w:color="auto" w:sz="0" w:space="0"/>
                <w:right w:val="none" w:color="auto" w:sz="0" w:space="0"/>
              </w:pBdr>
              <w:wordWrap/>
              <w:spacing w:line="560" w:lineRule="exact"/>
              <w:ind w:left="0"/>
              <w:jc w:val="center"/>
              <w:rPr>
                <w:rFonts w:ascii="仿宋_GB2312" w:hAnsi="仿宋" w:eastAsia="仿宋_GB2312" w:cs="仿宋_GB2312"/>
                <w:sz w:val="32"/>
                <w:szCs w:val="32"/>
              </w:rPr>
            </w:pPr>
          </w:p>
        </w:tc>
      </w:tr>
    </w:tbl>
    <w:p>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false" upright="true">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FgAAAGRycy9QSwECFAAUAAAACACHTuJA&#10;9hets9EAAAADAQAADwAAAAAAAAABACAAAAA4AAAAZHJzL2Rvd25yZXYueG1sUEsBAhQAFAAAAAgA&#10;h07iQHLdq8XdAQAAqAMAAA4AAAAAAAAAAQAgAAAANgEAAGRycy9lMm9Eb2MueG1sUEsFBgAAAAAG&#10;AAYAWQEAAIUFAAAAAA==&#10;">
              <v:fill on="f" focussize="0,0"/>
              <v:stroke on="f" joinstyle="round"/>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B94B6E24"/>
    <w:multiLevelType w:val="singleLevel"/>
    <w:tmpl w:val="B94B6E24"/>
    <w:lvl w:ilvl="0" w:tentative="0">
      <w:start w:val="1"/>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3EFFD3C2"/>
    <w:multiLevelType w:val="singleLevel"/>
    <w:tmpl w:val="3EFFD3C2"/>
    <w:lvl w:ilvl="0" w:tentative="0">
      <w:start w:val="2"/>
      <w:numFmt w:val="chineseCounting"/>
      <w:suff w:val="nothing"/>
      <w:lvlText w:val="（%1）"/>
      <w:lvlJc w:val="left"/>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134F6B82"/>
    <w:rsid w:val="13955CCA"/>
    <w:rsid w:val="13BF5D44"/>
    <w:rsid w:val="1DAEFF77"/>
    <w:rsid w:val="255EC223"/>
    <w:rsid w:val="2B66162B"/>
    <w:rsid w:val="2F9F3A95"/>
    <w:rsid w:val="355E0F76"/>
    <w:rsid w:val="3DDE37D0"/>
    <w:rsid w:val="47BFC4C9"/>
    <w:rsid w:val="539DCDE7"/>
    <w:rsid w:val="5498468F"/>
    <w:rsid w:val="58B8456C"/>
    <w:rsid w:val="5F7AFB66"/>
    <w:rsid w:val="5F7F4C2B"/>
    <w:rsid w:val="5FDE9BB2"/>
    <w:rsid w:val="673FC123"/>
    <w:rsid w:val="69206851"/>
    <w:rsid w:val="6BF29796"/>
    <w:rsid w:val="6D7046D1"/>
    <w:rsid w:val="6D97A3FB"/>
    <w:rsid w:val="6FFDCF7D"/>
    <w:rsid w:val="72FFF92E"/>
    <w:rsid w:val="756B6714"/>
    <w:rsid w:val="77BBBBC9"/>
    <w:rsid w:val="77BFE0AD"/>
    <w:rsid w:val="77DBBED1"/>
    <w:rsid w:val="77E5300A"/>
    <w:rsid w:val="7C5D664B"/>
    <w:rsid w:val="7DAE8D4D"/>
    <w:rsid w:val="7DAFF4C5"/>
    <w:rsid w:val="7E74890B"/>
    <w:rsid w:val="7EFF9D5F"/>
    <w:rsid w:val="7FABEC7C"/>
    <w:rsid w:val="7FEEA998"/>
    <w:rsid w:val="A3E72D07"/>
    <w:rsid w:val="A7FB4A0C"/>
    <w:rsid w:val="BD7CD68E"/>
    <w:rsid w:val="CFEFCFF1"/>
    <w:rsid w:val="D7BF500D"/>
    <w:rsid w:val="DAEFC655"/>
    <w:rsid w:val="DFD793FE"/>
    <w:rsid w:val="DFFD443E"/>
    <w:rsid w:val="E5F50297"/>
    <w:rsid w:val="EBFE231B"/>
    <w:rsid w:val="EBFFC56C"/>
    <w:rsid w:val="EFB5D45F"/>
    <w:rsid w:val="F5DBB882"/>
    <w:rsid w:val="FC7DD50D"/>
    <w:rsid w:val="FD7B30A3"/>
    <w:rsid w:val="FDFDC802"/>
    <w:rsid w:val="FE7A12BD"/>
    <w:rsid w:val="FF7DBA31"/>
    <w:rsid w:val="FF994144"/>
    <w:rsid w:val="FFDFC233"/>
    <w:rsid w:val="FFF05E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 w:type="paragraph" w:customStyle="1" w:styleId="12">
    <w:name w:val="[Normal]"/>
    <w:qFormat/>
    <w:uiPriority w:val="0"/>
    <w:rPr>
      <w:rFonts w:ascii="宋体" w:hAnsi="宋体" w:eastAsia="宋体" w:cs="Times New Roman"/>
      <w:sz w:val="24"/>
      <w:lang w:val="en-US" w:eastAsia="en-US" w:bidi="ar-SA"/>
    </w:rPr>
  </w:style>
  <w:style w:type="paragraph" w:customStyle="1" w:styleId="1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true"/>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true">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2</Pages>
  <Words>614</Words>
  <Characters>633</Characters>
  <Lines>0</Lines>
  <Paragraphs>31</Paragraphs>
  <TotalTime>78</TotalTime>
  <ScaleCrop>false</ScaleCrop>
  <LinksUpToDate>false</LinksUpToDate>
  <CharactersWithSpaces>633</CharactersWithSpaces>
  <Application>WPS Office_11.8.2.10195_F1E327BC-269C-435d-A152-05C5408002CA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2019-11-15T16:58:00Z</dcterms:created>
  <dc:creator>user</dc:creator>
  <cp:lastModifiedBy>uos</cp:lastModifiedBy>
  <cp:lastPrinted>2025-04-23T08:52:23Z</cp:lastPrinted>
  <dcterms:modified xsi:type="dcterms:W3CDTF">2025-04-23T08:56:22Z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28C64EFCB758481798A31117B3E7B5E3</vt:lpwstr>
  </property>
  <property fmtid="{D5CDD505-2E9C-101B-9397-08002B2CF9AE}" pid="4" name="KSOTemplateDocerSaveRecord">
    <vt:lpwstr>eyJoZGlkIjoiNzljNTRhNTNjOWE4MjBkMjQxNjdkNzdjYmE3M2NkNDQiLCJ1c2VySWQiOiIyNjg1NDQzODEifQ==</vt:lpwstr>
  </property>
</Properties>
</file>