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0C8276">
      <w:pPr>
        <w:keepNext w:val="0"/>
        <w:keepLines w:val="0"/>
        <w:pageBreakBefore w:val="0"/>
        <w:widowControl/>
        <w:kinsoku/>
        <w:wordWrap/>
        <w:overflowPunct/>
        <w:topLinePunct w:val="0"/>
        <w:autoSpaceDE/>
        <w:autoSpaceDN/>
        <w:bidi w:val="0"/>
        <w:adjustRightInd/>
        <w:snapToGrid/>
        <w:spacing w:line="1400" w:lineRule="exact"/>
        <w:jc w:val="distribute"/>
        <w:textAlignment w:val="auto"/>
        <w:rPr>
          <w:rFonts w:hint="eastAsia" w:ascii="国标小标宋" w:hAnsi="国标小标宋" w:eastAsia="国标小标宋" w:cs="国标小标宋"/>
          <w:sz w:val="44"/>
          <w:szCs w:val="44"/>
          <w:lang w:val="en-US" w:eastAsia="zh-CN"/>
        </w:rPr>
      </w:pPr>
      <w:r>
        <w:rPr>
          <w:rFonts w:hint="eastAsia" w:ascii="国标小标宋" w:hAnsi="国标小标宋" w:eastAsia="国标小标宋" w:cs="国标小标宋"/>
          <w:color w:val="FF0000"/>
          <w:spacing w:val="-20"/>
          <w:w w:val="90"/>
          <w:sz w:val="72"/>
          <w:szCs w:val="72"/>
          <w:u w:val="none"/>
          <w:lang w:val="en-US" w:eastAsia="en-US"/>
        </w:rPr>
        <w:t>石家庄市藁城区</w:t>
      </w:r>
      <w:r>
        <w:rPr>
          <w:rFonts w:hint="eastAsia" w:ascii="国标小标宋" w:hAnsi="国标小标宋" w:eastAsia="国标小标宋" w:cs="国标小标宋"/>
          <w:color w:val="FF0000"/>
          <w:spacing w:val="-20"/>
          <w:w w:val="90"/>
          <w:sz w:val="72"/>
          <w:szCs w:val="72"/>
          <w:u w:val="none"/>
          <w:lang w:val="en-US" w:eastAsia="zh-CN"/>
        </w:rPr>
        <w:t>财政局</w:t>
      </w:r>
    </w:p>
    <w:p w14:paraId="3E3C009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sz w:val="21"/>
        </w:rPr>
        <mc:AlternateContent>
          <mc:Choice Requires="wps">
            <w:drawing>
              <wp:anchor distT="0" distB="0" distL="114300" distR="114300" simplePos="0" relativeHeight="251660288" behindDoc="0" locked="0" layoutInCell="1" allowOverlap="1">
                <wp:simplePos x="0" y="0"/>
                <wp:positionH relativeFrom="column">
                  <wp:posOffset>24765</wp:posOffset>
                </wp:positionH>
                <wp:positionV relativeFrom="paragraph">
                  <wp:posOffset>161290</wp:posOffset>
                </wp:positionV>
                <wp:extent cx="5677535" cy="8890"/>
                <wp:effectExtent l="0" t="0" r="0" b="0"/>
                <wp:wrapNone/>
                <wp:docPr id="1" name="直接连接符 1"/>
                <wp:cNvGraphicFramePr/>
                <a:graphic xmlns:a="http://schemas.openxmlformats.org/drawingml/2006/main">
                  <a:graphicData uri="http://schemas.microsoft.com/office/word/2010/wordprocessingShape">
                    <wps:wsp>
                      <wps:cNvCnPr/>
                      <wps:spPr>
                        <a:xfrm flipV="1">
                          <a:off x="0" y="0"/>
                          <a:ext cx="5677535" cy="8890"/>
                        </a:xfrm>
                        <a:prstGeom prst="line">
                          <a:avLst/>
                        </a:prstGeom>
                        <a:ln w="9525"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95pt;margin-top:12.7pt;height:0.7pt;width:447.05pt;z-index:251660288;mso-width-relative:page;mso-height-relative:page;" filled="f" stroked="t" coordsize="21600,21600" o:gfxdata="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LRYGj1wAAAAcBAAAPAAAAAAAAAAEAIAAAACIAAABkcnMvZG93&#10;bnJldi54bWxQSwECFAAUAAAACACHTuJAH5wEVQECAADxAwAADgAAAAAAAAABACAAAAAmAQAAZHJz&#10;L2Uyb0RvYy54bWxQSwUGAAAAAAYABgBZAQAAmQUAAAAA&#10;">
                <v:fill on="f" focussize="0,0"/>
                <v:stroke color="#FF0000" joinstyle="round"/>
                <v:imagedata o:title=""/>
                <o:lock v:ext="edit" aspectratio="f"/>
              </v:lin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10795</wp:posOffset>
                </wp:positionH>
                <wp:positionV relativeFrom="paragraph">
                  <wp:posOffset>118110</wp:posOffset>
                </wp:positionV>
                <wp:extent cx="5700395" cy="635"/>
                <wp:effectExtent l="0" t="13970" r="14605" b="23495"/>
                <wp:wrapNone/>
                <wp:docPr id="2" name="直接连接符 2"/>
                <wp:cNvGraphicFramePr/>
                <a:graphic xmlns:a="http://schemas.openxmlformats.org/drawingml/2006/main">
                  <a:graphicData uri="http://schemas.microsoft.com/office/word/2010/wordprocessingShape">
                    <wps:wsp>
                      <wps:cNvCnPr/>
                      <wps:spPr>
                        <a:xfrm>
                          <a:off x="0" y="0"/>
                          <a:ext cx="5700395" cy="635"/>
                        </a:xfrm>
                        <a:prstGeom prst="line">
                          <a:avLst/>
                        </a:prstGeom>
                        <a:ln w="28575"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85pt;margin-top:9.3pt;height:0.05pt;width:448.85pt;z-index:251659264;mso-width-relative:page;mso-height-relative:page;" filled="f" stroked="t" coordsize="21600,21600" o:gfxdata="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DrS6vVAAAABwEAAA8AAAAAAAAAAQAgAAAAIgAAAGRycy9kb3ducmV2LnhtbFBL&#10;AQIUABQAAAAIAIdO4kBpDn4t+QEAAOcDAAAOAAAAAAAAAAEAIAAAACQBAABkcnMvZTJvRG9jLnht&#10;bFBLBQYAAAAABgAGAFkBAACPBQAAAAA=&#10;">
                <v:fill on="f" focussize="0,0"/>
                <v:stroke weight="2.25pt" color="#FF0000" joinstyle="round"/>
                <v:imagedata o:title=""/>
                <o:lock v:ext="edit" aspectratio="f"/>
              </v:line>
            </w:pict>
          </mc:Fallback>
        </mc:AlternateContent>
      </w:r>
    </w:p>
    <w:p w14:paraId="4C6738A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sz w:val="44"/>
          <w:szCs w:val="44"/>
        </w:rPr>
      </w:pPr>
    </w:p>
    <w:p w14:paraId="7ED1A7E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国标小标宋" w:hAnsi="国标小标宋" w:eastAsia="国标小标宋" w:cs="国标小标宋"/>
          <w:sz w:val="44"/>
          <w:szCs w:val="44"/>
          <w:lang w:eastAsia="zh-CN"/>
        </w:rPr>
      </w:pPr>
      <w:r>
        <w:rPr>
          <w:rFonts w:hint="eastAsia" w:ascii="国标小标宋" w:hAnsi="国标小标宋" w:eastAsia="国标小标宋" w:cs="国标小标宋"/>
          <w:b w:val="0"/>
          <w:bCs/>
          <w:sz w:val="44"/>
          <w:szCs w:val="44"/>
        </w:rPr>
        <w:t>石家庄市</w:t>
      </w:r>
      <w:r>
        <w:rPr>
          <w:rFonts w:hint="eastAsia" w:ascii="国标小标宋" w:hAnsi="国标小标宋" w:eastAsia="国标小标宋" w:cs="国标小标宋"/>
          <w:sz w:val="44"/>
          <w:szCs w:val="44"/>
          <w:lang w:eastAsia="zh-CN"/>
        </w:rPr>
        <w:t>藁城区财政局</w:t>
      </w:r>
    </w:p>
    <w:p w14:paraId="57C5D76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国标小标宋" w:hAnsi="国标小标宋" w:eastAsia="国标小标宋" w:cs="国标小标宋"/>
          <w:sz w:val="44"/>
          <w:szCs w:val="44"/>
          <w:lang w:val="en-US" w:eastAsia="zh-CN"/>
        </w:rPr>
      </w:pPr>
      <w:r>
        <w:rPr>
          <w:rFonts w:hint="eastAsia" w:ascii="国标小标宋" w:hAnsi="国标小标宋" w:eastAsia="国标小标宋" w:cs="国标小标宋"/>
          <w:sz w:val="44"/>
          <w:szCs w:val="44"/>
          <w:lang w:val="en-US" w:eastAsia="zh-CN"/>
        </w:rPr>
        <w:t>2024年度法治政府建设工作情况报告</w:t>
      </w:r>
    </w:p>
    <w:p w14:paraId="2ADBE160">
      <w:pPr>
        <w:pStyle w:val="2"/>
        <w:rPr>
          <w:rFonts w:hint="eastAsia"/>
          <w:lang w:val="en-US" w:eastAsia="zh-CN"/>
        </w:rPr>
      </w:pPr>
    </w:p>
    <w:p w14:paraId="492AB721">
      <w:pPr>
        <w:keepNext w:val="0"/>
        <w:keepLines w:val="0"/>
        <w:pageBreakBefore w:val="0"/>
        <w:widowControl w:val="0"/>
        <w:kinsoku/>
        <w:wordWrap/>
        <w:overflowPunct/>
        <w:topLinePunct w:val="0"/>
        <w:autoSpaceDE/>
        <w:autoSpaceDN/>
        <w:bidi w:val="0"/>
        <w:adjustRightInd/>
        <w:snapToGrid/>
        <w:spacing w:line="54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区政府：</w:t>
      </w:r>
    </w:p>
    <w:p w14:paraId="0DD17D8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i w:val="0"/>
          <w:iCs w:val="0"/>
          <w:caps w:val="0"/>
          <w:color w:val="000000"/>
          <w:spacing w:val="0"/>
          <w:sz w:val="32"/>
          <w:szCs w:val="32"/>
          <w:shd w:val="clear" w:color="auto" w:fill="FFFFFF"/>
        </w:rPr>
      </w:pPr>
      <w:r>
        <w:rPr>
          <w:rFonts w:hint="eastAsia" w:ascii="仿宋_GB2312" w:hAnsi="仿宋_GB2312" w:eastAsia="仿宋_GB2312" w:cs="仿宋_GB2312"/>
          <w:sz w:val="32"/>
          <w:szCs w:val="32"/>
          <w:lang w:val="en-US" w:eastAsia="zh-CN"/>
        </w:rPr>
        <w:t>2024年以来，在区委、区政府的正确领导和指导下，区财政局紧紧围绕区委、政府中心工作，按照依法行政的总体要求，全面落实履行推进法治建设，稳步推进依法行政工作，扎实推进财政法治建设，全面提升依法行政依法理财能力，现将各项工作任务完成情况报告如下。</w:t>
      </w:r>
    </w:p>
    <w:p w14:paraId="5372F31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一、提高政治站位，财政法治建设更加有力</w:t>
      </w:r>
    </w:p>
    <w:p w14:paraId="27AEB1A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i w:val="0"/>
          <w:iCs w:val="0"/>
          <w:caps w:val="0"/>
          <w:color w:val="000000"/>
          <w:spacing w:val="0"/>
          <w:sz w:val="32"/>
          <w:szCs w:val="32"/>
          <w:highlight w:val="none"/>
          <w:shd w:val="clear" w:color="auto" w:fill="FFFFFF"/>
          <w:lang w:eastAsia="zh-CN"/>
        </w:rPr>
      </w:pPr>
      <w:r>
        <w:rPr>
          <w:rFonts w:hint="eastAsia" w:ascii="仿宋_GB2312" w:hAnsi="仿宋_GB2312" w:eastAsia="仿宋_GB2312" w:cs="仿宋_GB2312"/>
          <w:sz w:val="32"/>
          <w:szCs w:val="32"/>
          <w:highlight w:val="none"/>
          <w:lang w:val="en-US" w:eastAsia="zh-CN"/>
        </w:rPr>
        <w:t>坚持以习近平法治思想为指导，紧紧围绕区委区政府依法治区、法治建设部署，坚持高位推动，将财政法治建设融入财政业务工作一体部署、推进、落实。为切实将法治建设工作落到实处，</w:t>
      </w:r>
      <w:r>
        <w:rPr>
          <w:rFonts w:hint="eastAsia" w:ascii="仿宋_GB2312" w:hAnsi="仿宋_GB2312" w:eastAsia="仿宋_GB2312" w:cs="仿宋_GB2312"/>
          <w:i w:val="0"/>
          <w:iCs w:val="0"/>
          <w:caps w:val="0"/>
          <w:color w:val="000000"/>
          <w:spacing w:val="0"/>
          <w:sz w:val="32"/>
          <w:szCs w:val="32"/>
          <w:highlight w:val="none"/>
          <w:shd w:val="clear" w:color="auto" w:fill="FFFFFF"/>
          <w:lang w:eastAsia="zh-CN"/>
        </w:rPr>
        <w:t>建立</w:t>
      </w:r>
      <w:r>
        <w:rPr>
          <w:rFonts w:hint="eastAsia" w:ascii="仿宋_GB2312" w:hAnsi="仿宋_GB2312" w:eastAsia="仿宋_GB2312" w:cs="仿宋_GB2312"/>
          <w:i w:val="0"/>
          <w:iCs w:val="0"/>
          <w:caps w:val="0"/>
          <w:color w:val="000000"/>
          <w:spacing w:val="0"/>
          <w:sz w:val="32"/>
          <w:szCs w:val="32"/>
          <w:highlight w:val="none"/>
          <w:shd w:val="clear" w:color="auto" w:fill="FFFFFF"/>
          <w:lang w:val="en-US" w:eastAsia="zh-CN"/>
        </w:rPr>
        <w:t>由党组书记</w:t>
      </w:r>
      <w:r>
        <w:rPr>
          <w:rFonts w:hint="eastAsia" w:ascii="仿宋_GB2312" w:hAnsi="仿宋_GB2312" w:eastAsia="仿宋_GB2312" w:cs="仿宋_GB2312"/>
          <w:i w:val="0"/>
          <w:iCs w:val="0"/>
          <w:caps w:val="0"/>
          <w:color w:val="000000"/>
          <w:spacing w:val="0"/>
          <w:sz w:val="32"/>
          <w:szCs w:val="32"/>
          <w:highlight w:val="none"/>
          <w:shd w:val="clear" w:color="auto" w:fill="FFFFFF"/>
          <w:lang w:eastAsia="zh-CN"/>
        </w:rPr>
        <w:t>统一领导、分管领导分工负责、各股室各司其职积极参与的领导体制和工作机制,全面部署依法行政和法治宣传教育等工作。</w:t>
      </w:r>
    </w:p>
    <w:p w14:paraId="7DC61DA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二、坚持依法行政，财政治理能力不断提升</w:t>
      </w:r>
    </w:p>
    <w:p w14:paraId="0AB24441">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both"/>
        <w:textAlignment w:val="auto"/>
        <w:rPr>
          <w:rFonts w:hint="eastAsia" w:cstheme="minorBidi"/>
          <w:b w:val="0"/>
          <w:bCs w:val="0"/>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完善重大事项决策制度。</w:t>
      </w:r>
      <w:r>
        <w:rPr>
          <w:rFonts w:hint="eastAsia" w:ascii="仿宋_GB2312" w:hAnsi="??" w:eastAsia="仿宋_GB2312" w:cs="宋体"/>
          <w:b w:val="0"/>
          <w:bCs w:val="0"/>
          <w:kern w:val="0"/>
          <w:sz w:val="32"/>
          <w:szCs w:val="32"/>
          <w:lang w:val="en-US" w:eastAsia="zh-CN"/>
        </w:rPr>
        <w:t>建立健全《局党组例会制度》，严格执行民主集中制原则，</w:t>
      </w:r>
      <w:r>
        <w:rPr>
          <w:rFonts w:hint="eastAsia" w:ascii="仿宋_GB2312" w:hAnsi="仿宋_GB2312" w:eastAsia="仿宋_GB2312" w:cs="仿宋_GB2312"/>
          <w:b w:val="0"/>
          <w:bCs w:val="0"/>
          <w:kern w:val="2"/>
          <w:sz w:val="32"/>
          <w:szCs w:val="32"/>
          <w:lang w:val="en-US" w:eastAsia="zh-CN" w:bidi="ar-SA"/>
        </w:rPr>
        <w:t>规范重大行政决策法定程序，严格实行合法性审核，实行</w:t>
      </w:r>
      <w:r>
        <w:rPr>
          <w:rFonts w:hint="eastAsia" w:ascii="仿宋_GB2312" w:hAnsi="??" w:eastAsia="仿宋_GB2312" w:cs="宋体"/>
          <w:b w:val="0"/>
          <w:bCs w:val="0"/>
          <w:kern w:val="0"/>
          <w:sz w:val="32"/>
          <w:szCs w:val="32"/>
          <w:lang w:val="en-US" w:eastAsia="zh-CN"/>
        </w:rPr>
        <w:t>重大事项集体研究决策，提高</w:t>
      </w:r>
      <w:r>
        <w:rPr>
          <w:rFonts w:hint="eastAsia" w:ascii="仿宋_GB2312" w:hAnsi="仿宋_GB2312" w:eastAsia="仿宋_GB2312" w:cs="仿宋_GB2312"/>
          <w:b w:val="0"/>
          <w:bCs w:val="0"/>
          <w:kern w:val="2"/>
          <w:sz w:val="32"/>
          <w:szCs w:val="32"/>
          <w:lang w:val="en-US" w:eastAsia="zh-CN" w:bidi="ar-SA"/>
        </w:rPr>
        <w:t>行政决策的科学化、民主化、法治化水平。</w:t>
      </w:r>
      <w:r>
        <w:rPr>
          <w:rFonts w:hint="eastAsia" w:ascii="仿宋_GB2312" w:hAnsi="仿宋_GB2312" w:eastAsia="仿宋_GB2312" w:cs="仿宋_GB2312"/>
          <w:b/>
          <w:bCs/>
          <w:kern w:val="0"/>
          <w:sz w:val="32"/>
          <w:szCs w:val="32"/>
          <w:lang w:val="en-US" w:eastAsia="zh-CN"/>
        </w:rPr>
        <w:t>依法编制财政预算。</w:t>
      </w:r>
      <w:r>
        <w:rPr>
          <w:rFonts w:hint="eastAsia" w:ascii="仿宋_GB2312" w:hAnsi="仿宋_GB2312" w:eastAsia="仿宋_GB2312" w:cs="仿宋_GB2312"/>
          <w:b w:val="0"/>
          <w:bCs w:val="0"/>
          <w:i w:val="0"/>
          <w:iCs w:val="0"/>
          <w:caps w:val="0"/>
          <w:color w:val="000000"/>
          <w:spacing w:val="0"/>
          <w:sz w:val="32"/>
          <w:szCs w:val="32"/>
          <w:shd w:val="clear" w:fill="FFFFFF"/>
          <w:lang w:eastAsia="zh-CN"/>
        </w:rPr>
        <w:t>每年</w:t>
      </w:r>
      <w:r>
        <w:rPr>
          <w:rFonts w:hint="eastAsia" w:ascii="仿宋_GB2312" w:hAnsi="仿宋_GB2312" w:eastAsia="仿宋_GB2312" w:cs="仿宋_GB2312"/>
          <w:b w:val="0"/>
          <w:bCs w:val="0"/>
          <w:i w:val="0"/>
          <w:iCs w:val="0"/>
          <w:caps w:val="0"/>
          <w:color w:val="000000"/>
          <w:spacing w:val="0"/>
          <w:sz w:val="32"/>
          <w:szCs w:val="32"/>
          <w:shd w:val="clear" w:fill="FFFFFF"/>
        </w:rPr>
        <w:t>依据《预算法》的规定进行</w:t>
      </w:r>
      <w:r>
        <w:rPr>
          <w:rFonts w:hint="eastAsia" w:ascii="仿宋_GB2312" w:hAnsi="仿宋_GB2312" w:eastAsia="仿宋_GB2312" w:cs="仿宋_GB2312"/>
          <w:b w:val="0"/>
          <w:bCs w:val="0"/>
          <w:i w:val="0"/>
          <w:iCs w:val="0"/>
          <w:caps w:val="0"/>
          <w:color w:val="000000"/>
          <w:spacing w:val="0"/>
          <w:sz w:val="32"/>
          <w:szCs w:val="32"/>
          <w:shd w:val="clear" w:fill="FFFFFF"/>
          <w:lang w:eastAsia="zh-CN"/>
        </w:rPr>
        <w:t>财政预决算</w:t>
      </w:r>
      <w:r>
        <w:rPr>
          <w:rFonts w:hint="eastAsia" w:ascii="仿宋_GB2312" w:hAnsi="仿宋_GB2312" w:eastAsia="仿宋_GB2312" w:cs="仿宋_GB2312"/>
          <w:b w:val="0"/>
          <w:bCs w:val="0"/>
          <w:i w:val="0"/>
          <w:iCs w:val="0"/>
          <w:caps w:val="0"/>
          <w:color w:val="000000"/>
          <w:spacing w:val="0"/>
          <w:sz w:val="32"/>
          <w:szCs w:val="32"/>
          <w:shd w:val="clear" w:fill="FFFFFF"/>
        </w:rPr>
        <w:t>编制，充分征求各单位</w:t>
      </w:r>
      <w:r>
        <w:rPr>
          <w:rFonts w:hint="eastAsia" w:ascii="仿宋_GB2312" w:hAnsi="仿宋_GB2312" w:eastAsia="仿宋_GB2312" w:cs="仿宋_GB2312"/>
          <w:b w:val="0"/>
          <w:bCs w:val="0"/>
          <w:i w:val="0"/>
          <w:iCs w:val="0"/>
          <w:caps w:val="0"/>
          <w:color w:val="000000"/>
          <w:spacing w:val="0"/>
          <w:sz w:val="32"/>
          <w:szCs w:val="32"/>
          <w:shd w:val="clear" w:fill="FFFFFF"/>
          <w:lang w:val="en-US" w:eastAsia="zh-CN"/>
        </w:rPr>
        <w:t>各</w:t>
      </w:r>
      <w:r>
        <w:rPr>
          <w:rFonts w:hint="eastAsia" w:ascii="仿宋_GB2312" w:hAnsi="仿宋_GB2312" w:eastAsia="仿宋_GB2312" w:cs="仿宋_GB2312"/>
          <w:b w:val="0"/>
          <w:bCs w:val="0"/>
          <w:i w:val="0"/>
          <w:iCs w:val="0"/>
          <w:caps w:val="0"/>
          <w:color w:val="000000"/>
          <w:spacing w:val="0"/>
          <w:sz w:val="32"/>
          <w:szCs w:val="32"/>
          <w:shd w:val="clear" w:fill="FFFFFF"/>
        </w:rPr>
        <w:t>部门意见，报</w:t>
      </w:r>
      <w:r>
        <w:rPr>
          <w:rFonts w:hint="eastAsia" w:ascii="仿宋_GB2312" w:hAnsi="仿宋_GB2312" w:eastAsia="仿宋_GB2312" w:cs="仿宋_GB2312"/>
          <w:b w:val="0"/>
          <w:bCs w:val="0"/>
          <w:i w:val="0"/>
          <w:iCs w:val="0"/>
          <w:caps w:val="0"/>
          <w:color w:val="000000"/>
          <w:spacing w:val="0"/>
          <w:sz w:val="32"/>
          <w:szCs w:val="32"/>
          <w:shd w:val="clear" w:fill="FFFFFF"/>
          <w:lang w:eastAsia="zh-CN"/>
        </w:rPr>
        <w:t>区委、区政府</w:t>
      </w:r>
      <w:r>
        <w:rPr>
          <w:rFonts w:hint="eastAsia" w:ascii="仿宋_GB2312" w:hAnsi="仿宋_GB2312" w:eastAsia="仿宋_GB2312" w:cs="仿宋_GB2312"/>
          <w:b w:val="0"/>
          <w:bCs w:val="0"/>
          <w:i w:val="0"/>
          <w:iCs w:val="0"/>
          <w:caps w:val="0"/>
          <w:color w:val="000000"/>
          <w:spacing w:val="0"/>
          <w:sz w:val="32"/>
          <w:szCs w:val="32"/>
          <w:shd w:val="clear" w:fill="FFFFFF"/>
        </w:rPr>
        <w:t>审定后，提请</w:t>
      </w:r>
      <w:r>
        <w:rPr>
          <w:rFonts w:hint="eastAsia" w:ascii="仿宋_GB2312" w:hAnsi="仿宋_GB2312" w:eastAsia="仿宋_GB2312" w:cs="仿宋_GB2312"/>
          <w:b w:val="0"/>
          <w:bCs w:val="0"/>
          <w:i w:val="0"/>
          <w:iCs w:val="0"/>
          <w:caps w:val="0"/>
          <w:color w:val="000000"/>
          <w:spacing w:val="0"/>
          <w:sz w:val="32"/>
          <w:szCs w:val="32"/>
          <w:shd w:val="clear" w:fill="FFFFFF"/>
          <w:lang w:eastAsia="zh-CN"/>
        </w:rPr>
        <w:t>区</w:t>
      </w:r>
      <w:r>
        <w:rPr>
          <w:rFonts w:hint="eastAsia" w:ascii="仿宋_GB2312" w:hAnsi="仿宋_GB2312" w:eastAsia="仿宋_GB2312" w:cs="仿宋_GB2312"/>
          <w:b w:val="0"/>
          <w:bCs w:val="0"/>
          <w:i w:val="0"/>
          <w:iCs w:val="0"/>
          <w:caps w:val="0"/>
          <w:color w:val="000000"/>
          <w:spacing w:val="0"/>
          <w:sz w:val="32"/>
          <w:szCs w:val="32"/>
          <w:shd w:val="clear" w:fill="FFFFFF"/>
        </w:rPr>
        <w:t>人大及其常委会进行审议</w:t>
      </w:r>
      <w:r>
        <w:rPr>
          <w:rFonts w:hint="eastAsia" w:ascii="仿宋_GB2312" w:hAnsi="仿宋_GB2312" w:eastAsia="仿宋_GB2312" w:cs="仿宋_GB2312"/>
          <w:b w:val="0"/>
          <w:bCs w:val="0"/>
          <w:i w:val="0"/>
          <w:iCs w:val="0"/>
          <w:caps w:val="0"/>
          <w:color w:val="000000"/>
          <w:spacing w:val="0"/>
          <w:sz w:val="32"/>
          <w:szCs w:val="32"/>
          <w:shd w:val="clear" w:fill="FFFFFF"/>
          <w:lang w:eastAsia="zh-CN"/>
        </w:rPr>
        <w:t>，</w:t>
      </w:r>
      <w:r>
        <w:rPr>
          <w:rFonts w:hint="eastAsia" w:ascii="仿宋_GB2312" w:hAnsi="??" w:eastAsia="仿宋_GB2312" w:cs="宋体"/>
          <w:b w:val="0"/>
          <w:bCs w:val="0"/>
          <w:color w:val="000000"/>
          <w:kern w:val="0"/>
          <w:sz w:val="32"/>
          <w:szCs w:val="32"/>
          <w:lang w:eastAsia="zh-CN"/>
        </w:rPr>
        <w:t>自觉接受人大及各方面的监督。</w:t>
      </w:r>
      <w:r>
        <w:rPr>
          <w:rFonts w:hint="eastAsia" w:ascii="仿宋_GB2312" w:hAnsi="仿宋_GB2312" w:eastAsia="仿宋_GB2312" w:cs="仿宋_GB2312"/>
          <w:b/>
          <w:bCs/>
          <w:i w:val="0"/>
          <w:iCs w:val="0"/>
          <w:caps w:val="0"/>
          <w:color w:val="000000"/>
          <w:spacing w:val="0"/>
          <w:sz w:val="32"/>
          <w:szCs w:val="32"/>
          <w:shd w:val="clear" w:fill="FFFFFF"/>
          <w:lang w:val="en-US" w:eastAsia="zh-CN"/>
        </w:rPr>
        <w:t>深化政务信息公开。</w:t>
      </w:r>
      <w:r>
        <w:rPr>
          <w:rFonts w:hint="eastAsia" w:ascii="仿宋_GB2312" w:hAnsi="仿宋_GB2312" w:eastAsia="仿宋_GB2312" w:cs="仿宋_GB2312"/>
          <w:b w:val="0"/>
          <w:bCs w:val="0"/>
          <w:i w:val="0"/>
          <w:iCs w:val="0"/>
          <w:caps w:val="0"/>
          <w:color w:val="000000"/>
          <w:spacing w:val="0"/>
          <w:sz w:val="32"/>
          <w:szCs w:val="32"/>
          <w:shd w:val="clear" w:fill="FFFFFF"/>
          <w:lang w:val="en-US" w:eastAsia="zh-CN"/>
        </w:rPr>
        <w:t>由局办公室牵头负责，各业务股室积极配合，及时</w:t>
      </w:r>
      <w:r>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t>更新财政政策、法治建设、部门预决算、重点领域信息</w:t>
      </w:r>
      <w:r>
        <w:rPr>
          <w:rFonts w:hint="eastAsia" w:ascii="仿宋_GB2312" w:hAnsi="仿宋_GB2312" w:eastAsia="仿宋_GB2312" w:cs="仿宋_GB2312"/>
          <w:b w:val="0"/>
          <w:bCs w:val="0"/>
          <w:i w:val="0"/>
          <w:iCs w:val="0"/>
          <w:caps w:val="0"/>
          <w:color w:val="000000"/>
          <w:spacing w:val="0"/>
          <w:sz w:val="32"/>
          <w:szCs w:val="32"/>
          <w:shd w:val="clear" w:fill="FFFFFF"/>
          <w:lang w:val="en-US" w:eastAsia="zh-CN"/>
        </w:rPr>
        <w:t>公开等内容，并在政府门户网站公布，自觉接受社会监督，着力打造阳光财政、法治财政。</w:t>
      </w:r>
    </w:p>
    <w:p w14:paraId="3C91B5B1">
      <w:pPr>
        <w:pStyle w:val="1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三、严格行政执法，法治营商环境持续优化</w:t>
      </w:r>
    </w:p>
    <w:p w14:paraId="21DC3DC1">
      <w:pPr>
        <w:keepNext w:val="0"/>
        <w:keepLines w:val="0"/>
        <w:pageBreakBefore w:val="0"/>
        <w:widowControl/>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b/>
          <w:bCs/>
          <w:kern w:val="2"/>
          <w:sz w:val="32"/>
          <w:szCs w:val="32"/>
          <w:lang w:val="en-US" w:eastAsia="zh-CN" w:bidi="ar-SA"/>
        </w:rPr>
        <w:t>严格规范公正执法。</w:t>
      </w:r>
      <w:r>
        <w:rPr>
          <w:rFonts w:hint="eastAsia" w:ascii="仿宋_GB2312" w:hAnsi="仿宋_GB2312" w:eastAsia="仿宋_GB2312" w:cs="仿宋_GB2312"/>
          <w:kern w:val="2"/>
          <w:sz w:val="32"/>
          <w:szCs w:val="32"/>
          <w:lang w:val="en-US" w:eastAsia="zh-CN" w:bidi="ar-SA"/>
        </w:rPr>
        <w:t>根据股室职能职责，将行政执法权力、责任量化细化分解到各股室，要求执法股室结合财政业务工作特</w:t>
      </w:r>
      <w:r>
        <w:rPr>
          <w:rFonts w:hint="eastAsia" w:ascii="仿宋_GB2312" w:hAnsi="仿宋_GB2312" w:eastAsia="仿宋_GB2312" w:cs="仿宋_GB2312"/>
          <w:kern w:val="2"/>
          <w:sz w:val="32"/>
          <w:szCs w:val="32"/>
          <w:highlight w:val="none"/>
          <w:lang w:val="en-US" w:eastAsia="zh-CN" w:bidi="ar-SA"/>
        </w:rPr>
        <w:t>点，认真履行行政执法责任制，各执法人员做到执证上岗，亮证执法。</w:t>
      </w:r>
      <w:r>
        <w:rPr>
          <w:rFonts w:hint="eastAsia" w:ascii="仿宋_GB2312" w:hAnsi="仿宋_GB2312" w:eastAsia="仿宋_GB2312" w:cs="仿宋_GB2312"/>
          <w:i w:val="0"/>
          <w:iCs w:val="0"/>
          <w:caps w:val="0"/>
          <w:color w:val="000000"/>
          <w:spacing w:val="0"/>
          <w:sz w:val="32"/>
          <w:szCs w:val="32"/>
          <w:highlight w:val="none"/>
          <w:shd w:val="clear" w:color="auto" w:fill="FFFFFF"/>
          <w:lang w:val="en-US" w:eastAsia="zh-CN"/>
        </w:rPr>
        <w:t>现有3名行政执法人员做到执证上岗，亮证执法。</w:t>
      </w:r>
      <w:r>
        <w:rPr>
          <w:rFonts w:hint="eastAsia" w:ascii="仿宋_GB2312" w:hAnsi="仿宋_GB2312" w:eastAsia="仿宋_GB2312" w:cs="仿宋_GB2312"/>
          <w:b/>
          <w:bCs/>
          <w:kern w:val="2"/>
          <w:sz w:val="32"/>
          <w:szCs w:val="32"/>
          <w:highlight w:val="none"/>
          <w:lang w:val="en-US" w:eastAsia="zh-CN" w:bidi="ar-SA"/>
        </w:rPr>
        <w:t>优化法治营商环境。</w:t>
      </w:r>
      <w:r>
        <w:rPr>
          <w:rFonts w:hint="eastAsia" w:ascii="仿宋_GB2312" w:hAnsi="仿宋_GB2312" w:eastAsia="仿宋_GB2312" w:cs="仿宋_GB2312"/>
          <w:kern w:val="2"/>
          <w:sz w:val="32"/>
          <w:szCs w:val="32"/>
          <w:highlight w:val="none"/>
          <w:lang w:val="en-US" w:eastAsia="zh-CN" w:bidi="ar-SA"/>
        </w:rPr>
        <w:t>要求采购人代理机构在编制采购文件时认真审核资格条件设定，不得对供应商实行差别待遇和歧视待遇，消除各类阻碍营商环境的壁垒门槛；杜绝乱收费乱摊派乱罚款行为，及时跟进全省最新收费目录清单，及时向相关征收单位推送各类减税降费文件政策以及在政府网站公布更新行政事业性收费、政府性基金等目录清单，扩大政策知晓度。今年</w:t>
      </w:r>
      <w:r>
        <w:rPr>
          <w:rFonts w:hint="eastAsia" w:ascii="仿宋_GB2312" w:hAnsi="仿宋_GB2312" w:eastAsia="仿宋_GB2312" w:cs="仿宋_GB2312"/>
          <w:color w:val="000000"/>
          <w:sz w:val="32"/>
          <w:szCs w:val="32"/>
          <w:shd w:val="clear" w:color="auto" w:fill="FFFFFF"/>
        </w:rPr>
        <w:t>已累计公示行费基金目录清单</w:t>
      </w:r>
      <w:r>
        <w:rPr>
          <w:rFonts w:hint="eastAsia" w:ascii="仿宋_GB2312" w:hAnsi="仿宋_GB2312" w:eastAsia="仿宋_GB2312" w:cs="仿宋_GB2312"/>
          <w:color w:val="000000"/>
          <w:sz w:val="32"/>
          <w:szCs w:val="32"/>
          <w:shd w:val="clear" w:color="auto" w:fill="FFFFFF"/>
          <w:lang w:val="en-US" w:eastAsia="zh-CN"/>
        </w:rPr>
        <w:t>8</w:t>
      </w:r>
      <w:r>
        <w:rPr>
          <w:rFonts w:hint="eastAsia" w:ascii="仿宋_GB2312" w:hAnsi="仿宋_GB2312" w:eastAsia="仿宋_GB2312" w:cs="仿宋_GB2312"/>
          <w:color w:val="000000"/>
          <w:sz w:val="32"/>
          <w:szCs w:val="32"/>
          <w:shd w:val="clear" w:color="auto" w:fill="FFFFFF"/>
        </w:rPr>
        <w:t>次</w:t>
      </w:r>
      <w:r>
        <w:rPr>
          <w:rFonts w:hint="eastAsia" w:ascii="仿宋_GB2312" w:hAnsi="仿宋_GB2312" w:eastAsia="仿宋_GB2312" w:cs="仿宋_GB2312"/>
          <w:color w:val="000000"/>
          <w:sz w:val="32"/>
          <w:szCs w:val="32"/>
          <w:shd w:val="clear" w:color="auto" w:fill="FFFFFF"/>
          <w:lang w:eastAsia="zh-CN"/>
        </w:rPr>
        <w:t>。</w:t>
      </w:r>
      <w:r>
        <w:rPr>
          <w:rFonts w:hint="eastAsia" w:ascii="仿宋_GB2312" w:hAnsi="仿宋_GB2312" w:eastAsia="仿宋_GB2312" w:cs="仿宋_GB2312"/>
          <w:b/>
          <w:bCs/>
          <w:sz w:val="32"/>
          <w:szCs w:val="32"/>
          <w:lang w:val="en-US" w:eastAsia="zh-CN"/>
        </w:rPr>
        <w:t>加强政府采购监管。</w:t>
      </w:r>
      <w:r>
        <w:rPr>
          <w:rFonts w:hint="eastAsia" w:ascii="仿宋_GB2312" w:hAnsi="仿宋_GB2312" w:eastAsia="仿宋_GB2312" w:cs="仿宋_GB2312"/>
          <w:sz w:val="32"/>
          <w:szCs w:val="32"/>
          <w:lang w:val="en-US" w:eastAsia="zh-CN"/>
        </w:rPr>
        <w:t>依法做好问题线索征集和处理工作，</w:t>
      </w:r>
      <w:r>
        <w:rPr>
          <w:rFonts w:hint="eastAsia" w:ascii="仿宋_GB2312" w:eastAsia="仿宋_GB2312"/>
          <w:sz w:val="32"/>
          <w:szCs w:val="32"/>
          <w:lang w:eastAsia="zh-CN"/>
        </w:rPr>
        <w:t>在区政府网站公开</w:t>
      </w:r>
      <w:r>
        <w:rPr>
          <w:rFonts w:hint="eastAsia" w:ascii="仿宋_GB2312" w:eastAsia="仿宋_GB2312"/>
          <w:sz w:val="32"/>
          <w:szCs w:val="32"/>
          <w:lang w:val="en-US" w:eastAsia="zh-CN"/>
        </w:rPr>
        <w:t>政务信息、政府采购等内容</w:t>
      </w:r>
      <w:r>
        <w:rPr>
          <w:rFonts w:hint="eastAsia" w:ascii="仿宋_GB2312" w:eastAsia="仿宋_GB2312"/>
          <w:sz w:val="32"/>
          <w:szCs w:val="32"/>
          <w:lang w:eastAsia="zh-CN"/>
        </w:rPr>
        <w:t>，同时公开投诉举报电话和邮箱，畅通投诉举报的方式，</w:t>
      </w:r>
      <w:r>
        <w:rPr>
          <w:rFonts w:hint="eastAsia" w:ascii="仿宋_GB2312" w:eastAsia="仿宋_GB2312"/>
          <w:sz w:val="32"/>
          <w:szCs w:val="32"/>
          <w:lang w:val="en-US" w:eastAsia="zh-CN"/>
        </w:rPr>
        <w:t>切实维护各类市场主体的合法权益</w:t>
      </w:r>
      <w:r>
        <w:rPr>
          <w:rFonts w:hint="eastAsia" w:ascii="仿宋_GB2312" w:eastAsia="仿宋_GB2312"/>
          <w:sz w:val="32"/>
          <w:szCs w:val="32"/>
          <w:lang w:eastAsia="zh-CN"/>
        </w:rPr>
        <w:t>，</w:t>
      </w:r>
      <w:r>
        <w:rPr>
          <w:rFonts w:hint="eastAsia" w:ascii="仿宋_GB2312" w:eastAsia="仿宋_GB2312"/>
          <w:sz w:val="32"/>
          <w:szCs w:val="32"/>
          <w:lang w:val="en-US" w:eastAsia="zh-CN"/>
        </w:rPr>
        <w:t>今年</w:t>
      </w:r>
      <w:r>
        <w:rPr>
          <w:rFonts w:hint="eastAsia" w:ascii="仿宋_GB2312" w:hAnsi="仿宋_GB2312" w:eastAsia="仿宋_GB2312" w:cs="仿宋_GB2312"/>
          <w:sz w:val="32"/>
          <w:szCs w:val="32"/>
          <w:u w:val="none"/>
        </w:rPr>
        <w:t>正式受理投诉事项</w:t>
      </w:r>
      <w:r>
        <w:rPr>
          <w:rFonts w:hint="eastAsia" w:ascii="仿宋_GB2312" w:hAnsi="仿宋_GB2312" w:eastAsia="仿宋_GB2312" w:cs="仿宋_GB2312"/>
          <w:sz w:val="32"/>
          <w:szCs w:val="32"/>
          <w:u w:val="none"/>
          <w:lang w:val="en-US" w:eastAsia="zh-CN"/>
        </w:rPr>
        <w:t>1</w:t>
      </w:r>
      <w:r>
        <w:rPr>
          <w:rFonts w:hint="eastAsia" w:ascii="仿宋_GB2312" w:hAnsi="仿宋_GB2312" w:eastAsia="仿宋_GB2312" w:cs="仿宋_GB2312"/>
          <w:sz w:val="32"/>
          <w:szCs w:val="32"/>
          <w:u w:val="none"/>
        </w:rPr>
        <w:t>起</w:t>
      </w:r>
      <w:r>
        <w:rPr>
          <w:rFonts w:hint="eastAsia" w:ascii="仿宋_GB2312" w:hAnsi="仿宋_GB2312" w:eastAsia="仿宋_GB2312" w:cs="仿宋_GB2312"/>
          <w:sz w:val="32"/>
          <w:szCs w:val="32"/>
          <w:u w:val="none"/>
          <w:lang w:val="en-US" w:eastAsia="zh-CN"/>
        </w:rPr>
        <w:t>。</w:t>
      </w:r>
      <w:r>
        <w:rPr>
          <w:rFonts w:hint="eastAsia" w:ascii="仿宋_GB2312" w:hAnsi="仿宋_GB2312" w:eastAsia="仿宋_GB2312" w:cs="仿宋_GB2312"/>
          <w:b/>
          <w:bCs/>
          <w:sz w:val="32"/>
          <w:szCs w:val="32"/>
          <w:lang w:val="en-US" w:eastAsia="zh-CN"/>
        </w:rPr>
        <w:t>加强财会监督。</w:t>
      </w:r>
      <w:r>
        <w:rPr>
          <w:rFonts w:hint="eastAsia" w:ascii="仿宋_GB2312" w:eastAsia="仿宋_GB2312"/>
          <w:sz w:val="32"/>
          <w:szCs w:val="32"/>
          <w:lang w:val="en-US" w:eastAsia="zh-CN"/>
        </w:rPr>
        <w:t>开展</w:t>
      </w:r>
      <w:r>
        <w:rPr>
          <w:rFonts w:hint="eastAsia" w:ascii="仿宋_GB2312" w:hAnsi="仿宋_GB2312" w:eastAsia="仿宋_GB2312" w:cs="仿宋_GB2312"/>
          <w:sz w:val="32"/>
          <w:szCs w:val="32"/>
          <w:lang w:val="en-US" w:eastAsia="zh-CN"/>
        </w:rPr>
        <w:t>2024年财会监督检查专项行动，抽调12个股室16名业务骨干组成工作专班，对122个资金项目共计1.34亿元进行检查，切实发挥财会监督职能，严防资金管理漏洞。开展2024年度会计信息质量检查和代理记账行业违法违规行为专项整治工作，</w:t>
      </w:r>
      <w:r>
        <w:rPr>
          <w:rFonts w:hint="eastAsia" w:ascii="仿宋_GB2312" w:hAnsi="仿宋_GB2312" w:eastAsia="仿宋_GB2312" w:cs="仿宋_GB2312"/>
          <w:sz w:val="32"/>
          <w:szCs w:val="32"/>
          <w:lang w:eastAsia="zh-CN"/>
        </w:rPr>
        <w:t>进一步规范代理记账业务和会计行为，提高会计信息质量，促进代理记账行业健康有序发展。</w:t>
      </w:r>
    </w:p>
    <w:p w14:paraId="361FF85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四、落实普法责任，财政法治宣传走深走实</w:t>
      </w:r>
    </w:p>
    <w:p w14:paraId="3CF428D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ascii="仿宋_GB2312" w:hAnsi="宋体" w:eastAsia="仿宋_GB2312" w:cs="仿宋_GB2312"/>
          <w:i w:val="0"/>
          <w:iCs w:val="0"/>
          <w:caps w:val="0"/>
          <w:color w:val="333333"/>
          <w:spacing w:val="0"/>
          <w:sz w:val="32"/>
          <w:szCs w:val="32"/>
          <w:shd w:val="clear" w:fill="FFFFFF"/>
        </w:rPr>
      </w:pPr>
      <w:r>
        <w:rPr>
          <w:rFonts w:hint="eastAsia" w:ascii="仿宋_GB2312" w:hAnsi="仿宋_GB2312" w:eastAsia="仿宋_GB2312" w:cs="仿宋_GB2312"/>
          <w:b w:val="0"/>
          <w:bCs w:val="0"/>
          <w:kern w:val="2"/>
          <w:sz w:val="32"/>
          <w:szCs w:val="32"/>
          <w:highlight w:val="none"/>
          <w:lang w:val="en-US" w:eastAsia="zh-CN" w:bidi="ar-SA"/>
        </w:rPr>
        <w:t>认真落实普法责任制，持续推动财政法治宣传常态化。</w:t>
      </w:r>
      <w:r>
        <w:rPr>
          <w:rFonts w:hint="eastAsia" w:ascii="仿宋_GB2312" w:hAnsi="仿宋_GB2312" w:eastAsia="仿宋_GB2312" w:cs="仿宋_GB2312"/>
          <w:b/>
          <w:bCs/>
          <w:kern w:val="2"/>
          <w:sz w:val="32"/>
          <w:szCs w:val="32"/>
          <w:highlight w:val="none"/>
          <w:lang w:val="en-US" w:eastAsia="zh-CN" w:bidi="ar-SA"/>
        </w:rPr>
        <w:t>关键少数带头学法。</w:t>
      </w:r>
      <w:r>
        <w:rPr>
          <w:rFonts w:hint="eastAsia" w:ascii="仿宋_GB2312" w:hAnsi="仿宋_GB2312" w:eastAsia="仿宋_GB2312" w:cs="仿宋_GB2312"/>
          <w:b w:val="0"/>
          <w:bCs w:val="0"/>
          <w:kern w:val="2"/>
          <w:sz w:val="32"/>
          <w:szCs w:val="32"/>
          <w:highlight w:val="none"/>
          <w:lang w:val="en-US" w:eastAsia="zh-CN" w:bidi="ar-SA"/>
        </w:rPr>
        <w:t>坚持把学习</w:t>
      </w:r>
      <w:r>
        <w:rPr>
          <w:rFonts w:hint="eastAsia" w:ascii="仿宋_GB2312" w:hAnsi="仿宋_GB2312" w:eastAsia="仿宋_GB2312" w:cs="仿宋_GB2312"/>
          <w:i w:val="0"/>
          <w:iCs w:val="0"/>
          <w:caps w:val="0"/>
          <w:color w:val="000000"/>
          <w:spacing w:val="0"/>
          <w:sz w:val="32"/>
          <w:szCs w:val="32"/>
          <w:highlight w:val="none"/>
          <w:shd w:val="clear" w:color="auto" w:fill="FFFFFF"/>
          <w:lang w:val="en-US" w:eastAsia="zh-CN"/>
        </w:rPr>
        <w:t>习近平法治思想以及依法治国重要论述作为领导干部学习重点，列入党组理论学习中心组年度学习计划，列为第一议题进行学习研究。</w:t>
      </w:r>
      <w:r>
        <w:rPr>
          <w:rFonts w:hint="eastAsia" w:ascii="仿宋_GB2312" w:hAnsi="仿宋_GB2312" w:eastAsia="仿宋_GB2312" w:cs="仿宋_GB2312"/>
          <w:b/>
          <w:bCs/>
          <w:i w:val="0"/>
          <w:iCs w:val="0"/>
          <w:caps w:val="0"/>
          <w:color w:val="000000"/>
          <w:spacing w:val="0"/>
          <w:sz w:val="32"/>
          <w:szCs w:val="32"/>
          <w:highlight w:val="none"/>
          <w:shd w:val="clear" w:color="auto" w:fill="FFFFFF"/>
          <w:lang w:val="en-US" w:eastAsia="zh-CN"/>
        </w:rPr>
        <w:t>重点人员懂法用法。</w:t>
      </w:r>
      <w:r>
        <w:rPr>
          <w:rFonts w:hint="eastAsia" w:ascii="仿宋_GB2312" w:hAnsi="仿宋_GB2312" w:eastAsia="仿宋_GB2312" w:cs="仿宋_GB2312"/>
          <w:i w:val="0"/>
          <w:iCs w:val="0"/>
          <w:caps w:val="0"/>
          <w:color w:val="000000"/>
          <w:spacing w:val="0"/>
          <w:sz w:val="32"/>
          <w:szCs w:val="32"/>
          <w:highlight w:val="none"/>
          <w:shd w:val="clear" w:color="auto" w:fill="FFFFFF"/>
          <w:lang w:val="en-US" w:eastAsia="zh-CN"/>
        </w:rPr>
        <w:t>及时安排机关执法人员参加年度法律知识培训，按时完成网上培训课程并通过在线考试，持续树牢依法行政、依法理财意识。</w:t>
      </w:r>
      <w:r>
        <w:rPr>
          <w:rFonts w:hint="eastAsia" w:ascii="仿宋_GB2312" w:hAnsi="仿宋_GB2312" w:eastAsia="仿宋_GB2312" w:cs="仿宋_GB2312"/>
          <w:b/>
          <w:bCs/>
          <w:i w:val="0"/>
          <w:iCs w:val="0"/>
          <w:caps w:val="0"/>
          <w:color w:val="000000"/>
          <w:spacing w:val="0"/>
          <w:sz w:val="32"/>
          <w:szCs w:val="32"/>
          <w:highlight w:val="none"/>
          <w:shd w:val="clear" w:color="auto" w:fill="FFFFFF"/>
          <w:lang w:val="en-US" w:eastAsia="zh-CN"/>
        </w:rPr>
        <w:t>全体人员知法守法。</w:t>
      </w:r>
      <w:r>
        <w:rPr>
          <w:rFonts w:ascii="仿宋_GB2312" w:hAnsi="宋体" w:eastAsia="仿宋_GB2312" w:cs="仿宋_GB2312"/>
          <w:i w:val="0"/>
          <w:iCs w:val="0"/>
          <w:caps w:val="0"/>
          <w:color w:val="333333"/>
          <w:spacing w:val="0"/>
          <w:sz w:val="32"/>
          <w:szCs w:val="32"/>
          <w:highlight w:val="none"/>
          <w:shd w:val="clear" w:fill="FFFFFF"/>
        </w:rPr>
        <w:t>组织</w:t>
      </w:r>
      <w:r>
        <w:rPr>
          <w:rFonts w:hint="eastAsia" w:ascii="仿宋_GB2312" w:hAnsi="宋体" w:eastAsia="仿宋_GB2312" w:cs="仿宋_GB2312"/>
          <w:i w:val="0"/>
          <w:iCs w:val="0"/>
          <w:caps w:val="0"/>
          <w:color w:val="333333"/>
          <w:spacing w:val="0"/>
          <w:sz w:val="32"/>
          <w:szCs w:val="32"/>
          <w:highlight w:val="none"/>
          <w:shd w:val="clear" w:fill="FFFFFF"/>
          <w:lang w:val="en-US" w:eastAsia="zh-CN"/>
        </w:rPr>
        <w:t>干部职工加强学习</w:t>
      </w:r>
      <w:r>
        <w:rPr>
          <w:rFonts w:hint="eastAsia" w:ascii="仿宋_GB2312" w:hAnsi="仿宋_GB2312" w:eastAsia="仿宋_GB2312" w:cs="仿宋_GB2312"/>
          <w:kern w:val="2"/>
          <w:sz w:val="32"/>
          <w:szCs w:val="32"/>
          <w:highlight w:val="none"/>
          <w:lang w:val="en-US" w:eastAsia="zh-CN" w:bidi="ar-SA"/>
        </w:rPr>
        <w:t>《宪法》《预算法》《中华人民共和国国防教育法》《中华人民共和国民法典》</w:t>
      </w:r>
      <w:bookmarkStart w:id="0" w:name="_GoBack"/>
      <w:bookmarkEnd w:id="0"/>
      <w:r>
        <w:rPr>
          <w:rFonts w:hint="eastAsia" w:ascii="仿宋_GB2312" w:hAnsi="仿宋_GB2312" w:eastAsia="仿宋_GB2312" w:cs="仿宋_GB2312"/>
          <w:kern w:val="2"/>
          <w:sz w:val="32"/>
          <w:szCs w:val="32"/>
          <w:highlight w:val="none"/>
          <w:lang w:val="en-US" w:eastAsia="zh-CN" w:bidi="ar-SA"/>
        </w:rPr>
        <w:t>《国家安全法》《中国共产党纪律处分条例》和其他党内及财政业务相关法律法规等内容，观看警示教育片，以案明纪、以案警示，今年共组织观看警示教育片5次；组织干部职工参加年度全省财政法规知识竞赛，不断提高法律素养；深入开展法规宣传教育，</w:t>
      </w:r>
      <w:r>
        <w:rPr>
          <w:rFonts w:hint="eastAsia" w:ascii="仿宋_GB2312" w:hAnsi="仿宋_GB2312" w:eastAsia="仿宋_GB2312" w:cs="仿宋_GB2312"/>
          <w:i w:val="0"/>
          <w:iCs w:val="0"/>
          <w:caps w:val="0"/>
          <w:color w:val="000000"/>
          <w:spacing w:val="0"/>
          <w:sz w:val="32"/>
          <w:szCs w:val="32"/>
          <w:shd w:val="clear" w:fill="FFFFFF"/>
          <w:lang w:val="en-US" w:eastAsia="zh-CN"/>
        </w:rPr>
        <w:t>结合国家安全日、减税降费宣传月、优化营商环境日等活动，配合相关部门开展普法宣传活动，</w:t>
      </w:r>
      <w:r>
        <w:rPr>
          <w:rFonts w:ascii="仿宋_GB2312" w:hAnsi="宋体" w:eastAsia="仿宋_GB2312" w:cs="仿宋_GB2312"/>
          <w:i w:val="0"/>
          <w:iCs w:val="0"/>
          <w:caps w:val="0"/>
          <w:color w:val="333333"/>
          <w:spacing w:val="0"/>
          <w:sz w:val="32"/>
          <w:szCs w:val="32"/>
          <w:shd w:val="clear" w:fill="FFFFFF"/>
        </w:rPr>
        <w:t>面向全社会广泛深入宣传基本</w:t>
      </w:r>
      <w:r>
        <w:rPr>
          <w:rFonts w:hint="eastAsia" w:ascii="仿宋_GB2312" w:hAnsi="宋体" w:eastAsia="仿宋_GB2312" w:cs="仿宋_GB2312"/>
          <w:i w:val="0"/>
          <w:iCs w:val="0"/>
          <w:caps w:val="0"/>
          <w:color w:val="333333"/>
          <w:spacing w:val="0"/>
          <w:sz w:val="32"/>
          <w:szCs w:val="32"/>
          <w:shd w:val="clear" w:fill="FFFFFF"/>
          <w:lang w:val="en-US" w:eastAsia="zh-CN"/>
        </w:rPr>
        <w:t>法律</w:t>
      </w:r>
      <w:r>
        <w:rPr>
          <w:rFonts w:ascii="仿宋_GB2312" w:hAnsi="宋体" w:eastAsia="仿宋_GB2312" w:cs="仿宋_GB2312"/>
          <w:i w:val="0"/>
          <w:iCs w:val="0"/>
          <w:caps w:val="0"/>
          <w:color w:val="333333"/>
          <w:spacing w:val="0"/>
          <w:sz w:val="32"/>
          <w:szCs w:val="32"/>
          <w:shd w:val="clear" w:fill="FFFFFF"/>
        </w:rPr>
        <w:t>及财政法律法规,积极营造浓厚的法治氛围。</w:t>
      </w:r>
    </w:p>
    <w:p w14:paraId="21EA100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iCs w:val="0"/>
          <w:caps w:val="0"/>
          <w:color w:val="000000"/>
          <w:spacing w:val="0"/>
          <w:kern w:val="2"/>
          <w:sz w:val="32"/>
          <w:szCs w:val="32"/>
          <w:shd w:val="clear" w:fill="FFFFFF"/>
          <w:lang w:val="en-US" w:eastAsia="zh-CN" w:bidi="ar-SA"/>
        </w:rPr>
      </w:pPr>
      <w:r>
        <w:rPr>
          <w:rFonts w:hint="eastAsia" w:ascii="仿宋_GB2312" w:hAnsi="仿宋_GB2312" w:eastAsia="仿宋_GB2312" w:cs="仿宋_GB2312"/>
          <w:i w:val="0"/>
          <w:iCs w:val="0"/>
          <w:caps w:val="0"/>
          <w:color w:val="000000"/>
          <w:spacing w:val="0"/>
          <w:sz w:val="32"/>
          <w:szCs w:val="32"/>
          <w:shd w:val="clear" w:fill="FFFFFF"/>
          <w:lang w:val="en-US" w:eastAsia="zh-CN"/>
        </w:rPr>
        <w:t>在总结工作的同时，也清醒地看到法治建设还存在一些不足：一是法律知识学习还不够深入，落实法治建设工作还有差距，对法治建设推进过程中出现新情况、新问题的解决能力还有待提高。二是法治化营商环境建设氛围还不够浓厚，普法宣传教育方式方法不多，存在</w:t>
      </w:r>
      <w:r>
        <w:rPr>
          <w:rFonts w:hint="eastAsia" w:ascii="仿宋_GB2312" w:hAnsi="仿宋_GB2312" w:eastAsia="仿宋_GB2312" w:cs="仿宋_GB2312"/>
          <w:sz w:val="32"/>
          <w:szCs w:val="32"/>
        </w:rPr>
        <w:t>落实政策不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到位</w:t>
      </w:r>
      <w:r>
        <w:rPr>
          <w:rFonts w:hint="eastAsia" w:ascii="仿宋_GB2312" w:hAnsi="仿宋_GB2312" w:eastAsia="仿宋_GB2312" w:cs="仿宋_GB2312"/>
          <w:sz w:val="32"/>
          <w:szCs w:val="32"/>
          <w:lang w:val="en-US" w:eastAsia="zh-CN"/>
        </w:rPr>
        <w:t>等问题。</w:t>
      </w:r>
      <w:r>
        <w:rPr>
          <w:rFonts w:hint="eastAsia" w:ascii="仿宋_GB2312" w:hAnsi="仿宋_GB2312" w:eastAsia="仿宋_GB2312" w:cs="仿宋_GB2312"/>
          <w:i w:val="0"/>
          <w:iCs w:val="0"/>
          <w:caps w:val="0"/>
          <w:color w:val="000000"/>
          <w:spacing w:val="0"/>
          <w:sz w:val="32"/>
          <w:szCs w:val="32"/>
          <w:shd w:val="clear" w:fill="FFFFFF"/>
          <w:lang w:val="en-US" w:eastAsia="zh-CN"/>
        </w:rPr>
        <w:t>在接下来的工作中，我单位将继续学习贯彻习近平总书记全面依法治国新理念新思想新战路，用法治建设引领保障财政工作开展，</w:t>
      </w:r>
      <w:r>
        <w:rPr>
          <w:rFonts w:hint="default" w:ascii="仿宋_GB2312" w:hAnsi="仿宋_GB2312" w:eastAsia="仿宋_GB2312" w:cs="仿宋_GB2312"/>
          <w:i w:val="0"/>
          <w:iCs w:val="0"/>
          <w:caps w:val="0"/>
          <w:color w:val="000000"/>
          <w:spacing w:val="0"/>
          <w:kern w:val="2"/>
          <w:sz w:val="32"/>
          <w:szCs w:val="32"/>
          <w:shd w:val="clear" w:fill="FFFFFF"/>
          <w:lang w:val="en-US" w:eastAsia="zh-CN" w:bidi="ar-SA"/>
        </w:rPr>
        <w:t>做好财政普法宣传，</w:t>
      </w:r>
      <w:r>
        <w:rPr>
          <w:rFonts w:hint="eastAsia" w:ascii="仿宋_GB2312" w:hAnsi="仿宋_GB2312" w:eastAsia="仿宋_GB2312" w:cs="仿宋_GB2312"/>
          <w:i w:val="0"/>
          <w:iCs w:val="0"/>
          <w:caps w:val="0"/>
          <w:color w:val="000000"/>
          <w:spacing w:val="0"/>
          <w:sz w:val="32"/>
          <w:szCs w:val="32"/>
          <w:shd w:val="clear" w:fill="FFFFFF"/>
          <w:lang w:val="en-US" w:eastAsia="zh-CN"/>
        </w:rPr>
        <w:t>以实干实绩统筹推进法治财政建设，为奋力开创藁城高质量发展新局面提供有力法治保障。</w:t>
      </w:r>
    </w:p>
    <w:p w14:paraId="0B92F03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iCs w:val="0"/>
          <w:caps w:val="0"/>
          <w:color w:val="000000"/>
          <w:spacing w:val="0"/>
          <w:kern w:val="2"/>
          <w:sz w:val="32"/>
          <w:szCs w:val="32"/>
          <w:shd w:val="clear" w:fill="FFFFFF"/>
          <w:lang w:val="en-US" w:eastAsia="zh-CN" w:bidi="ar-SA"/>
        </w:rPr>
      </w:pPr>
    </w:p>
    <w:p w14:paraId="7957148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iCs w:val="0"/>
          <w:caps w:val="0"/>
          <w:color w:val="000000"/>
          <w:spacing w:val="0"/>
          <w:kern w:val="2"/>
          <w:sz w:val="32"/>
          <w:szCs w:val="32"/>
          <w:shd w:val="clear" w:fill="FFFFFF"/>
          <w:lang w:val="en-US" w:eastAsia="zh-CN" w:bidi="ar-SA"/>
        </w:rPr>
      </w:pPr>
    </w:p>
    <w:p w14:paraId="524290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080" w:firstLineChars="19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i w:val="0"/>
          <w:iCs w:val="0"/>
          <w:caps w:val="0"/>
          <w:color w:val="000000"/>
          <w:spacing w:val="0"/>
          <w:kern w:val="2"/>
          <w:sz w:val="32"/>
          <w:szCs w:val="32"/>
          <w:shd w:val="clear" w:fill="FFFFFF"/>
          <w:lang w:val="en-US" w:eastAsia="zh-CN" w:bidi="ar-SA"/>
        </w:rPr>
        <w:t>2025年2月24日</w:t>
      </w:r>
      <w:r>
        <w:rPr>
          <w:rFonts w:hint="eastAsia" w:ascii="仿宋_GB2312" w:hAnsi="仿宋_GB2312" w:eastAsia="仿宋_GB2312" w:cs="仿宋_GB2312"/>
          <w:sz w:val="32"/>
          <w:szCs w:val="32"/>
          <w:lang w:val="en-US" w:eastAsia="zh-CN"/>
        </w:rPr>
        <w:t xml:space="preserve">                         </w:t>
      </w:r>
    </w:p>
    <w:p w14:paraId="26B0E1D4">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kern w:val="2"/>
          <w:sz w:val="32"/>
          <w:szCs w:val="32"/>
          <w:lang w:val="en-US" w:eastAsia="zh-CN" w:bidi="ar-SA"/>
        </w:rPr>
      </w:pPr>
    </w:p>
    <w:p w14:paraId="4A3533E3"/>
    <w:p w14:paraId="5B2BA070">
      <w:pPr>
        <w:pStyle w:val="2"/>
        <w:rPr>
          <w:rFonts w:hint="eastAsia"/>
          <w:lang w:val="en-US" w:eastAsia="zh-CN"/>
        </w:rPr>
      </w:pPr>
    </w:p>
    <w:sectPr>
      <w:headerReference r:id="rId3" w:type="default"/>
      <w:footerReference r:id="rId4" w:type="default"/>
      <w:pgSz w:w="11906" w:h="16838"/>
      <w:pgMar w:top="1984" w:right="1474" w:bottom="1871" w:left="1587" w:header="851" w:footer="1701"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国标小标宋">
    <w:altName w:val="宋体"/>
    <w:panose1 w:val="02000500000000000000"/>
    <w:charset w:val="86"/>
    <w:family w:val="auto"/>
    <w:pitch w:val="default"/>
    <w:sig w:usb0="00000000" w:usb1="00000000" w:usb2="00000000" w:usb3="00000000" w:csb0="00060007" w:csb1="00000000"/>
  </w:font>
  <w:font w:name="方正小标宋简体">
    <w:altName w:val="方正舒体"/>
    <w:panose1 w:val="02010601030101010101"/>
    <w:charset w:val="86"/>
    <w:family w:val="auto"/>
    <w:pitch w:val="default"/>
    <w:sig w:usb0="00000000" w:usb1="00000000" w:usb2="00000000" w:usb3="00000000" w:csb0="00040000" w:csb1="00000000"/>
  </w:font>
  <w:font w:name="??">
    <w:altName w:val="Times New Roman"/>
    <w:panose1 w:val="00000609030101010101"/>
    <w:charset w:val="00"/>
    <w:family w:val="roman"/>
    <w:pitch w:val="default"/>
    <w:sig w:usb0="00000000" w:usb1="00000000" w:usb2="00000000" w:usb3="00000000" w:csb0="0000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7D82FD">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23495</wp:posOffset>
              </wp:positionV>
              <wp:extent cx="179070" cy="139700"/>
              <wp:effectExtent l="0" t="0" r="0" b="0"/>
              <wp:wrapNone/>
              <wp:docPr id="3" name="矩形 3"/>
              <wp:cNvGraphicFramePr/>
              <a:graphic xmlns:a="http://schemas.openxmlformats.org/drawingml/2006/main">
                <a:graphicData uri="http://schemas.microsoft.com/office/word/2010/wordprocessingShape">
                  <wps:wsp>
                    <wps:cNvSpPr/>
                    <wps:spPr>
                      <a:xfrm>
                        <a:off x="0" y="0"/>
                        <a:ext cx="179070" cy="139700"/>
                      </a:xfrm>
                      <a:prstGeom prst="rect">
                        <a:avLst/>
                      </a:prstGeom>
                      <a:noFill/>
                      <a:ln>
                        <a:noFill/>
                      </a:ln>
                    </wps:spPr>
                    <wps:txbx>
                      <w:txbxContent>
                        <w:p w14:paraId="08711B53">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- 1 -</w:t>
                          </w:r>
                          <w:r>
                            <w:rPr>
                              <w:rFonts w:hint="eastAsia" w:ascii="宋体" w:hAnsi="宋体" w:eastAsia="宋体" w:cs="宋体"/>
                              <w:sz w:val="28"/>
                              <w:szCs w:val="28"/>
                              <w:lang w:eastAsia="zh-CN"/>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1.85pt;height:11pt;width:14.1pt;mso-position-horizontal:center;mso-position-horizontal-relative:margin;mso-wrap-style:none;z-index:251659264;mso-width-relative:page;mso-height-relative:page;" filled="f" stroked="f" coordsize="21600,21600" o:gfxdata="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CqIj1tMAAAAEAQAADwAAAAAAAAABACAAAAAiAAAAZHJzL2Rvd25yZXYueG1s&#10;UEsBAhQAFAAAAAgAh07iQJCQXWrEAQAAigMAAA4AAAAAAAAAAQAgAAAAIgEAAGRycy9lMm9Eb2Mu&#10;eG1sUEsFBgAAAAAGAAYAWQEAAFgFAAAAAA==&#10;">
              <v:fill on="f" focussize="0,0"/>
              <v:stroke on="f"/>
              <v:imagedata o:title=""/>
              <o:lock v:ext="edit" aspectratio="f"/>
              <v:textbox inset="0mm,0mm,0mm,0mm" style="mso-fit-shape-to-text:t;">
                <w:txbxContent>
                  <w:p w14:paraId="08711B53">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- 1 -</w:t>
                    </w:r>
                    <w:r>
                      <w:rPr>
                        <w:rFonts w:hint="eastAsia" w:ascii="宋体" w:hAnsi="宋体" w:eastAsia="宋体" w:cs="宋体"/>
                        <w:sz w:val="28"/>
                        <w:szCs w:val="28"/>
                        <w:lang w:eastAsia="zh-CN"/>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DC9F5">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1D4F4F"/>
    <w:rsid w:val="021D4F4F"/>
    <w:rsid w:val="209B412B"/>
    <w:rsid w:val="504944A6"/>
    <w:rsid w:val="63454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4"/>
      <w:lang w:val="en-US" w:eastAsia="zh-CN"/>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qFormat/>
    <w:uiPriority w:val="0"/>
    <w:pPr>
      <w:ind w:firstLine="420"/>
    </w:pPr>
    <w:rPr>
      <w:rFonts w:ascii="Times New Roman" w:hAnsi="Times New Roman" w:eastAsia="宋体" w:cs="Times New Roman"/>
    </w:rPr>
  </w:style>
  <w:style w:type="paragraph" w:styleId="3">
    <w:name w:val="Body Text Indent"/>
    <w:basedOn w:val="1"/>
    <w:next w:val="4"/>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Subtitle"/>
    <w:basedOn w:val="1"/>
    <w:next w:val="1"/>
    <w:qFormat/>
    <w:uiPriority w:val="0"/>
    <w:pPr>
      <w:wordWrap w:val="0"/>
      <w:spacing w:after="60"/>
      <w:jc w:val="center"/>
    </w:pPr>
    <w:rPr>
      <w:sz w:val="24"/>
      <w:szCs w:val="22"/>
    </w:rPr>
  </w:style>
  <w:style w:type="paragraph" w:styleId="5">
    <w:name w:val="Body Text Indent 2"/>
    <w:basedOn w:val="6"/>
    <w:qFormat/>
    <w:uiPriority w:val="0"/>
    <w:pPr>
      <w:ind w:left="420" w:leftChars="200"/>
    </w:pPr>
    <w:rPr>
      <w:rFonts w:ascii="Calibri" w:hAnsi="Calibri" w:eastAsia="仿宋_GB2312" w:cs="Times New Roman"/>
      <w:sz w:val="32"/>
      <w:szCs w:val="32"/>
    </w:rPr>
  </w:style>
  <w:style w:type="paragraph" w:styleId="6">
    <w:name w:val="Body Text"/>
    <w:basedOn w:val="1"/>
    <w:next w:val="7"/>
    <w:qFormat/>
    <w:uiPriority w:val="0"/>
    <w:rPr>
      <w:rFonts w:ascii="宋体" w:hAnsi="宋体" w:eastAsia="宋体" w:cs="宋体"/>
      <w:sz w:val="21"/>
      <w:szCs w:val="21"/>
      <w:lang w:val="zh-CN" w:eastAsia="zh-CN" w:bidi="zh-CN"/>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footer"/>
    <w:basedOn w:val="1"/>
    <w:qFormat/>
    <w:uiPriority w:val="0"/>
    <w:pPr>
      <w:tabs>
        <w:tab w:val="center" w:pos="4153"/>
        <w:tab w:val="right" w:pos="8306"/>
      </w:tabs>
      <w:snapToGrid w:val="0"/>
      <w:jc w:val="left"/>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2">
    <w:name w:val="样式3"/>
    <w:basedOn w:val="1"/>
    <w:next w:val="1"/>
    <w:qFormat/>
    <w:uiPriority w:val="0"/>
    <w:pPr>
      <w:tabs>
        <w:tab w:val="left" w:pos="720"/>
      </w:tabs>
      <w:adjustRightInd w:val="0"/>
      <w:snapToGrid w:val="0"/>
      <w:spacing w:line="360" w:lineRule="auto"/>
      <w:ind w:firstLine="420"/>
    </w:pPr>
    <w:rPr>
      <w:rFonts w:ascii="楷体_GB2312" w:hAnsi="新宋体" w:eastAsia="楷体_GB2312"/>
      <w:sz w:val="24"/>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1821</Words>
  <Characters>1844</Characters>
  <Lines>0</Lines>
  <Paragraphs>0</Paragraphs>
  <TotalTime>0</TotalTime>
  <ScaleCrop>false</ScaleCrop>
  <LinksUpToDate>false</LinksUpToDate>
  <CharactersWithSpaces>1869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2025-03-06T01:45:00Z</dcterms:created>
  <dc:creator>Administrator</dc:creator>
  <cp:lastModifiedBy>13323011735</cp:lastModifiedBy>
  <dcterms:modified xsi:type="dcterms:W3CDTF">2025-04-22T07:19:32Z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010EFEA3EAB74B2B8ADE05101DE3F220_11</vt:lpwstr>
  </property>
  <property fmtid="{D5CDD505-2E9C-101B-9397-08002B2CF9AE}" pid="4" name="KSOTemplateDocerSaveRecord">
    <vt:lpwstr>eyJoZGlkIjoiZTNhMzhmNjU3NDU2YjNiYWExNDJlM2Y4YTNjMzYyNWIiLCJ1c2VySWQiOiIxNTUwMjQwMDk2In0=</vt:lpwstr>
  </property>
</Properties>
</file>