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一、石家庄市藁城区梅花镇人民政府本级收支预算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一、石家庄市藁城区梅花镇人民政府本级收支预算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1850.06</w:t>
            </w:r>
          </w:p>
        </w:tc>
        <w:tc>
          <w:tcPr>
            <w:tcW w:w="4535" w:type="dxa"/>
            <w:vAlign w:val="center"/>
          </w:tcPr>
          <w:p>
            <w:pPr>
              <w:pStyle w:val="12"/>
            </w:pPr>
            <w:r>
              <w:t>一、一般公共服务支出</w:t>
            </w:r>
          </w:p>
        </w:tc>
        <w:tc>
          <w:tcPr>
            <w:tcW w:w="2126" w:type="dxa"/>
            <w:vAlign w:val="center"/>
          </w:tcPr>
          <w:p>
            <w:pPr>
              <w:pStyle w:val="11"/>
            </w:pPr>
            <w:r>
              <w:t>1347.26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1850.06</w:t>
            </w:r>
          </w:p>
        </w:tc>
        <w:tc>
          <w:tcPr>
            <w:tcW w:w="4535" w:type="dxa"/>
            <w:vAlign w:val="center"/>
          </w:tcPr>
          <w:p>
            <w:pPr>
              <w:pStyle w:val="14"/>
            </w:pPr>
            <w:r>
              <w:t>本年支出合计</w:t>
            </w:r>
          </w:p>
        </w:tc>
        <w:tc>
          <w:tcPr>
            <w:tcW w:w="2126" w:type="dxa"/>
            <w:vAlign w:val="center"/>
          </w:tcPr>
          <w:p>
            <w:pPr>
              <w:pStyle w:val="15"/>
            </w:pPr>
            <w:r>
              <w:t>1950.06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100.00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1950.06</w:t>
            </w:r>
          </w:p>
        </w:tc>
        <w:tc>
          <w:tcPr>
            <w:tcW w:w="4535" w:type="dxa"/>
            <w:vAlign w:val="center"/>
          </w:tcPr>
          <w:p>
            <w:pPr>
              <w:pStyle w:val="14"/>
            </w:pPr>
            <w:r>
              <w:t>支出总计</w:t>
            </w:r>
          </w:p>
        </w:tc>
        <w:tc>
          <w:tcPr>
            <w:tcW w:w="2126" w:type="dxa"/>
            <w:vAlign w:val="center"/>
          </w:tcPr>
          <w:p>
            <w:pPr>
              <w:pStyle w:val="15"/>
            </w:pPr>
            <w:r>
              <w:t>1950.06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1950.06</w:t>
            </w:r>
          </w:p>
        </w:tc>
        <w:tc>
          <w:tcPr>
            <w:tcW w:w="1134" w:type="dxa"/>
            <w:vAlign w:val="center"/>
          </w:tcPr>
          <w:p>
            <w:pPr>
              <w:pStyle w:val="15"/>
            </w:pPr>
            <w:r>
              <w:t>1850.06</w:t>
            </w:r>
          </w:p>
        </w:tc>
        <w:tc>
          <w:tcPr>
            <w:tcW w:w="1134" w:type="dxa"/>
            <w:vAlign w:val="center"/>
          </w:tcPr>
          <w:p>
            <w:pPr>
              <w:pStyle w:val="15"/>
            </w:pPr>
            <w:r>
              <w:t>1850.06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1347.26</w:t>
            </w:r>
          </w:p>
        </w:tc>
        <w:tc>
          <w:tcPr>
            <w:tcW w:w="1134" w:type="dxa"/>
            <w:vAlign w:val="center"/>
          </w:tcPr>
          <w:p>
            <w:pPr>
              <w:pStyle w:val="11"/>
            </w:pPr>
            <w:r>
              <w:t>1347.26</w:t>
            </w:r>
          </w:p>
        </w:tc>
        <w:tc>
          <w:tcPr>
            <w:tcW w:w="1134" w:type="dxa"/>
            <w:vAlign w:val="center"/>
          </w:tcPr>
          <w:p>
            <w:pPr>
              <w:pStyle w:val="11"/>
            </w:pPr>
            <w:r>
              <w:t>1347.26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1347.26</w:t>
            </w:r>
          </w:p>
        </w:tc>
        <w:tc>
          <w:tcPr>
            <w:tcW w:w="1134" w:type="dxa"/>
            <w:vAlign w:val="center"/>
          </w:tcPr>
          <w:p>
            <w:pPr>
              <w:pStyle w:val="11"/>
            </w:pPr>
            <w:r>
              <w:t>1347.26</w:t>
            </w:r>
          </w:p>
        </w:tc>
        <w:tc>
          <w:tcPr>
            <w:tcW w:w="1134" w:type="dxa"/>
            <w:vAlign w:val="center"/>
          </w:tcPr>
          <w:p>
            <w:pPr>
              <w:pStyle w:val="11"/>
            </w:pPr>
            <w:r>
              <w:t>1347.26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1047.67</w:t>
            </w:r>
          </w:p>
        </w:tc>
        <w:tc>
          <w:tcPr>
            <w:tcW w:w="1134" w:type="dxa"/>
            <w:vAlign w:val="center"/>
          </w:tcPr>
          <w:p>
            <w:pPr>
              <w:pStyle w:val="11"/>
            </w:pPr>
            <w:r>
              <w:t>1047.67</w:t>
            </w:r>
          </w:p>
        </w:tc>
        <w:tc>
          <w:tcPr>
            <w:tcW w:w="1134" w:type="dxa"/>
            <w:vAlign w:val="center"/>
          </w:tcPr>
          <w:p>
            <w:pPr>
              <w:pStyle w:val="11"/>
            </w:pPr>
            <w:r>
              <w:t>1047.67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299.59</w:t>
            </w:r>
          </w:p>
        </w:tc>
        <w:tc>
          <w:tcPr>
            <w:tcW w:w="1134" w:type="dxa"/>
            <w:vAlign w:val="center"/>
          </w:tcPr>
          <w:p>
            <w:pPr>
              <w:pStyle w:val="11"/>
            </w:pPr>
            <w:r>
              <w:t>299.59</w:t>
            </w:r>
          </w:p>
        </w:tc>
        <w:tc>
          <w:tcPr>
            <w:tcW w:w="1134" w:type="dxa"/>
            <w:vAlign w:val="center"/>
          </w:tcPr>
          <w:p>
            <w:pPr>
              <w:pStyle w:val="11"/>
            </w:pPr>
            <w:r>
              <w:t>299.59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r>
              <w:t>19.32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186.25</w:t>
            </w:r>
          </w:p>
        </w:tc>
        <w:tc>
          <w:tcPr>
            <w:tcW w:w="1134" w:type="dxa"/>
            <w:vAlign w:val="center"/>
          </w:tcPr>
          <w:p>
            <w:pPr>
              <w:pStyle w:val="11"/>
            </w:pPr>
            <w:r>
              <w:t>186.25</w:t>
            </w:r>
          </w:p>
        </w:tc>
        <w:tc>
          <w:tcPr>
            <w:tcW w:w="1134" w:type="dxa"/>
            <w:vAlign w:val="center"/>
          </w:tcPr>
          <w:p>
            <w:pPr>
              <w:pStyle w:val="11"/>
            </w:pPr>
            <w:r>
              <w:t>186.25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182.36</w:t>
            </w:r>
          </w:p>
        </w:tc>
        <w:tc>
          <w:tcPr>
            <w:tcW w:w="1134" w:type="dxa"/>
            <w:vAlign w:val="center"/>
          </w:tcPr>
          <w:p>
            <w:pPr>
              <w:pStyle w:val="11"/>
            </w:pPr>
            <w:r>
              <w:t>182.36</w:t>
            </w:r>
          </w:p>
        </w:tc>
        <w:tc>
          <w:tcPr>
            <w:tcW w:w="1134" w:type="dxa"/>
            <w:vAlign w:val="center"/>
          </w:tcPr>
          <w:p>
            <w:pPr>
              <w:pStyle w:val="11"/>
            </w:pPr>
            <w:r>
              <w:t>182.36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77.21</w:t>
            </w:r>
          </w:p>
        </w:tc>
        <w:tc>
          <w:tcPr>
            <w:tcW w:w="1134" w:type="dxa"/>
            <w:vAlign w:val="center"/>
          </w:tcPr>
          <w:p>
            <w:pPr>
              <w:pStyle w:val="11"/>
            </w:pPr>
            <w:r>
              <w:t>77.21</w:t>
            </w:r>
          </w:p>
        </w:tc>
        <w:tc>
          <w:tcPr>
            <w:tcW w:w="1134" w:type="dxa"/>
            <w:vAlign w:val="center"/>
          </w:tcPr>
          <w:p>
            <w:pPr>
              <w:pStyle w:val="11"/>
            </w:pPr>
            <w:r>
              <w:t>77.21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105.16</w:t>
            </w:r>
          </w:p>
        </w:tc>
        <w:tc>
          <w:tcPr>
            <w:tcW w:w="1134" w:type="dxa"/>
            <w:vAlign w:val="center"/>
          </w:tcPr>
          <w:p>
            <w:pPr>
              <w:pStyle w:val="11"/>
            </w:pPr>
            <w:r>
              <w:t>105.16</w:t>
            </w:r>
          </w:p>
        </w:tc>
        <w:tc>
          <w:tcPr>
            <w:tcW w:w="1134" w:type="dxa"/>
            <w:vAlign w:val="center"/>
          </w:tcPr>
          <w:p>
            <w:pPr>
              <w:pStyle w:val="11"/>
            </w:pPr>
            <w:r>
              <w:t>105.16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64.12</w:t>
            </w:r>
          </w:p>
        </w:tc>
        <w:tc>
          <w:tcPr>
            <w:tcW w:w="1134" w:type="dxa"/>
            <w:vAlign w:val="center"/>
          </w:tcPr>
          <w:p>
            <w:pPr>
              <w:pStyle w:val="11"/>
            </w:pPr>
            <w:r>
              <w:t>64.12</w:t>
            </w:r>
          </w:p>
        </w:tc>
        <w:tc>
          <w:tcPr>
            <w:tcW w:w="1134" w:type="dxa"/>
            <w:vAlign w:val="center"/>
          </w:tcPr>
          <w:p>
            <w:pPr>
              <w:pStyle w:val="11"/>
            </w:pPr>
            <w:r>
              <w:t>64.12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60.12</w:t>
            </w:r>
          </w:p>
        </w:tc>
        <w:tc>
          <w:tcPr>
            <w:tcW w:w="1134" w:type="dxa"/>
            <w:vAlign w:val="center"/>
          </w:tcPr>
          <w:p>
            <w:pPr>
              <w:pStyle w:val="11"/>
            </w:pPr>
            <w:r>
              <w:t>60.12</w:t>
            </w:r>
          </w:p>
        </w:tc>
        <w:tc>
          <w:tcPr>
            <w:tcW w:w="1134" w:type="dxa"/>
            <w:vAlign w:val="center"/>
          </w:tcPr>
          <w:p>
            <w:pPr>
              <w:pStyle w:val="11"/>
            </w:pPr>
            <w:r>
              <w:t>60.12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r>
              <w:t>33.89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26.23</w:t>
            </w:r>
          </w:p>
        </w:tc>
        <w:tc>
          <w:tcPr>
            <w:tcW w:w="1134" w:type="dxa"/>
            <w:vAlign w:val="center"/>
          </w:tcPr>
          <w:p>
            <w:pPr>
              <w:pStyle w:val="11"/>
            </w:pPr>
            <w:r>
              <w:t>26.23</w:t>
            </w:r>
          </w:p>
        </w:tc>
        <w:tc>
          <w:tcPr>
            <w:tcW w:w="1134" w:type="dxa"/>
            <w:vAlign w:val="center"/>
          </w:tcPr>
          <w:p>
            <w:pPr>
              <w:pStyle w:val="11"/>
            </w:pPr>
            <w:r>
              <w:t>26.23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117.79</w:t>
            </w:r>
          </w:p>
        </w:tc>
        <w:tc>
          <w:tcPr>
            <w:tcW w:w="1134" w:type="dxa"/>
            <w:vAlign w:val="center"/>
          </w:tcPr>
          <w:p>
            <w:pPr>
              <w:pStyle w:val="11"/>
            </w:pPr>
            <w:r>
              <w:t>17.79</w:t>
            </w:r>
          </w:p>
        </w:tc>
        <w:tc>
          <w:tcPr>
            <w:tcW w:w="1134" w:type="dxa"/>
            <w:vAlign w:val="center"/>
          </w:tcPr>
          <w:p>
            <w:pPr>
              <w:pStyle w:val="11"/>
            </w:pPr>
            <w:r>
              <w:t>17.79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17.79</w:t>
            </w:r>
          </w:p>
        </w:tc>
        <w:tc>
          <w:tcPr>
            <w:tcW w:w="1134" w:type="dxa"/>
            <w:vAlign w:val="center"/>
          </w:tcPr>
          <w:p>
            <w:pPr>
              <w:pStyle w:val="11"/>
            </w:pPr>
            <w:r>
              <w:t>17.79</w:t>
            </w:r>
          </w:p>
        </w:tc>
        <w:tc>
          <w:tcPr>
            <w:tcW w:w="1134" w:type="dxa"/>
            <w:vAlign w:val="center"/>
          </w:tcPr>
          <w:p>
            <w:pPr>
              <w:pStyle w:val="11"/>
            </w:pPr>
            <w:r>
              <w:t>17.79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17.79</w:t>
            </w:r>
          </w:p>
        </w:tc>
        <w:tc>
          <w:tcPr>
            <w:tcW w:w="1134" w:type="dxa"/>
            <w:vAlign w:val="center"/>
          </w:tcPr>
          <w:p>
            <w:pPr>
              <w:pStyle w:val="11"/>
            </w:pPr>
            <w:r>
              <w:t>17.79</w:t>
            </w:r>
          </w:p>
        </w:tc>
        <w:tc>
          <w:tcPr>
            <w:tcW w:w="1134" w:type="dxa"/>
            <w:vAlign w:val="center"/>
          </w:tcPr>
          <w:p>
            <w:pPr>
              <w:pStyle w:val="11"/>
            </w:pPr>
            <w:r>
              <w:t>17.79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1950.06</w:t>
            </w:r>
          </w:p>
        </w:tc>
        <w:tc>
          <w:tcPr>
            <w:tcW w:w="1361" w:type="dxa"/>
            <w:vAlign w:val="center"/>
          </w:tcPr>
          <w:p>
            <w:pPr>
              <w:pStyle w:val="15"/>
            </w:pPr>
            <w:r>
              <w:t>1367.47</w:t>
            </w:r>
          </w:p>
        </w:tc>
        <w:tc>
          <w:tcPr>
            <w:tcW w:w="1361" w:type="dxa"/>
            <w:vAlign w:val="center"/>
          </w:tcPr>
          <w:p>
            <w:pPr>
              <w:pStyle w:val="15"/>
            </w:pPr>
            <w:r>
              <w:t>582.59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1347.26</w:t>
            </w:r>
          </w:p>
        </w:tc>
        <w:tc>
          <w:tcPr>
            <w:tcW w:w="1361" w:type="dxa"/>
            <w:vAlign w:val="center"/>
          </w:tcPr>
          <w:p>
            <w:pPr>
              <w:pStyle w:val="11"/>
            </w:pPr>
            <w:r>
              <w:t>1047.67</w:t>
            </w:r>
          </w:p>
        </w:tc>
        <w:tc>
          <w:tcPr>
            <w:tcW w:w="1361" w:type="dxa"/>
            <w:vAlign w:val="center"/>
          </w:tcPr>
          <w:p>
            <w:pPr>
              <w:pStyle w:val="11"/>
            </w:pPr>
            <w:r>
              <w:t>299.59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1347.26</w:t>
            </w:r>
          </w:p>
        </w:tc>
        <w:tc>
          <w:tcPr>
            <w:tcW w:w="1361" w:type="dxa"/>
            <w:vAlign w:val="center"/>
          </w:tcPr>
          <w:p>
            <w:pPr>
              <w:pStyle w:val="11"/>
            </w:pPr>
            <w:r>
              <w:t>1047.67</w:t>
            </w:r>
          </w:p>
        </w:tc>
        <w:tc>
          <w:tcPr>
            <w:tcW w:w="1361" w:type="dxa"/>
            <w:vAlign w:val="center"/>
          </w:tcPr>
          <w:p>
            <w:pPr>
              <w:pStyle w:val="11"/>
            </w:pPr>
            <w:r>
              <w:t>299.59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1047.67</w:t>
            </w:r>
          </w:p>
        </w:tc>
        <w:tc>
          <w:tcPr>
            <w:tcW w:w="1361" w:type="dxa"/>
            <w:vAlign w:val="center"/>
          </w:tcPr>
          <w:p>
            <w:pPr>
              <w:pStyle w:val="11"/>
            </w:pPr>
            <w:r>
              <w:t>1047.67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299.59</w:t>
            </w:r>
          </w:p>
        </w:tc>
        <w:tc>
          <w:tcPr>
            <w:tcW w:w="1361" w:type="dxa"/>
            <w:vAlign w:val="center"/>
          </w:tcPr>
          <w:p>
            <w:pPr>
              <w:pStyle w:val="11"/>
            </w:pPr>
          </w:p>
        </w:tc>
        <w:tc>
          <w:tcPr>
            <w:tcW w:w="1361" w:type="dxa"/>
            <w:vAlign w:val="center"/>
          </w:tcPr>
          <w:p>
            <w:pPr>
              <w:pStyle w:val="11"/>
            </w:pPr>
            <w:r>
              <w:t>299.59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r>
              <w:t>19.32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186.25</w:t>
            </w:r>
          </w:p>
        </w:tc>
        <w:tc>
          <w:tcPr>
            <w:tcW w:w="1361" w:type="dxa"/>
            <w:vAlign w:val="center"/>
          </w:tcPr>
          <w:p>
            <w:pPr>
              <w:pStyle w:val="11"/>
            </w:pPr>
            <w:r>
              <w:t>182.36</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182.36</w:t>
            </w:r>
          </w:p>
        </w:tc>
        <w:tc>
          <w:tcPr>
            <w:tcW w:w="1361" w:type="dxa"/>
            <w:vAlign w:val="center"/>
          </w:tcPr>
          <w:p>
            <w:pPr>
              <w:pStyle w:val="11"/>
            </w:pPr>
            <w:r>
              <w:t>182.36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77.21</w:t>
            </w:r>
          </w:p>
        </w:tc>
        <w:tc>
          <w:tcPr>
            <w:tcW w:w="1361" w:type="dxa"/>
            <w:vAlign w:val="center"/>
          </w:tcPr>
          <w:p>
            <w:pPr>
              <w:pStyle w:val="11"/>
            </w:pPr>
            <w:r>
              <w:t>77.21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105.16</w:t>
            </w:r>
          </w:p>
        </w:tc>
        <w:tc>
          <w:tcPr>
            <w:tcW w:w="1361" w:type="dxa"/>
            <w:vAlign w:val="center"/>
          </w:tcPr>
          <w:p>
            <w:pPr>
              <w:pStyle w:val="11"/>
            </w:pPr>
            <w:r>
              <w:t>105.16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64.12</w:t>
            </w:r>
          </w:p>
        </w:tc>
        <w:tc>
          <w:tcPr>
            <w:tcW w:w="1361" w:type="dxa"/>
            <w:vAlign w:val="center"/>
          </w:tcPr>
          <w:p>
            <w:pPr>
              <w:pStyle w:val="11"/>
            </w:pPr>
            <w:r>
              <w:t>60.12</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60.12</w:t>
            </w:r>
          </w:p>
        </w:tc>
        <w:tc>
          <w:tcPr>
            <w:tcW w:w="1361" w:type="dxa"/>
            <w:vAlign w:val="center"/>
          </w:tcPr>
          <w:p>
            <w:pPr>
              <w:pStyle w:val="11"/>
            </w:pPr>
            <w:r>
              <w:t>60.12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33.89</w:t>
            </w:r>
          </w:p>
        </w:tc>
        <w:tc>
          <w:tcPr>
            <w:tcW w:w="1361" w:type="dxa"/>
            <w:vAlign w:val="center"/>
          </w:tcPr>
          <w:p>
            <w:pPr>
              <w:pStyle w:val="11"/>
            </w:pPr>
            <w:r>
              <w:t>33.89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26.23</w:t>
            </w:r>
          </w:p>
        </w:tc>
        <w:tc>
          <w:tcPr>
            <w:tcW w:w="1361" w:type="dxa"/>
            <w:vAlign w:val="center"/>
          </w:tcPr>
          <w:p>
            <w:pPr>
              <w:pStyle w:val="11"/>
            </w:pPr>
            <w:r>
              <w:t>26.23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117.79</w:t>
            </w:r>
          </w:p>
        </w:tc>
        <w:tc>
          <w:tcPr>
            <w:tcW w:w="1361" w:type="dxa"/>
            <w:vAlign w:val="center"/>
          </w:tcPr>
          <w:p>
            <w:pPr>
              <w:pStyle w:val="11"/>
            </w:pPr>
          </w:p>
        </w:tc>
        <w:tc>
          <w:tcPr>
            <w:tcW w:w="1361" w:type="dxa"/>
            <w:vAlign w:val="center"/>
          </w:tcPr>
          <w:p>
            <w:pPr>
              <w:pStyle w:val="11"/>
            </w:pPr>
            <w:r>
              <w:t>117.79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17.79</w:t>
            </w:r>
          </w:p>
        </w:tc>
        <w:tc>
          <w:tcPr>
            <w:tcW w:w="1361" w:type="dxa"/>
            <w:vAlign w:val="center"/>
          </w:tcPr>
          <w:p>
            <w:pPr>
              <w:pStyle w:val="11"/>
            </w:pPr>
          </w:p>
        </w:tc>
        <w:tc>
          <w:tcPr>
            <w:tcW w:w="1361" w:type="dxa"/>
            <w:vAlign w:val="center"/>
          </w:tcPr>
          <w:p>
            <w:pPr>
              <w:pStyle w:val="11"/>
            </w:pPr>
            <w:r>
              <w:t>17.79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17.79</w:t>
            </w:r>
          </w:p>
        </w:tc>
        <w:tc>
          <w:tcPr>
            <w:tcW w:w="1361" w:type="dxa"/>
            <w:vAlign w:val="center"/>
          </w:tcPr>
          <w:p>
            <w:pPr>
              <w:pStyle w:val="11"/>
            </w:pPr>
          </w:p>
        </w:tc>
        <w:tc>
          <w:tcPr>
            <w:tcW w:w="1361" w:type="dxa"/>
            <w:vAlign w:val="center"/>
          </w:tcPr>
          <w:p>
            <w:pPr>
              <w:pStyle w:val="11"/>
            </w:pPr>
            <w:r>
              <w:t>17.79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77.32</w:t>
            </w:r>
          </w:p>
        </w:tc>
        <w:tc>
          <w:tcPr>
            <w:tcW w:w="1361" w:type="dxa"/>
            <w:vAlign w:val="center"/>
          </w:tcPr>
          <w:p>
            <w:pPr>
              <w:pStyle w:val="11"/>
            </w:pPr>
            <w:r>
              <w:t>77.32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77.32</w:t>
            </w:r>
          </w:p>
        </w:tc>
        <w:tc>
          <w:tcPr>
            <w:tcW w:w="1361" w:type="dxa"/>
            <w:vAlign w:val="center"/>
          </w:tcPr>
          <w:p>
            <w:pPr>
              <w:pStyle w:val="11"/>
            </w:pPr>
            <w:r>
              <w:t>77.32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77.32</w:t>
            </w:r>
          </w:p>
        </w:tc>
        <w:tc>
          <w:tcPr>
            <w:tcW w:w="1361" w:type="dxa"/>
            <w:vAlign w:val="center"/>
          </w:tcPr>
          <w:p>
            <w:pPr>
              <w:pStyle w:val="11"/>
            </w:pPr>
            <w:r>
              <w:t>77.32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1850.06</w:t>
            </w:r>
          </w:p>
        </w:tc>
        <w:tc>
          <w:tcPr>
            <w:tcW w:w="3402" w:type="dxa"/>
            <w:vAlign w:val="center"/>
          </w:tcPr>
          <w:p>
            <w:pPr>
              <w:pStyle w:val="12"/>
            </w:pPr>
            <w:r>
              <w:t>一、一般公共服务支出</w:t>
            </w:r>
          </w:p>
        </w:tc>
        <w:tc>
          <w:tcPr>
            <w:tcW w:w="1474" w:type="dxa"/>
            <w:vAlign w:val="center"/>
          </w:tcPr>
          <w:p>
            <w:pPr>
              <w:pStyle w:val="11"/>
            </w:pPr>
            <w:r>
              <w:t>1347.26</w:t>
            </w:r>
          </w:p>
        </w:tc>
        <w:tc>
          <w:tcPr>
            <w:tcW w:w="1474" w:type="dxa"/>
            <w:vAlign w:val="center"/>
          </w:tcPr>
          <w:p>
            <w:pPr>
              <w:pStyle w:val="11"/>
            </w:pPr>
            <w:r>
              <w:t>1347.26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19.32</w:t>
            </w:r>
          </w:p>
        </w:tc>
        <w:tc>
          <w:tcPr>
            <w:tcW w:w="1474" w:type="dxa"/>
            <w:vAlign w:val="center"/>
          </w:tcPr>
          <w:p>
            <w:pPr>
              <w:pStyle w:val="11"/>
            </w:pPr>
            <w:r>
              <w:t>19.32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186.25</w:t>
            </w:r>
          </w:p>
        </w:tc>
        <w:tc>
          <w:tcPr>
            <w:tcW w:w="1474" w:type="dxa"/>
            <w:vAlign w:val="center"/>
          </w:tcPr>
          <w:p>
            <w:pPr>
              <w:pStyle w:val="11"/>
            </w:pPr>
            <w:r>
              <w:t>186.25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64.12</w:t>
            </w:r>
          </w:p>
        </w:tc>
        <w:tc>
          <w:tcPr>
            <w:tcW w:w="1474" w:type="dxa"/>
            <w:vAlign w:val="center"/>
          </w:tcPr>
          <w:p>
            <w:pPr>
              <w:pStyle w:val="11"/>
            </w:pPr>
            <w:r>
              <w:t>64.12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138.00</w:t>
            </w:r>
          </w:p>
        </w:tc>
        <w:tc>
          <w:tcPr>
            <w:tcW w:w="1474" w:type="dxa"/>
            <w:vAlign w:val="center"/>
          </w:tcPr>
          <w:p>
            <w:pPr>
              <w:pStyle w:val="11"/>
            </w:pPr>
            <w:r>
              <w:t>138.00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117.79</w:t>
            </w:r>
          </w:p>
        </w:tc>
        <w:tc>
          <w:tcPr>
            <w:tcW w:w="1474" w:type="dxa"/>
            <w:vAlign w:val="center"/>
          </w:tcPr>
          <w:p>
            <w:pPr>
              <w:pStyle w:val="11"/>
            </w:pPr>
            <w:r>
              <w:t>117.79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77.32</w:t>
            </w:r>
          </w:p>
        </w:tc>
        <w:tc>
          <w:tcPr>
            <w:tcW w:w="1474" w:type="dxa"/>
            <w:vAlign w:val="center"/>
          </w:tcPr>
          <w:p>
            <w:pPr>
              <w:pStyle w:val="11"/>
            </w:pPr>
            <w:r>
              <w:t>77.32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1850.06</w:t>
            </w:r>
          </w:p>
        </w:tc>
        <w:tc>
          <w:tcPr>
            <w:tcW w:w="3402" w:type="dxa"/>
            <w:vAlign w:val="center"/>
          </w:tcPr>
          <w:p>
            <w:pPr>
              <w:pStyle w:val="14"/>
            </w:pPr>
            <w:r>
              <w:t>本年支出合计</w:t>
            </w:r>
          </w:p>
        </w:tc>
        <w:tc>
          <w:tcPr>
            <w:tcW w:w="1474" w:type="dxa"/>
            <w:vAlign w:val="center"/>
          </w:tcPr>
          <w:p>
            <w:pPr>
              <w:pStyle w:val="15"/>
            </w:pPr>
            <w:r>
              <w:t>1950.06</w:t>
            </w:r>
          </w:p>
        </w:tc>
        <w:tc>
          <w:tcPr>
            <w:tcW w:w="1474" w:type="dxa"/>
            <w:vAlign w:val="center"/>
          </w:tcPr>
          <w:p>
            <w:pPr>
              <w:pStyle w:val="15"/>
            </w:pPr>
            <w:r>
              <w:t>1950.06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1950.06</w:t>
            </w:r>
          </w:p>
        </w:tc>
        <w:tc>
          <w:tcPr>
            <w:tcW w:w="3402" w:type="dxa"/>
            <w:vAlign w:val="center"/>
          </w:tcPr>
          <w:p>
            <w:pPr>
              <w:pStyle w:val="14"/>
            </w:pPr>
            <w:r>
              <w:t>支出总计</w:t>
            </w:r>
          </w:p>
        </w:tc>
        <w:tc>
          <w:tcPr>
            <w:tcW w:w="1474" w:type="dxa"/>
            <w:vAlign w:val="center"/>
          </w:tcPr>
          <w:p>
            <w:pPr>
              <w:pStyle w:val="15"/>
            </w:pPr>
            <w:r>
              <w:t>1950.06</w:t>
            </w:r>
          </w:p>
        </w:tc>
        <w:tc>
          <w:tcPr>
            <w:tcW w:w="1474" w:type="dxa"/>
            <w:vAlign w:val="center"/>
          </w:tcPr>
          <w:p>
            <w:pPr>
              <w:pStyle w:val="15"/>
            </w:pPr>
            <w:r>
              <w:t>1950.06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1950.06</w:t>
            </w:r>
          </w:p>
        </w:tc>
        <w:tc>
          <w:tcPr>
            <w:tcW w:w="2551" w:type="dxa"/>
            <w:vAlign w:val="center"/>
          </w:tcPr>
          <w:p>
            <w:pPr>
              <w:pStyle w:val="15"/>
            </w:pPr>
            <w:r>
              <w:t>1367.47</w:t>
            </w:r>
          </w:p>
        </w:tc>
        <w:tc>
          <w:tcPr>
            <w:tcW w:w="2551" w:type="dxa"/>
            <w:vAlign w:val="center"/>
          </w:tcPr>
          <w:p>
            <w:pPr>
              <w:pStyle w:val="15"/>
            </w:pPr>
            <w:r>
              <w:t>582.59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1347.26</w:t>
            </w:r>
          </w:p>
        </w:tc>
        <w:tc>
          <w:tcPr>
            <w:tcW w:w="2551" w:type="dxa"/>
            <w:vAlign w:val="center"/>
          </w:tcPr>
          <w:p>
            <w:pPr>
              <w:pStyle w:val="11"/>
            </w:pPr>
            <w:r>
              <w:t>1047.67</w:t>
            </w:r>
          </w:p>
        </w:tc>
        <w:tc>
          <w:tcPr>
            <w:tcW w:w="2551" w:type="dxa"/>
            <w:vAlign w:val="center"/>
          </w:tcPr>
          <w:p>
            <w:pPr>
              <w:pStyle w:val="11"/>
            </w:pPr>
            <w:r>
              <w:t>299.59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1347.26</w:t>
            </w:r>
          </w:p>
        </w:tc>
        <w:tc>
          <w:tcPr>
            <w:tcW w:w="2551" w:type="dxa"/>
            <w:vAlign w:val="center"/>
          </w:tcPr>
          <w:p>
            <w:pPr>
              <w:pStyle w:val="11"/>
            </w:pPr>
            <w:r>
              <w:t>1047.67</w:t>
            </w:r>
          </w:p>
        </w:tc>
        <w:tc>
          <w:tcPr>
            <w:tcW w:w="2551" w:type="dxa"/>
            <w:vAlign w:val="center"/>
          </w:tcPr>
          <w:p>
            <w:pPr>
              <w:pStyle w:val="11"/>
            </w:pPr>
            <w:r>
              <w:t>299.59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1047.67</w:t>
            </w:r>
          </w:p>
        </w:tc>
        <w:tc>
          <w:tcPr>
            <w:tcW w:w="2551" w:type="dxa"/>
            <w:vAlign w:val="center"/>
          </w:tcPr>
          <w:p>
            <w:pPr>
              <w:pStyle w:val="11"/>
            </w:pPr>
            <w:r>
              <w:t>1047.67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299.59</w:t>
            </w:r>
          </w:p>
        </w:tc>
        <w:tc>
          <w:tcPr>
            <w:tcW w:w="2551" w:type="dxa"/>
            <w:vAlign w:val="center"/>
          </w:tcPr>
          <w:p>
            <w:pPr>
              <w:pStyle w:val="11"/>
            </w:pPr>
          </w:p>
        </w:tc>
        <w:tc>
          <w:tcPr>
            <w:tcW w:w="2551" w:type="dxa"/>
            <w:vAlign w:val="center"/>
          </w:tcPr>
          <w:p>
            <w:pPr>
              <w:pStyle w:val="11"/>
            </w:pPr>
            <w:r>
              <w:t>299.59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19.32</w:t>
            </w:r>
          </w:p>
        </w:tc>
        <w:tc>
          <w:tcPr>
            <w:tcW w:w="2551" w:type="dxa"/>
            <w:vAlign w:val="center"/>
          </w:tcPr>
          <w:p>
            <w:pPr>
              <w:pStyle w:val="11"/>
            </w:pPr>
          </w:p>
        </w:tc>
        <w:tc>
          <w:tcPr>
            <w:tcW w:w="2551" w:type="dxa"/>
            <w:vAlign w:val="center"/>
          </w:tcPr>
          <w:p>
            <w:pPr>
              <w:pStyle w:val="11"/>
            </w:pPr>
            <w:r>
              <w:t>19.32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19.32</w:t>
            </w:r>
          </w:p>
        </w:tc>
        <w:tc>
          <w:tcPr>
            <w:tcW w:w="2551" w:type="dxa"/>
            <w:vAlign w:val="center"/>
          </w:tcPr>
          <w:p>
            <w:pPr>
              <w:pStyle w:val="11"/>
            </w:pPr>
          </w:p>
        </w:tc>
        <w:tc>
          <w:tcPr>
            <w:tcW w:w="2551" w:type="dxa"/>
            <w:vAlign w:val="center"/>
          </w:tcPr>
          <w:p>
            <w:pPr>
              <w:pStyle w:val="11"/>
            </w:pPr>
            <w:r>
              <w:t>19.32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19.32</w:t>
            </w:r>
          </w:p>
        </w:tc>
        <w:tc>
          <w:tcPr>
            <w:tcW w:w="2551" w:type="dxa"/>
            <w:vAlign w:val="center"/>
          </w:tcPr>
          <w:p>
            <w:pPr>
              <w:pStyle w:val="11"/>
            </w:pPr>
          </w:p>
        </w:tc>
        <w:tc>
          <w:tcPr>
            <w:tcW w:w="2551" w:type="dxa"/>
            <w:vAlign w:val="center"/>
          </w:tcPr>
          <w:p>
            <w:pPr>
              <w:pStyle w:val="11"/>
            </w:pPr>
            <w:r>
              <w:t>19.32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186.25</w:t>
            </w:r>
          </w:p>
        </w:tc>
        <w:tc>
          <w:tcPr>
            <w:tcW w:w="2551" w:type="dxa"/>
            <w:vAlign w:val="center"/>
          </w:tcPr>
          <w:p>
            <w:pPr>
              <w:pStyle w:val="11"/>
            </w:pPr>
            <w:r>
              <w:t>182.36</w:t>
            </w:r>
          </w:p>
        </w:tc>
        <w:tc>
          <w:tcPr>
            <w:tcW w:w="2551" w:type="dxa"/>
            <w:vAlign w:val="center"/>
          </w:tcPr>
          <w:p>
            <w:pPr>
              <w:pStyle w:val="11"/>
            </w:pPr>
            <w:r>
              <w:t>3.89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182.36</w:t>
            </w:r>
          </w:p>
        </w:tc>
        <w:tc>
          <w:tcPr>
            <w:tcW w:w="2551" w:type="dxa"/>
            <w:vAlign w:val="center"/>
          </w:tcPr>
          <w:p>
            <w:pPr>
              <w:pStyle w:val="11"/>
            </w:pPr>
            <w:r>
              <w:t>182.36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77.21</w:t>
            </w:r>
          </w:p>
        </w:tc>
        <w:tc>
          <w:tcPr>
            <w:tcW w:w="2551" w:type="dxa"/>
            <w:vAlign w:val="center"/>
          </w:tcPr>
          <w:p>
            <w:pPr>
              <w:pStyle w:val="11"/>
            </w:pPr>
            <w:r>
              <w:t>77.21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105.16</w:t>
            </w:r>
          </w:p>
        </w:tc>
        <w:tc>
          <w:tcPr>
            <w:tcW w:w="2551" w:type="dxa"/>
            <w:vAlign w:val="center"/>
          </w:tcPr>
          <w:p>
            <w:pPr>
              <w:pStyle w:val="11"/>
            </w:pPr>
            <w:r>
              <w:t>105.16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64.12</w:t>
            </w:r>
          </w:p>
        </w:tc>
        <w:tc>
          <w:tcPr>
            <w:tcW w:w="2551" w:type="dxa"/>
            <w:vAlign w:val="center"/>
          </w:tcPr>
          <w:p>
            <w:pPr>
              <w:pStyle w:val="11"/>
            </w:pPr>
            <w:r>
              <w:t>60.12</w:t>
            </w: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60.12</w:t>
            </w:r>
          </w:p>
        </w:tc>
        <w:tc>
          <w:tcPr>
            <w:tcW w:w="2551" w:type="dxa"/>
            <w:vAlign w:val="center"/>
          </w:tcPr>
          <w:p>
            <w:pPr>
              <w:pStyle w:val="11"/>
            </w:pPr>
            <w:r>
              <w:t>60.12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33.89</w:t>
            </w:r>
          </w:p>
        </w:tc>
        <w:tc>
          <w:tcPr>
            <w:tcW w:w="2551" w:type="dxa"/>
            <w:vAlign w:val="center"/>
          </w:tcPr>
          <w:p>
            <w:pPr>
              <w:pStyle w:val="11"/>
            </w:pPr>
            <w:r>
              <w:t>33.89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26.23</w:t>
            </w:r>
          </w:p>
        </w:tc>
        <w:tc>
          <w:tcPr>
            <w:tcW w:w="2551" w:type="dxa"/>
            <w:vAlign w:val="center"/>
          </w:tcPr>
          <w:p>
            <w:pPr>
              <w:pStyle w:val="11"/>
            </w:pPr>
            <w:r>
              <w:t>26.23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117.79</w:t>
            </w:r>
          </w:p>
        </w:tc>
        <w:tc>
          <w:tcPr>
            <w:tcW w:w="2551" w:type="dxa"/>
            <w:vAlign w:val="center"/>
          </w:tcPr>
          <w:p>
            <w:pPr>
              <w:pStyle w:val="11"/>
            </w:pPr>
          </w:p>
        </w:tc>
        <w:tc>
          <w:tcPr>
            <w:tcW w:w="2551" w:type="dxa"/>
            <w:vAlign w:val="center"/>
          </w:tcPr>
          <w:p>
            <w:pPr>
              <w:pStyle w:val="11"/>
            </w:pPr>
            <w:r>
              <w:t>117.79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17.79</w:t>
            </w:r>
          </w:p>
        </w:tc>
        <w:tc>
          <w:tcPr>
            <w:tcW w:w="2551" w:type="dxa"/>
            <w:vAlign w:val="center"/>
          </w:tcPr>
          <w:p>
            <w:pPr>
              <w:pStyle w:val="11"/>
            </w:pPr>
          </w:p>
        </w:tc>
        <w:tc>
          <w:tcPr>
            <w:tcW w:w="2551" w:type="dxa"/>
            <w:vAlign w:val="center"/>
          </w:tcPr>
          <w:p>
            <w:pPr>
              <w:pStyle w:val="11"/>
            </w:pPr>
            <w:r>
              <w:t>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17.79</w:t>
            </w:r>
          </w:p>
        </w:tc>
        <w:tc>
          <w:tcPr>
            <w:tcW w:w="2551" w:type="dxa"/>
            <w:vAlign w:val="center"/>
          </w:tcPr>
          <w:p>
            <w:pPr>
              <w:pStyle w:val="11"/>
            </w:pPr>
          </w:p>
        </w:tc>
        <w:tc>
          <w:tcPr>
            <w:tcW w:w="2551" w:type="dxa"/>
            <w:vAlign w:val="center"/>
          </w:tcPr>
          <w:p>
            <w:pPr>
              <w:pStyle w:val="11"/>
            </w:pPr>
            <w:r>
              <w:t>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77.32</w:t>
            </w:r>
          </w:p>
        </w:tc>
        <w:tc>
          <w:tcPr>
            <w:tcW w:w="2551" w:type="dxa"/>
            <w:vAlign w:val="center"/>
          </w:tcPr>
          <w:p>
            <w:pPr>
              <w:pStyle w:val="11"/>
            </w:pPr>
            <w:r>
              <w:t>77.32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77.32</w:t>
            </w:r>
          </w:p>
        </w:tc>
        <w:tc>
          <w:tcPr>
            <w:tcW w:w="2551" w:type="dxa"/>
            <w:vAlign w:val="center"/>
          </w:tcPr>
          <w:p>
            <w:pPr>
              <w:pStyle w:val="11"/>
            </w:pPr>
            <w:r>
              <w:t>77.32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77.32</w:t>
            </w:r>
          </w:p>
        </w:tc>
        <w:tc>
          <w:tcPr>
            <w:tcW w:w="2551" w:type="dxa"/>
            <w:vAlign w:val="center"/>
          </w:tcPr>
          <w:p>
            <w:pPr>
              <w:pStyle w:val="11"/>
            </w:pPr>
            <w:r>
              <w:t>77.32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1367.47</w:t>
            </w:r>
          </w:p>
        </w:tc>
        <w:tc>
          <w:tcPr>
            <w:tcW w:w="2551" w:type="dxa"/>
            <w:vAlign w:val="center"/>
          </w:tcPr>
          <w:p>
            <w:pPr>
              <w:pStyle w:val="15"/>
            </w:pPr>
            <w:r>
              <w:t>1184.83</w:t>
            </w:r>
          </w:p>
        </w:tc>
        <w:tc>
          <w:tcPr>
            <w:tcW w:w="2551" w:type="dxa"/>
            <w:vAlign w:val="center"/>
          </w:tcPr>
          <w:p>
            <w:pPr>
              <w:pStyle w:val="15"/>
            </w:pPr>
            <w:r>
              <w:t>182.64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1094.11</w:t>
            </w:r>
          </w:p>
        </w:tc>
        <w:tc>
          <w:tcPr>
            <w:tcW w:w="2551" w:type="dxa"/>
            <w:vAlign w:val="center"/>
          </w:tcPr>
          <w:p>
            <w:pPr>
              <w:pStyle w:val="11"/>
            </w:pPr>
            <w:r>
              <w:t>1094.11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212.84</w:t>
            </w:r>
          </w:p>
        </w:tc>
        <w:tc>
          <w:tcPr>
            <w:tcW w:w="2551" w:type="dxa"/>
            <w:vAlign w:val="center"/>
          </w:tcPr>
          <w:p>
            <w:pPr>
              <w:pStyle w:val="11"/>
            </w:pPr>
            <w:r>
              <w:t>212.84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276.64</w:t>
            </w:r>
          </w:p>
        </w:tc>
        <w:tc>
          <w:tcPr>
            <w:tcW w:w="2551" w:type="dxa"/>
            <w:vAlign w:val="center"/>
          </w:tcPr>
          <w:p>
            <w:pPr>
              <w:pStyle w:val="11"/>
            </w:pPr>
            <w:r>
              <w:t>276.64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97.59</w:t>
            </w:r>
          </w:p>
        </w:tc>
        <w:tc>
          <w:tcPr>
            <w:tcW w:w="2551" w:type="dxa"/>
            <w:vAlign w:val="center"/>
          </w:tcPr>
          <w:p>
            <w:pPr>
              <w:pStyle w:val="11"/>
            </w:pPr>
            <w:r>
              <w:t>97.59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133.53</w:t>
            </w:r>
          </w:p>
        </w:tc>
        <w:tc>
          <w:tcPr>
            <w:tcW w:w="2551" w:type="dxa"/>
            <w:vAlign w:val="center"/>
          </w:tcPr>
          <w:p>
            <w:pPr>
              <w:pStyle w:val="11"/>
            </w:pPr>
            <w:r>
              <w:t>133.53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105.16</w:t>
            </w:r>
          </w:p>
        </w:tc>
        <w:tc>
          <w:tcPr>
            <w:tcW w:w="2551" w:type="dxa"/>
            <w:vAlign w:val="center"/>
          </w:tcPr>
          <w:p>
            <w:pPr>
              <w:pStyle w:val="11"/>
            </w:pPr>
            <w:r>
              <w:t>105.16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51.55</w:t>
            </w:r>
          </w:p>
        </w:tc>
        <w:tc>
          <w:tcPr>
            <w:tcW w:w="2551" w:type="dxa"/>
            <w:vAlign w:val="center"/>
          </w:tcPr>
          <w:p>
            <w:pPr>
              <w:pStyle w:val="11"/>
            </w:pPr>
            <w:r>
              <w:t>51.55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33.89</w:t>
            </w:r>
          </w:p>
        </w:tc>
        <w:tc>
          <w:tcPr>
            <w:tcW w:w="2551" w:type="dxa"/>
            <w:vAlign w:val="center"/>
          </w:tcPr>
          <w:p>
            <w:pPr>
              <w:pStyle w:val="11"/>
            </w:pPr>
            <w:r>
              <w:t>33.89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26.23</w:t>
            </w:r>
          </w:p>
        </w:tc>
        <w:tc>
          <w:tcPr>
            <w:tcW w:w="2551" w:type="dxa"/>
            <w:vAlign w:val="center"/>
          </w:tcPr>
          <w:p>
            <w:pPr>
              <w:pStyle w:val="11"/>
            </w:pPr>
            <w:r>
              <w:t>26.23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79.37</w:t>
            </w:r>
          </w:p>
        </w:tc>
        <w:tc>
          <w:tcPr>
            <w:tcW w:w="2551" w:type="dxa"/>
            <w:vAlign w:val="center"/>
          </w:tcPr>
          <w:p>
            <w:pPr>
              <w:pStyle w:val="11"/>
            </w:pPr>
            <w:r>
              <w:t>79.37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77.32</w:t>
            </w:r>
          </w:p>
        </w:tc>
        <w:tc>
          <w:tcPr>
            <w:tcW w:w="2551" w:type="dxa"/>
            <w:vAlign w:val="center"/>
          </w:tcPr>
          <w:p>
            <w:pPr>
              <w:pStyle w:val="11"/>
            </w:pPr>
            <w:r>
              <w:t>77.32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182.64</w:t>
            </w:r>
          </w:p>
        </w:tc>
        <w:tc>
          <w:tcPr>
            <w:tcW w:w="2551" w:type="dxa"/>
            <w:vAlign w:val="center"/>
          </w:tcPr>
          <w:p>
            <w:pPr>
              <w:pStyle w:val="11"/>
            </w:pPr>
          </w:p>
        </w:tc>
        <w:tc>
          <w:tcPr>
            <w:tcW w:w="2551" w:type="dxa"/>
            <w:vAlign w:val="center"/>
          </w:tcPr>
          <w:p>
            <w:pPr>
              <w:pStyle w:val="11"/>
            </w:pPr>
            <w:r>
              <w:t>182.64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69.30</w:t>
            </w:r>
          </w:p>
        </w:tc>
        <w:tc>
          <w:tcPr>
            <w:tcW w:w="2551" w:type="dxa"/>
            <w:vAlign w:val="center"/>
          </w:tcPr>
          <w:p>
            <w:pPr>
              <w:pStyle w:val="11"/>
            </w:pPr>
          </w:p>
        </w:tc>
        <w:tc>
          <w:tcPr>
            <w:tcW w:w="2551" w:type="dxa"/>
            <w:vAlign w:val="center"/>
          </w:tcPr>
          <w:p>
            <w:pPr>
              <w:pStyle w:val="11"/>
            </w:pPr>
            <w:r>
              <w:t>69.30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21.72</w:t>
            </w:r>
          </w:p>
        </w:tc>
        <w:tc>
          <w:tcPr>
            <w:tcW w:w="2551" w:type="dxa"/>
            <w:vAlign w:val="center"/>
          </w:tcPr>
          <w:p>
            <w:pPr>
              <w:pStyle w:val="11"/>
            </w:pPr>
          </w:p>
        </w:tc>
        <w:tc>
          <w:tcPr>
            <w:tcW w:w="2551" w:type="dxa"/>
            <w:vAlign w:val="center"/>
          </w:tcPr>
          <w:p>
            <w:pPr>
              <w:pStyle w:val="11"/>
            </w:pPr>
            <w:r>
              <w:t>21.72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5.32</w:t>
            </w:r>
          </w:p>
        </w:tc>
        <w:tc>
          <w:tcPr>
            <w:tcW w:w="2551" w:type="dxa"/>
            <w:vAlign w:val="center"/>
          </w:tcPr>
          <w:p>
            <w:pPr>
              <w:pStyle w:val="11"/>
            </w:pPr>
          </w:p>
        </w:tc>
        <w:tc>
          <w:tcPr>
            <w:tcW w:w="2551" w:type="dxa"/>
            <w:vAlign w:val="center"/>
          </w:tcPr>
          <w:p>
            <w:pPr>
              <w:pStyle w:val="11"/>
            </w:pPr>
            <w:r>
              <w:t>5.32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32.64</w:t>
            </w:r>
          </w:p>
        </w:tc>
        <w:tc>
          <w:tcPr>
            <w:tcW w:w="2551" w:type="dxa"/>
            <w:vAlign w:val="center"/>
          </w:tcPr>
          <w:p>
            <w:pPr>
              <w:pStyle w:val="11"/>
            </w:pPr>
          </w:p>
        </w:tc>
        <w:tc>
          <w:tcPr>
            <w:tcW w:w="2551" w:type="dxa"/>
            <w:vAlign w:val="center"/>
          </w:tcPr>
          <w:p>
            <w:pPr>
              <w:pStyle w:val="11"/>
            </w:pPr>
            <w:r>
              <w:t>32.64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5.26</w:t>
            </w:r>
          </w:p>
        </w:tc>
        <w:tc>
          <w:tcPr>
            <w:tcW w:w="2551" w:type="dxa"/>
            <w:vAlign w:val="center"/>
          </w:tcPr>
          <w:p>
            <w:pPr>
              <w:pStyle w:val="11"/>
            </w:pPr>
          </w:p>
        </w:tc>
        <w:tc>
          <w:tcPr>
            <w:tcW w:w="2551" w:type="dxa"/>
            <w:vAlign w:val="center"/>
          </w:tcPr>
          <w:p>
            <w:pPr>
              <w:pStyle w:val="11"/>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90.72</w:t>
            </w:r>
          </w:p>
        </w:tc>
        <w:tc>
          <w:tcPr>
            <w:tcW w:w="2551" w:type="dxa"/>
            <w:vAlign w:val="center"/>
          </w:tcPr>
          <w:p>
            <w:pPr>
              <w:pStyle w:val="11"/>
            </w:pPr>
            <w:r>
              <w:t>90.72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77.21</w:t>
            </w:r>
          </w:p>
        </w:tc>
        <w:tc>
          <w:tcPr>
            <w:tcW w:w="2551" w:type="dxa"/>
            <w:vAlign w:val="center"/>
          </w:tcPr>
          <w:p>
            <w:pPr>
              <w:pStyle w:val="11"/>
            </w:pPr>
            <w:r>
              <w:t>77.21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1</w:t>
            </w:r>
          </w:p>
        </w:tc>
        <w:tc>
          <w:tcPr>
            <w:tcW w:w="3798" w:type="dxa"/>
            <w:vAlign w:val="center"/>
          </w:tcPr>
          <w:p>
            <w:pPr>
              <w:pStyle w:val="12"/>
              <w:ind w:firstLine="0" w:firstLineChars="0"/>
              <w:jc w:val="center"/>
              <w:rPr>
                <w:rFonts w:hint="eastAsia" w:ascii="方正书宋_GBK" w:hAnsi="方正书宋_GBK" w:eastAsia="方正书宋_GBK" w:cs="方正书宋_GBK"/>
                <w:sz w:val="21"/>
                <w:lang w:eastAsia="zh-CN"/>
              </w:rPr>
            </w:pPr>
            <w:r>
              <w:rPr>
                <w:rFonts w:hint="eastAsia"/>
                <w:b/>
                <w:bCs/>
                <w:lang w:eastAsia="zh-CN"/>
              </w:rPr>
              <w:t>合计</w:t>
            </w:r>
          </w:p>
        </w:tc>
        <w:tc>
          <w:tcPr>
            <w:tcW w:w="2381"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2381"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2381" w:type="dxa"/>
            <w:vAlign w:val="center"/>
          </w:tcPr>
          <w:p>
            <w:pPr>
              <w:pStyle w:val="11"/>
              <w:ind w:firstLine="0" w:firstLineChars="0"/>
              <w:rPr>
                <w:rFonts w:ascii="方正书宋_GBK" w:hAnsi="方正书宋_GBK" w:eastAsia="方正书宋_GBK" w:cs="方正书宋_GBK"/>
                <w:sz w:val="21"/>
              </w:rPr>
            </w:pPr>
          </w:p>
        </w:tc>
        <w:tc>
          <w:tcPr>
            <w:tcW w:w="238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2</w:t>
            </w:r>
          </w:p>
        </w:tc>
        <w:tc>
          <w:tcPr>
            <w:tcW w:w="0" w:type="auto"/>
            <w:vAlign w:val="center"/>
          </w:tcPr>
          <w:p>
            <w:pPr>
              <w:pStyle w:val="12"/>
              <w:ind w:firstLine="0" w:firstLineChars="0"/>
              <w:rPr>
                <w:rFonts w:hint="eastAsia" w:ascii="方正书宋_GBK" w:hAnsi="方正书宋_GBK" w:eastAsia="方正书宋_GBK" w:cs="方正书宋_GBK"/>
                <w:sz w:val="21"/>
                <w:lang w:eastAsia="zh-CN"/>
              </w:rPr>
            </w:pPr>
            <w:r>
              <w:rPr>
                <w:rFonts w:hint="eastAsia"/>
                <w:lang w:eastAsia="zh-CN"/>
              </w:rPr>
              <w:t>“三公”经费小计</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3</w:t>
            </w:r>
          </w:p>
        </w:tc>
        <w:tc>
          <w:tcPr>
            <w:tcW w:w="0" w:type="auto"/>
            <w:vAlign w:val="center"/>
          </w:tcPr>
          <w:p>
            <w:pPr>
              <w:pStyle w:val="12"/>
              <w:ind w:firstLine="0" w:firstLineChars="0"/>
              <w:rPr>
                <w:rFonts w:hint="eastAsia" w:ascii="方正书宋_GBK" w:hAnsi="方正书宋_GBK" w:eastAsia="方正书宋_GBK" w:cs="方正书宋_GBK"/>
                <w:sz w:val="21"/>
                <w:lang w:eastAsia="zh-CN"/>
              </w:rPr>
            </w:pPr>
            <w:r>
              <w:rPr>
                <w:rFonts w:hint="eastAsia"/>
                <w:lang w:eastAsia="zh-CN"/>
              </w:rPr>
              <w:t>一、因公出国（境）费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4</w:t>
            </w:r>
          </w:p>
        </w:tc>
        <w:tc>
          <w:tcPr>
            <w:tcW w:w="0" w:type="auto"/>
            <w:vAlign w:val="center"/>
          </w:tcPr>
          <w:p>
            <w:pPr>
              <w:pStyle w:val="12"/>
              <w:ind w:firstLine="210" w:firstLineChars="100"/>
              <w:rPr>
                <w:rFonts w:hint="eastAsia" w:ascii="方正书宋_GBK" w:hAnsi="方正书宋_GBK" w:eastAsia="方正书宋_GBK" w:cs="方正书宋_GBK"/>
                <w:sz w:val="21"/>
                <w:lang w:eastAsia="zh-CN"/>
              </w:rPr>
            </w:pPr>
            <w:r>
              <w:rPr>
                <w:rFonts w:hint="eastAsia"/>
                <w:lang w:eastAsia="zh-CN"/>
              </w:rPr>
              <w:t>其中：教学科研人员因公出国（境）费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5</w:t>
            </w:r>
          </w:p>
        </w:tc>
        <w:tc>
          <w:tcPr>
            <w:tcW w:w="0" w:type="auto"/>
            <w:vAlign w:val="center"/>
          </w:tcPr>
          <w:p>
            <w:pPr>
              <w:pStyle w:val="12"/>
              <w:ind w:firstLine="630" w:firstLineChars="300"/>
              <w:rPr>
                <w:rFonts w:hint="eastAsia" w:ascii="方正书宋_GBK" w:hAnsi="方正书宋_GBK" w:eastAsia="方正书宋_GBK" w:cs="方正书宋_GBK"/>
                <w:sz w:val="21"/>
                <w:lang w:eastAsia="zh-CN"/>
              </w:rPr>
            </w:pPr>
            <w:r>
              <w:rPr>
                <w:rFonts w:hint="eastAsia"/>
                <w:lang w:eastAsia="zh-CN"/>
              </w:rPr>
              <w:t>其他因公出国（境）费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6</w:t>
            </w:r>
          </w:p>
        </w:tc>
        <w:tc>
          <w:tcPr>
            <w:tcW w:w="0" w:type="auto"/>
            <w:vAlign w:val="center"/>
          </w:tcPr>
          <w:p>
            <w:pPr>
              <w:pStyle w:val="12"/>
              <w:ind w:firstLine="0" w:firstLineChars="0"/>
              <w:rPr>
                <w:rFonts w:hint="eastAsia" w:ascii="方正书宋_GBK" w:hAnsi="方正书宋_GBK" w:eastAsia="方正书宋_GBK" w:cs="方正书宋_GBK"/>
                <w:sz w:val="21"/>
                <w:lang w:eastAsia="zh-CN"/>
              </w:rPr>
            </w:pPr>
            <w:r>
              <w:rPr>
                <w:rFonts w:hint="eastAsia"/>
                <w:lang w:eastAsia="zh-CN"/>
              </w:rPr>
              <w:t>一、公务用车购置及运维费</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7</w:t>
            </w:r>
          </w:p>
        </w:tc>
        <w:tc>
          <w:tcPr>
            <w:tcW w:w="0" w:type="auto"/>
            <w:vAlign w:val="center"/>
          </w:tcPr>
          <w:p>
            <w:pPr>
              <w:pStyle w:val="12"/>
              <w:ind w:firstLine="210" w:firstLineChars="100"/>
              <w:rPr>
                <w:rFonts w:hint="eastAsia" w:ascii="方正书宋_GBK" w:hAnsi="方正书宋_GBK" w:eastAsia="方正书宋_GBK" w:cs="方正书宋_GBK"/>
                <w:sz w:val="21"/>
                <w:lang w:eastAsia="zh-CN"/>
              </w:rPr>
            </w:pPr>
            <w:r>
              <w:rPr>
                <w:rFonts w:hint="eastAsia"/>
                <w:lang w:eastAsia="zh-CN"/>
              </w:rPr>
              <w:t>其中：公务用车购置费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8</w:t>
            </w:r>
          </w:p>
        </w:tc>
        <w:tc>
          <w:tcPr>
            <w:tcW w:w="0" w:type="auto"/>
            <w:vAlign w:val="center"/>
          </w:tcPr>
          <w:p>
            <w:pPr>
              <w:pStyle w:val="12"/>
              <w:ind w:firstLine="630" w:firstLineChars="300"/>
              <w:rPr>
                <w:rFonts w:hint="eastAsia" w:ascii="方正书宋_GBK" w:hAnsi="方正书宋_GBK" w:eastAsia="方正书宋_GBK" w:cs="方正书宋_GBK"/>
                <w:sz w:val="21"/>
                <w:lang w:eastAsia="zh-CN"/>
              </w:rPr>
            </w:pPr>
            <w:r>
              <w:rPr>
                <w:rFonts w:hint="eastAsia"/>
                <w:lang w:eastAsia="zh-CN"/>
              </w:rPr>
              <w:t>公务用车运行维护费</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4.4</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hint="eastAsia" w:ascii="方正书宋_GBK" w:hAnsi="方正书宋_GBK" w:eastAsia="方正书宋_GBK" w:cs="方正书宋_GBK"/>
                <w:sz w:val="21"/>
                <w:lang w:val="en-US" w:eastAsia="zh-CN"/>
              </w:rPr>
            </w:pPr>
            <w:r>
              <w:rPr>
                <w:rFonts w:hint="eastAsia"/>
                <w:lang w:val="en-US" w:eastAsia="zh-CN"/>
              </w:rPr>
              <w:t>9</w:t>
            </w:r>
          </w:p>
        </w:tc>
        <w:tc>
          <w:tcPr>
            <w:tcW w:w="0" w:type="auto"/>
            <w:vAlign w:val="center"/>
          </w:tcPr>
          <w:p>
            <w:pPr>
              <w:pStyle w:val="12"/>
              <w:ind w:firstLine="0" w:firstLineChars="0"/>
              <w:rPr>
                <w:rFonts w:hint="eastAsia" w:ascii="方正书宋_GBK" w:hAnsi="方正书宋_GBK" w:eastAsia="方正书宋_GBK" w:cs="方正书宋_GBK"/>
                <w:sz w:val="21"/>
                <w:lang w:eastAsia="zh-CN"/>
              </w:rPr>
            </w:pPr>
            <w:r>
              <w:rPr>
                <w:rFonts w:hint="eastAsia"/>
                <w:lang w:eastAsia="zh-CN"/>
              </w:rPr>
              <w:t>三、公务接待费</w:t>
            </w: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c>
          <w:tcPr>
            <w:tcW w:w="0" w:type="auto"/>
            <w:vAlign w:val="center"/>
          </w:tcPr>
          <w:p>
            <w:pPr>
              <w:pStyle w:val="11"/>
              <w:ind w:firstLine="0" w:firstLineChars="0"/>
              <w:rPr>
                <w:rFonts w:ascii="方正书宋_GBK" w:hAnsi="方正书宋_GBK" w:eastAsia="方正书宋_GBK" w:cs="方正书宋_GBK"/>
                <w:sz w:val="21"/>
              </w:rPr>
            </w:pPr>
          </w:p>
        </w:tc>
      </w:tr>
    </w:tbl>
    <w:p>
      <w:pPr>
        <w:spacing w:before="0" w:after="0" w:line="240" w:lineRule="auto"/>
        <w:ind w:firstLine="420"/>
        <w:jc w:val="left"/>
        <w:outlineLvl w:val="9"/>
        <w:sectPr>
          <w:pgSz w:w="16840" w:h="11900" w:orient="landscape"/>
          <w:pgMar w:top="1361" w:right="1020" w:bottom="1361" w:left="1020" w:header="720" w:footer="720" w:gutter="0"/>
        </w:sectPr>
      </w:pPr>
      <w:bookmarkStart w:id="1" w:name="_GoBack"/>
      <w:bookmarkEnd w:id="1"/>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根据《石家庄市藁城区梅花镇人民政府职能配置、内设机构和人员编制规定》，石家庄市藁城区梅花镇人民政府的主要职责是：</w:t>
      </w:r>
    </w:p>
    <w:p>
      <w:pPr>
        <w:pStyle w:val="17"/>
      </w:pPr>
      <w:r>
        <w:t>一、宣传贯彻执行党的路线方针政策和党中央，上级党组织的决议，贯彻执行法律、法规、规章和上级政府的决定、命令，执行本级人民代表大会的决议。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pStyle w:val="17"/>
      </w:pPr>
      <w:r>
        <w:t>五、承办上级党委、政府交办的其他事项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石家庄市藁城区梅花镇人民政府本级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反映本单位当年全部收入。2025年预算收入1950.06万元，其中：一般公共预算收入1850.06万元，基金预算收入0万元，国有资本经营预算收入0万元，财政专户核拨收入0万元，单位资金收入0万元，上年结转结余</w:t>
      </w:r>
      <w:r>
        <w:rPr>
          <w:rFonts w:hint="eastAsia"/>
          <w:lang w:val="en-US" w:eastAsia="zh-CN"/>
        </w:rPr>
        <w:t>10</w:t>
      </w:r>
      <w:r>
        <w:t>0万元。</w:t>
      </w:r>
    </w:p>
    <w:p>
      <w:pPr>
        <w:pStyle w:val="18"/>
      </w:pPr>
      <w:r>
        <w:t>2、支出说明</w:t>
      </w:r>
    </w:p>
    <w:p>
      <w:pPr>
        <w:pStyle w:val="18"/>
      </w:pPr>
      <w:r>
        <w:t>收支预算总表支出栏、基本支出表、项目支出表按经济分类和支出功能分类科目编制，反映石家庄市藁城区梅花镇人民政府本级年度单位预算中支出预算的总体情况。2025年支出预算1950.06万元，其中基本支出1367.47万元，包括人员经费1184.83万元和日常公用经费182.64万元；项目支出582.59万元，主要为农村独生子女费4万元、学区工会费19.32万元、原经贸回乡涉军人员生活补贴3.89万元、公用经费（临时人员工资）43万元、公用经费（机关运转）66.8万元、马山线、衡井线占地补助经费17.79万元、综合工作经费（人居环境、安全生产、土地、环保、信访、临时人员工资、武装等工作经费）187万元、政府工会费2.79万元、石财预【2024】33号关于提前下达2025年革命老区转移支付预算的通知（高玉村）138万元、石财农【2023】86号 关于提前下达2024年中央农村综合改革转移支付预算的通知100万元。</w:t>
      </w:r>
    </w:p>
    <w:p>
      <w:pPr>
        <w:pStyle w:val="18"/>
      </w:pPr>
      <w:r>
        <w:t>3、比上年增减情况</w:t>
      </w:r>
    </w:p>
    <w:p>
      <w:pPr>
        <w:pStyle w:val="18"/>
        <w:rPr>
          <w:rFonts w:hint="eastAsia" w:eastAsia="方正仿宋_GBK"/>
          <w:lang w:eastAsia="zh-CN"/>
        </w:rPr>
      </w:pPr>
      <w:r>
        <w:t>2025年预算收支安排1950.06万元，较2024年预算增加300.81万元，其中：基本支出增加66.22万元，主要为人员经费增加</w:t>
      </w:r>
      <w:r>
        <w:rPr>
          <w:rFonts w:hint="eastAsia"/>
          <w:lang w:eastAsia="zh-CN"/>
        </w:rPr>
        <w:t>；</w:t>
      </w:r>
      <w:r>
        <w:t>项目支出增加234.60万元，主要为新增项目石财预【2024】33号关于提前下达2025年革命老区转移支付预算的通知（高玉村）138万元，综合工作经费（人居环境、安全生产、土地、环保、信访、临时人员工资、武装等工作经费）较上年增加约100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2025年，我单位机关运行经费共计安排182.64万元，主要用于日常维修、办公用房水电费、办公用房取暖费、办公用房物业管理费等日常运行支出。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lang w:eastAsia="uk-UA"/>
        </w:rPr>
        <w:t>202</w:t>
      </w:r>
      <w:r>
        <w:rPr>
          <w:rFonts w:hint="eastAsia"/>
          <w:lang w:eastAsia="uk-UA"/>
        </w:rPr>
        <w:t>5</w:t>
      </w:r>
      <w:r>
        <w:rPr>
          <w:lang w:eastAsia="uk-UA"/>
        </w:rPr>
        <w:t>年，财政拨款“三公”经费预算安排</w:t>
      </w:r>
      <w:r>
        <w:rPr>
          <w:rFonts w:hint="eastAsia"/>
          <w:lang w:val="en-US" w:eastAsia="zh-CN"/>
        </w:rPr>
        <w:t>4.4</w:t>
      </w:r>
      <w:r>
        <w:rPr>
          <w:lang w:eastAsia="uk-UA"/>
        </w:rPr>
        <w:t>万元，其中：因公出国（境）费0万元，与上年持平，无增减变化；公务用车购置及运维费</w:t>
      </w:r>
      <w:r>
        <w:rPr>
          <w:rFonts w:hint="eastAsia"/>
          <w:lang w:val="en-US" w:eastAsia="zh-CN"/>
        </w:rPr>
        <w:t>4.4</w:t>
      </w:r>
      <w:r>
        <w:rPr>
          <w:lang w:eastAsia="uk-UA"/>
        </w:rPr>
        <w:t>万元（其中：公务用车购置费0万元，与上年持平，无增减变化；公务用车运行维护费</w:t>
      </w:r>
      <w:r>
        <w:rPr>
          <w:rFonts w:hint="eastAsia"/>
          <w:lang w:val="en-US" w:eastAsia="zh-CN"/>
        </w:rPr>
        <w:t>4.4</w:t>
      </w:r>
      <w:r>
        <w:rPr>
          <w:lang w:eastAsia="uk-UA"/>
        </w:rPr>
        <w:t>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1、公用经费（机关运转）绩效目标表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13010925P00000110068E</w:t>
            </w:r>
          </w:p>
        </w:tc>
        <w:tc>
          <w:tcPr>
            <w:tcW w:w="2835" w:type="dxa"/>
            <w:vAlign w:val="center"/>
          </w:tcPr>
          <w:p>
            <w:pPr>
              <w:pStyle w:val="10"/>
            </w:pPr>
            <w:r>
              <w:t>项目名称</w:t>
            </w:r>
          </w:p>
        </w:tc>
        <w:tc>
          <w:tcPr>
            <w:tcW w:w="6095" w:type="dxa"/>
            <w:gridSpan w:val="3"/>
            <w:vAlign w:val="center"/>
          </w:tcPr>
          <w:p>
            <w:pPr>
              <w:pStyle w:val="12"/>
            </w:pPr>
            <w:r>
              <w:t>公用经费（机关运转）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66.80</w:t>
            </w:r>
          </w:p>
        </w:tc>
        <w:tc>
          <w:tcPr>
            <w:tcW w:w="2835" w:type="dxa"/>
            <w:vAlign w:val="center"/>
          </w:tcPr>
          <w:p>
            <w:pPr>
              <w:pStyle w:val="10"/>
            </w:pPr>
            <w:r>
              <w:t>其中：财政    资金</w:t>
            </w:r>
          </w:p>
        </w:tc>
        <w:tc>
          <w:tcPr>
            <w:tcW w:w="2551" w:type="dxa"/>
            <w:vAlign w:val="center"/>
          </w:tcPr>
          <w:p>
            <w:pPr>
              <w:pStyle w:val="12"/>
            </w:pPr>
            <w:r>
              <w:t>66.80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保证各村及镇政府各项工作的顺利完成，提升政府各科室办公水平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40.08</w:t>
            </w:r>
          </w:p>
        </w:tc>
        <w:tc>
          <w:tcPr>
            <w:tcW w:w="2551" w:type="dxa"/>
            <w:vAlign w:val="center"/>
          </w:tcPr>
          <w:p>
            <w:pPr>
              <w:pStyle w:val="13"/>
            </w:pPr>
            <w:r>
              <w:t>60.12</w:t>
            </w:r>
          </w:p>
        </w:tc>
        <w:tc>
          <w:tcPr>
            <w:tcW w:w="3544" w:type="dxa"/>
            <w:gridSpan w:val="2"/>
            <w:vAlign w:val="center"/>
          </w:tcPr>
          <w:p>
            <w:pPr>
              <w:pStyle w:val="13"/>
            </w:pPr>
            <w:r>
              <w:t>66.80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1.保证各村及镇政府各项工作的顺利完成，提升政府各科室办公水平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包含覆盖的村级数</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工作检查、考核报告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工作完成是否及时</w:t>
            </w:r>
          </w:p>
        </w:tc>
        <w:tc>
          <w:tcPr>
            <w:tcW w:w="5386" w:type="dxa"/>
            <w:vAlign w:val="center"/>
          </w:tcPr>
          <w:p>
            <w:pPr>
              <w:pStyle w:val="12"/>
            </w:pPr>
            <w:r>
              <w:t>项目资金支出完成及时率</w:t>
            </w:r>
          </w:p>
        </w:tc>
        <w:tc>
          <w:tcPr>
            <w:tcW w:w="2268" w:type="dxa"/>
            <w:vAlign w:val="center"/>
          </w:tcPr>
          <w:p>
            <w:pPr>
              <w:pStyle w:val="12"/>
            </w:pPr>
            <w:r>
              <w:t>每3个月</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保障各村及镇政府日常工作正常开展的费用</w:t>
            </w:r>
          </w:p>
        </w:tc>
        <w:tc>
          <w:tcPr>
            <w:tcW w:w="2268" w:type="dxa"/>
            <w:vAlign w:val="center"/>
          </w:tcPr>
          <w:p>
            <w:pPr>
              <w:pStyle w:val="12"/>
            </w:pPr>
            <w:r>
              <w:t>66.8万元</w:t>
            </w:r>
          </w:p>
        </w:tc>
        <w:tc>
          <w:tcPr>
            <w:tcW w:w="1276" w:type="dxa"/>
            <w:vAlign w:val="center"/>
          </w:tcPr>
          <w:p>
            <w:pPr>
              <w:pStyle w:val="12"/>
            </w:pPr>
            <w:r>
              <w:t>支出凭证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保障政府正常开展为民服务工作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2、公用经费（临时人员工资）绩效目标表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13010925P00000110067T</w:t>
            </w:r>
          </w:p>
        </w:tc>
        <w:tc>
          <w:tcPr>
            <w:tcW w:w="2835" w:type="dxa"/>
            <w:vAlign w:val="center"/>
          </w:tcPr>
          <w:p>
            <w:pPr>
              <w:pStyle w:val="10"/>
            </w:pPr>
            <w:r>
              <w:t>项目名称</w:t>
            </w:r>
          </w:p>
        </w:tc>
        <w:tc>
          <w:tcPr>
            <w:tcW w:w="6095" w:type="dxa"/>
            <w:gridSpan w:val="3"/>
            <w:vAlign w:val="center"/>
          </w:tcPr>
          <w:p>
            <w:pPr>
              <w:pStyle w:val="12"/>
            </w:pPr>
            <w:r>
              <w:t>公用经费（临时人员工资）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保障梅花镇临时人员工资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25.80</w:t>
            </w:r>
          </w:p>
        </w:tc>
        <w:tc>
          <w:tcPr>
            <w:tcW w:w="2551" w:type="dxa"/>
            <w:vAlign w:val="center"/>
          </w:tcPr>
          <w:p>
            <w:pPr>
              <w:pStyle w:val="13"/>
            </w:pPr>
            <w:r>
              <w:t>38.70</w:t>
            </w:r>
          </w:p>
        </w:tc>
        <w:tc>
          <w:tcPr>
            <w:tcW w:w="3544" w:type="dxa"/>
            <w:gridSpan w:val="2"/>
            <w:vAlign w:val="center"/>
          </w:tcPr>
          <w:p>
            <w:pPr>
              <w:pStyle w:val="13"/>
            </w:pPr>
            <w:r>
              <w:t>43.00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1.保障梅花镇临时人员工资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项目资金拨付人员数</w:t>
            </w:r>
          </w:p>
        </w:tc>
        <w:tc>
          <w:tcPr>
            <w:tcW w:w="5386" w:type="dxa"/>
            <w:vAlign w:val="center"/>
          </w:tcPr>
          <w:p>
            <w:pPr>
              <w:pStyle w:val="12"/>
            </w:pPr>
            <w:r>
              <w:t>发放工资的临时人员人数</w:t>
            </w:r>
          </w:p>
        </w:tc>
        <w:tc>
          <w:tcPr>
            <w:tcW w:w="2268" w:type="dxa"/>
            <w:vAlign w:val="center"/>
          </w:tcPr>
          <w:p>
            <w:pPr>
              <w:pStyle w:val="12"/>
            </w:pPr>
            <w:r>
              <w:t>≥8人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工资发放是否及时</w:t>
            </w:r>
          </w:p>
        </w:tc>
        <w:tc>
          <w:tcPr>
            <w:tcW w:w="5386" w:type="dxa"/>
            <w:vAlign w:val="center"/>
          </w:tcPr>
          <w:p>
            <w:pPr>
              <w:pStyle w:val="12"/>
            </w:pPr>
            <w:r>
              <w:t>应发放工资发放完成的日期</w:t>
            </w:r>
          </w:p>
        </w:tc>
        <w:tc>
          <w:tcPr>
            <w:tcW w:w="2268" w:type="dxa"/>
            <w:vAlign w:val="center"/>
          </w:tcPr>
          <w:p>
            <w:pPr>
              <w:pStyle w:val="12"/>
            </w:pPr>
            <w:r>
              <w:t>每两个月按时发放</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临时人员工资标准</w:t>
            </w:r>
          </w:p>
        </w:tc>
        <w:tc>
          <w:tcPr>
            <w:tcW w:w="5386" w:type="dxa"/>
            <w:vAlign w:val="center"/>
          </w:tcPr>
          <w:p>
            <w:pPr>
              <w:pStyle w:val="12"/>
            </w:pPr>
            <w:r>
              <w:t>临时人员工资标准</w:t>
            </w:r>
          </w:p>
        </w:tc>
        <w:tc>
          <w:tcPr>
            <w:tcW w:w="2268" w:type="dxa"/>
            <w:vAlign w:val="center"/>
          </w:tcPr>
          <w:p>
            <w:pPr>
              <w:pStyle w:val="12"/>
            </w:pPr>
            <w:r>
              <w:t>≤5.38万元/人</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临时人员满意度</w:t>
            </w:r>
          </w:p>
        </w:tc>
        <w:tc>
          <w:tcPr>
            <w:tcW w:w="5386" w:type="dxa"/>
            <w:vAlign w:val="center"/>
          </w:tcPr>
          <w:p>
            <w:pPr>
              <w:pStyle w:val="12"/>
            </w:pPr>
            <w:r>
              <w:t>临时人员对工资拨付的满意程度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3、马山线、衡井线占地补助经费绩效目标表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13010925P00000110065K</w:t>
            </w:r>
          </w:p>
        </w:tc>
        <w:tc>
          <w:tcPr>
            <w:tcW w:w="2835" w:type="dxa"/>
            <w:vAlign w:val="center"/>
          </w:tcPr>
          <w:p>
            <w:pPr>
              <w:pStyle w:val="10"/>
            </w:pPr>
            <w:r>
              <w:t>项目名称</w:t>
            </w:r>
          </w:p>
        </w:tc>
        <w:tc>
          <w:tcPr>
            <w:tcW w:w="6095" w:type="dxa"/>
            <w:gridSpan w:val="3"/>
            <w:vAlign w:val="center"/>
          </w:tcPr>
          <w:p>
            <w:pPr>
              <w:pStyle w:val="12"/>
            </w:pPr>
            <w:r>
              <w:t>马山线、衡井线占地补助经费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17.79</w:t>
            </w:r>
          </w:p>
        </w:tc>
        <w:tc>
          <w:tcPr>
            <w:tcW w:w="2835" w:type="dxa"/>
            <w:vAlign w:val="center"/>
          </w:tcPr>
          <w:p>
            <w:pPr>
              <w:pStyle w:val="10"/>
            </w:pPr>
            <w:r>
              <w:t>其中：财政    资金</w:t>
            </w:r>
          </w:p>
        </w:tc>
        <w:tc>
          <w:tcPr>
            <w:tcW w:w="2551" w:type="dxa"/>
            <w:vAlign w:val="center"/>
          </w:tcPr>
          <w:p>
            <w:pPr>
              <w:pStyle w:val="12"/>
            </w:pPr>
            <w:r>
              <w:t>17.79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拨付马山线、衡井线占地补助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5.34</w:t>
            </w:r>
          </w:p>
        </w:tc>
        <w:tc>
          <w:tcPr>
            <w:tcW w:w="2835" w:type="dxa"/>
            <w:vAlign w:val="center"/>
          </w:tcPr>
          <w:p>
            <w:pPr>
              <w:pStyle w:val="13"/>
            </w:pPr>
            <w:r>
              <w:t>10.67</w:t>
            </w:r>
          </w:p>
        </w:tc>
        <w:tc>
          <w:tcPr>
            <w:tcW w:w="2551" w:type="dxa"/>
            <w:vAlign w:val="center"/>
          </w:tcPr>
          <w:p>
            <w:pPr>
              <w:pStyle w:val="13"/>
            </w:pPr>
            <w:r>
              <w:t>16.01</w:t>
            </w:r>
          </w:p>
        </w:tc>
        <w:tc>
          <w:tcPr>
            <w:tcW w:w="3544" w:type="dxa"/>
            <w:gridSpan w:val="2"/>
            <w:vAlign w:val="center"/>
          </w:tcPr>
          <w:p>
            <w:pPr>
              <w:pStyle w:val="13"/>
            </w:pPr>
            <w:r>
              <w:t>17.79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1.及时拨付马山线、衡井线占地补助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占地补偿农户的人数</w:t>
            </w:r>
          </w:p>
        </w:tc>
        <w:tc>
          <w:tcPr>
            <w:tcW w:w="5386" w:type="dxa"/>
            <w:vAlign w:val="center"/>
          </w:tcPr>
          <w:p>
            <w:pPr>
              <w:pStyle w:val="12"/>
            </w:pPr>
            <w:r>
              <w:t>发放占地补偿农户的人数</w:t>
            </w:r>
          </w:p>
        </w:tc>
        <w:tc>
          <w:tcPr>
            <w:tcW w:w="2268" w:type="dxa"/>
            <w:vAlign w:val="center"/>
          </w:tcPr>
          <w:p>
            <w:pPr>
              <w:pStyle w:val="12"/>
            </w:pPr>
            <w:r>
              <w:t>≥50人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拨付是否及时</w:t>
            </w:r>
          </w:p>
        </w:tc>
        <w:tc>
          <w:tcPr>
            <w:tcW w:w="5386" w:type="dxa"/>
            <w:vAlign w:val="center"/>
          </w:tcPr>
          <w:p>
            <w:pPr>
              <w:pStyle w:val="12"/>
            </w:pPr>
            <w:r>
              <w:t>及时拨付农户</w:t>
            </w:r>
          </w:p>
        </w:tc>
        <w:tc>
          <w:tcPr>
            <w:tcW w:w="2268" w:type="dxa"/>
            <w:vAlign w:val="center"/>
          </w:tcPr>
          <w:p>
            <w:pPr>
              <w:pStyle w:val="12"/>
            </w:pPr>
            <w:r>
              <w:t>按年拨付</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按照标准进行补偿</w:t>
            </w:r>
          </w:p>
        </w:tc>
        <w:tc>
          <w:tcPr>
            <w:tcW w:w="2268" w:type="dxa"/>
            <w:vAlign w:val="center"/>
          </w:tcPr>
          <w:p>
            <w:pPr>
              <w:pStyle w:val="12"/>
            </w:pPr>
            <w:r>
              <w:t>1050元/亩</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13010925P000001100640</w:t>
            </w:r>
          </w:p>
        </w:tc>
        <w:tc>
          <w:tcPr>
            <w:tcW w:w="2835" w:type="dxa"/>
            <w:vAlign w:val="center"/>
          </w:tcPr>
          <w:p>
            <w:pPr>
              <w:pStyle w:val="10"/>
            </w:pPr>
            <w:r>
              <w:t>项目名称</w:t>
            </w:r>
          </w:p>
        </w:tc>
        <w:tc>
          <w:tcPr>
            <w:tcW w:w="6095" w:type="dxa"/>
            <w:gridSpan w:val="3"/>
            <w:vAlign w:val="center"/>
          </w:tcPr>
          <w:p>
            <w:pPr>
              <w:pStyle w:val="12"/>
            </w:pPr>
            <w:r>
              <w:t>农村独生子女费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用于发放农村独生子女费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w:t>
            </w:r>
          </w:p>
        </w:tc>
        <w:tc>
          <w:tcPr>
            <w:tcW w:w="2835" w:type="dxa"/>
            <w:vAlign w:val="center"/>
          </w:tcPr>
          <w:p>
            <w:pPr>
              <w:pStyle w:val="13"/>
            </w:pPr>
            <w:r>
              <w:t>2.40</w:t>
            </w:r>
          </w:p>
        </w:tc>
        <w:tc>
          <w:tcPr>
            <w:tcW w:w="2551" w:type="dxa"/>
            <w:vAlign w:val="center"/>
          </w:tcPr>
          <w:p>
            <w:pPr>
              <w:pStyle w:val="13"/>
            </w:pPr>
            <w:r>
              <w:t>3.60</w:t>
            </w:r>
          </w:p>
        </w:tc>
        <w:tc>
          <w:tcPr>
            <w:tcW w:w="3544" w:type="dxa"/>
            <w:gridSpan w:val="2"/>
            <w:vAlign w:val="center"/>
          </w:tcPr>
          <w:p>
            <w:pPr>
              <w:pStyle w:val="13"/>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1.保障农村独生子女家庭稳定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农村独生子女的人数</w:t>
            </w:r>
          </w:p>
        </w:tc>
        <w:tc>
          <w:tcPr>
            <w:tcW w:w="5386" w:type="dxa"/>
            <w:vAlign w:val="center"/>
          </w:tcPr>
          <w:p>
            <w:pPr>
              <w:pStyle w:val="12"/>
            </w:pPr>
            <w:r>
              <w:t>发放农村独生子女费的人数</w:t>
            </w:r>
          </w:p>
        </w:tc>
        <w:tc>
          <w:tcPr>
            <w:tcW w:w="2268" w:type="dxa"/>
            <w:vAlign w:val="center"/>
          </w:tcPr>
          <w:p>
            <w:pPr>
              <w:pStyle w:val="12"/>
            </w:pPr>
            <w:r>
              <w:t>≤340人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拨付资金占应发放工资的比例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及时发放农村独生子女费</w:t>
            </w:r>
          </w:p>
        </w:tc>
        <w:tc>
          <w:tcPr>
            <w:tcW w:w="2268" w:type="dxa"/>
            <w:vAlign w:val="center"/>
          </w:tcPr>
          <w:p>
            <w:pPr>
              <w:pStyle w:val="12"/>
            </w:pPr>
            <w:r>
              <w:t>按年发放</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每人发放的农村独生子女费</w:t>
            </w:r>
          </w:p>
        </w:tc>
        <w:tc>
          <w:tcPr>
            <w:tcW w:w="2268" w:type="dxa"/>
            <w:vAlign w:val="center"/>
          </w:tcPr>
          <w:p>
            <w:pPr>
              <w:pStyle w:val="12"/>
            </w:pPr>
            <w:r>
              <w:t>≥117.64元/人</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保障独生子女家庭稳定</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家庭满意度</w:t>
            </w:r>
          </w:p>
        </w:tc>
        <w:tc>
          <w:tcPr>
            <w:tcW w:w="5386" w:type="dxa"/>
            <w:vAlign w:val="center"/>
          </w:tcPr>
          <w:p>
            <w:pPr>
              <w:pStyle w:val="12"/>
            </w:pPr>
            <w:r>
              <w:t>拨付的满意程度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5、石财农【2023】86号 关于提前下达2024年中央农村综合改革转移支付预算的通知绩效目标表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13010924P00000110410W</w:t>
            </w:r>
          </w:p>
        </w:tc>
        <w:tc>
          <w:tcPr>
            <w:tcW w:w="2835" w:type="dxa"/>
            <w:vAlign w:val="center"/>
          </w:tcPr>
          <w:p>
            <w:pPr>
              <w:pStyle w:val="10"/>
            </w:pPr>
            <w:r>
              <w:t>项目名称</w:t>
            </w:r>
          </w:p>
        </w:tc>
        <w:tc>
          <w:tcPr>
            <w:tcW w:w="6095" w:type="dxa"/>
            <w:gridSpan w:val="3"/>
            <w:vAlign w:val="center"/>
          </w:tcPr>
          <w:p>
            <w:pPr>
              <w:pStyle w:val="12"/>
            </w:pPr>
            <w:r>
              <w:t>石财农【2023】86号 关于提前下达2024年中央农村综合改革转移支付预算的通知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推进农村公益事业建设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1.推进农村公益事业建设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村级个数</w:t>
            </w:r>
          </w:p>
        </w:tc>
        <w:tc>
          <w:tcPr>
            <w:tcW w:w="5386" w:type="dxa"/>
            <w:vAlign w:val="center"/>
          </w:tcPr>
          <w:p>
            <w:pPr>
              <w:pStyle w:val="12"/>
            </w:pPr>
            <w:r>
              <w:t>建设农村红色文化村级个数</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全部工程完工后验收符合行业标准质量</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按照年初预算标准合理分配及时拨付</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按照预算项目执行</w:t>
            </w:r>
          </w:p>
        </w:tc>
        <w:tc>
          <w:tcPr>
            <w:tcW w:w="2268" w:type="dxa"/>
            <w:vAlign w:val="center"/>
          </w:tcPr>
          <w:p>
            <w:pPr>
              <w:pStyle w:val="12"/>
            </w:pPr>
            <w:r>
              <w:t>元/项目</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农村红色文化水平得到提升</w:t>
            </w:r>
          </w:p>
        </w:tc>
        <w:tc>
          <w:tcPr>
            <w:tcW w:w="5386" w:type="dxa"/>
            <w:vAlign w:val="center"/>
          </w:tcPr>
          <w:p>
            <w:pPr>
              <w:pStyle w:val="12"/>
            </w:pPr>
            <w:r>
              <w:t>农村文化有所提升也得到了有效改善</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群众对当年农村红色文化建设的整体满意度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6、石财预【2024】33号关于提前下达2025年革命老区转移支付预算的通知（高玉村）绩效目标表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13010925P000009101299</w:t>
            </w:r>
          </w:p>
        </w:tc>
        <w:tc>
          <w:tcPr>
            <w:tcW w:w="2835" w:type="dxa"/>
            <w:vAlign w:val="center"/>
          </w:tcPr>
          <w:p>
            <w:pPr>
              <w:pStyle w:val="10"/>
            </w:pPr>
            <w:r>
              <w:t>项目名称</w:t>
            </w:r>
          </w:p>
        </w:tc>
        <w:tc>
          <w:tcPr>
            <w:tcW w:w="6095" w:type="dxa"/>
            <w:gridSpan w:val="3"/>
            <w:vAlign w:val="center"/>
          </w:tcPr>
          <w:p>
            <w:pPr>
              <w:pStyle w:val="12"/>
            </w:pPr>
            <w:r>
              <w:t>石财预【2024】33号关于提前下达2025年革命老区转移支付预算的通知（高玉村）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138.00</w:t>
            </w:r>
          </w:p>
        </w:tc>
        <w:tc>
          <w:tcPr>
            <w:tcW w:w="2835" w:type="dxa"/>
            <w:vAlign w:val="center"/>
          </w:tcPr>
          <w:p>
            <w:pPr>
              <w:pStyle w:val="10"/>
            </w:pPr>
            <w:r>
              <w:t>其中：财政    资金</w:t>
            </w:r>
          </w:p>
        </w:tc>
        <w:tc>
          <w:tcPr>
            <w:tcW w:w="2551" w:type="dxa"/>
            <w:vAlign w:val="center"/>
          </w:tcPr>
          <w:p>
            <w:pPr>
              <w:pStyle w:val="12"/>
            </w:pPr>
            <w:r>
              <w:t>138.00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用于完成高玉村道路修建，为居民出行提供方便。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82.80</w:t>
            </w:r>
          </w:p>
        </w:tc>
        <w:tc>
          <w:tcPr>
            <w:tcW w:w="2551" w:type="dxa"/>
            <w:vAlign w:val="center"/>
          </w:tcPr>
          <w:p>
            <w:pPr>
              <w:pStyle w:val="13"/>
            </w:pPr>
            <w:r>
              <w:t>124.20</w:t>
            </w:r>
          </w:p>
        </w:tc>
        <w:tc>
          <w:tcPr>
            <w:tcW w:w="3544" w:type="dxa"/>
            <w:gridSpan w:val="2"/>
            <w:vAlign w:val="center"/>
          </w:tcPr>
          <w:p>
            <w:pPr>
              <w:pStyle w:val="13"/>
            </w:pPr>
            <w:r>
              <w:t>138.00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1.完成高玉村道路修建，为居民出行提供方便。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道路条数</w:t>
            </w:r>
          </w:p>
        </w:tc>
        <w:tc>
          <w:tcPr>
            <w:tcW w:w="5386" w:type="dxa"/>
            <w:vAlign w:val="center"/>
          </w:tcPr>
          <w:p>
            <w:pPr>
              <w:pStyle w:val="12"/>
            </w:pPr>
            <w:r>
              <w:t>用资金建设的道路数量</w:t>
            </w:r>
          </w:p>
        </w:tc>
        <w:tc>
          <w:tcPr>
            <w:tcW w:w="2268" w:type="dxa"/>
            <w:vAlign w:val="center"/>
          </w:tcPr>
          <w:p>
            <w:pPr>
              <w:pStyle w:val="12"/>
            </w:pPr>
            <w:r>
              <w:t>≥2条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质量是否达到标准</w:t>
            </w:r>
          </w:p>
        </w:tc>
        <w:tc>
          <w:tcPr>
            <w:tcW w:w="5386" w:type="dxa"/>
            <w:vAlign w:val="center"/>
          </w:tcPr>
          <w:p>
            <w:pPr>
              <w:pStyle w:val="12"/>
            </w:pPr>
            <w:r>
              <w:t>道路质量是否达到标准</w:t>
            </w:r>
          </w:p>
        </w:tc>
        <w:tc>
          <w:tcPr>
            <w:tcW w:w="2268" w:type="dxa"/>
            <w:vAlign w:val="center"/>
          </w:tcPr>
          <w:p>
            <w:pPr>
              <w:pStyle w:val="12"/>
            </w:pPr>
            <w:r>
              <w:t>≥95%</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完成道路修建需要多长时间</w:t>
            </w:r>
          </w:p>
        </w:tc>
        <w:tc>
          <w:tcPr>
            <w:tcW w:w="2268" w:type="dxa"/>
            <w:vAlign w:val="center"/>
          </w:tcPr>
          <w:p>
            <w:pPr>
              <w:pStyle w:val="12"/>
            </w:pPr>
            <w:r>
              <w:t>≥3月</w:t>
            </w:r>
          </w:p>
        </w:tc>
        <w:tc>
          <w:tcPr>
            <w:tcW w:w="1276" w:type="dxa"/>
            <w:vAlign w:val="center"/>
          </w:tcPr>
          <w:p>
            <w:pPr>
              <w:pStyle w:val="12"/>
            </w:pPr>
            <w:r>
              <w:t>工程进度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w:t>
            </w:r>
          </w:p>
        </w:tc>
        <w:tc>
          <w:tcPr>
            <w:tcW w:w="5386" w:type="dxa"/>
            <w:vAlign w:val="center"/>
          </w:tcPr>
          <w:p>
            <w:pPr>
              <w:pStyle w:val="12"/>
            </w:pPr>
            <w:r>
              <w:t>修建道路需要的资金金额</w:t>
            </w:r>
          </w:p>
        </w:tc>
        <w:tc>
          <w:tcPr>
            <w:tcW w:w="2268" w:type="dxa"/>
            <w:vAlign w:val="center"/>
          </w:tcPr>
          <w:p>
            <w:pPr>
              <w:pStyle w:val="12"/>
            </w:pPr>
            <w:r>
              <w:t>≥138万元</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为民服务开展程度</w:t>
            </w:r>
          </w:p>
        </w:tc>
        <w:tc>
          <w:tcPr>
            <w:tcW w:w="5386" w:type="dxa"/>
            <w:vAlign w:val="center"/>
          </w:tcPr>
          <w:p>
            <w:pPr>
              <w:pStyle w:val="12"/>
            </w:pPr>
            <w:r>
              <w:t>道路修建为村民出行提供的方便程度</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群众对道路的满意度</w:t>
            </w:r>
          </w:p>
        </w:tc>
        <w:tc>
          <w:tcPr>
            <w:tcW w:w="5386" w:type="dxa"/>
            <w:vAlign w:val="center"/>
          </w:tcPr>
          <w:p>
            <w:pPr>
              <w:pStyle w:val="12"/>
            </w:pPr>
            <w:r>
              <w:t>群众对新修道路的满意程度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13010925P000001100667</w:t>
            </w:r>
          </w:p>
        </w:tc>
        <w:tc>
          <w:tcPr>
            <w:tcW w:w="2835" w:type="dxa"/>
            <w:vAlign w:val="center"/>
          </w:tcPr>
          <w:p>
            <w:pPr>
              <w:pStyle w:val="10"/>
            </w:pPr>
            <w:r>
              <w:t>项目名称</w:t>
            </w:r>
          </w:p>
        </w:tc>
        <w:tc>
          <w:tcPr>
            <w:tcW w:w="6095" w:type="dxa"/>
            <w:gridSpan w:val="3"/>
            <w:vAlign w:val="center"/>
          </w:tcPr>
          <w:p>
            <w:pPr>
              <w:pStyle w:val="12"/>
            </w:pPr>
            <w:r>
              <w:t>学区工会费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19.32</w:t>
            </w:r>
          </w:p>
        </w:tc>
        <w:tc>
          <w:tcPr>
            <w:tcW w:w="2835" w:type="dxa"/>
            <w:vAlign w:val="center"/>
          </w:tcPr>
          <w:p>
            <w:pPr>
              <w:pStyle w:val="10"/>
            </w:pPr>
            <w:r>
              <w:t>其中：财政    资金</w:t>
            </w:r>
          </w:p>
        </w:tc>
        <w:tc>
          <w:tcPr>
            <w:tcW w:w="2551" w:type="dxa"/>
            <w:vAlign w:val="center"/>
          </w:tcPr>
          <w:p>
            <w:pPr>
              <w:pStyle w:val="12"/>
            </w:pPr>
            <w:r>
              <w:t>19.32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保障工会费及时、足额上缴，保障工会工作的正常运转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5.80</w:t>
            </w:r>
          </w:p>
        </w:tc>
        <w:tc>
          <w:tcPr>
            <w:tcW w:w="2835" w:type="dxa"/>
            <w:vAlign w:val="center"/>
          </w:tcPr>
          <w:p>
            <w:pPr>
              <w:pStyle w:val="13"/>
            </w:pPr>
            <w:r>
              <w:t>11.59</w:t>
            </w:r>
          </w:p>
        </w:tc>
        <w:tc>
          <w:tcPr>
            <w:tcW w:w="2551" w:type="dxa"/>
            <w:vAlign w:val="center"/>
          </w:tcPr>
          <w:p>
            <w:pPr>
              <w:pStyle w:val="13"/>
            </w:pPr>
            <w:r>
              <w:t>17.39</w:t>
            </w:r>
          </w:p>
        </w:tc>
        <w:tc>
          <w:tcPr>
            <w:tcW w:w="3544" w:type="dxa"/>
            <w:gridSpan w:val="2"/>
            <w:vAlign w:val="center"/>
          </w:tcPr>
          <w:p>
            <w:pPr>
              <w:pStyle w:val="13"/>
            </w:pPr>
            <w:r>
              <w:t>19.32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1.保障工会费及时、足额上缴，保障工会工作的正常运转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梅花镇中心校在职人数</w:t>
            </w:r>
          </w:p>
        </w:tc>
        <w:tc>
          <w:tcPr>
            <w:tcW w:w="5386" w:type="dxa"/>
            <w:vAlign w:val="center"/>
          </w:tcPr>
          <w:p>
            <w:pPr>
              <w:pStyle w:val="12"/>
            </w:pPr>
            <w:r>
              <w:t>上缴工会费的人数</w:t>
            </w:r>
          </w:p>
        </w:tc>
        <w:tc>
          <w:tcPr>
            <w:tcW w:w="2268" w:type="dxa"/>
            <w:vAlign w:val="center"/>
          </w:tcPr>
          <w:p>
            <w:pPr>
              <w:pStyle w:val="12"/>
            </w:pPr>
            <w:r>
              <w:t>340人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按照区工会安排时间及时上缴</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w:t>
            </w:r>
          </w:p>
        </w:tc>
        <w:tc>
          <w:tcPr>
            <w:tcW w:w="2268" w:type="dxa"/>
            <w:vAlign w:val="center"/>
          </w:tcPr>
          <w:p>
            <w:pPr>
              <w:pStyle w:val="12"/>
            </w:pPr>
            <w:r>
              <w:t>568元/人</w:t>
            </w:r>
          </w:p>
        </w:tc>
        <w:tc>
          <w:tcPr>
            <w:tcW w:w="1276" w:type="dxa"/>
            <w:vAlign w:val="center"/>
          </w:tcPr>
          <w:p>
            <w:pPr>
              <w:pStyle w:val="12"/>
            </w:pPr>
            <w:r>
              <w:t>查看预算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w:t>
            </w:r>
          </w:p>
        </w:tc>
        <w:tc>
          <w:tcPr>
            <w:tcW w:w="1276" w:type="dxa"/>
            <w:vAlign w:val="center"/>
          </w:tcPr>
          <w:p>
            <w:pPr>
              <w:pStyle w:val="12"/>
            </w:pPr>
            <w:r>
              <w:t>随机走访</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对政府供给工作的满意度</w:t>
            </w:r>
          </w:p>
        </w:tc>
        <w:tc>
          <w:tcPr>
            <w:tcW w:w="2268" w:type="dxa"/>
            <w:vAlign w:val="center"/>
          </w:tcPr>
          <w:p>
            <w:pPr>
              <w:pStyle w:val="12"/>
            </w:pPr>
            <w:r>
              <w:t>≥90%</w:t>
            </w:r>
          </w:p>
        </w:tc>
        <w:tc>
          <w:tcPr>
            <w:tcW w:w="1276" w:type="dxa"/>
            <w:vAlign w:val="center"/>
          </w:tcPr>
          <w:p>
            <w:pPr>
              <w:pStyle w:val="12"/>
            </w:pPr>
            <w:r>
              <w:t>考核结果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8、原经贸回乡涉军人员补贴绩效目标表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13010925P00000110062Q</w:t>
            </w:r>
          </w:p>
        </w:tc>
        <w:tc>
          <w:tcPr>
            <w:tcW w:w="2835" w:type="dxa"/>
            <w:vAlign w:val="center"/>
          </w:tcPr>
          <w:p>
            <w:pPr>
              <w:pStyle w:val="10"/>
            </w:pPr>
            <w:r>
              <w:t>项目名称</w:t>
            </w:r>
          </w:p>
        </w:tc>
        <w:tc>
          <w:tcPr>
            <w:tcW w:w="6095" w:type="dxa"/>
            <w:gridSpan w:val="3"/>
            <w:vAlign w:val="center"/>
          </w:tcPr>
          <w:p>
            <w:pPr>
              <w:pStyle w:val="12"/>
            </w:pPr>
            <w:r>
              <w:t>原经贸回乡涉军人员补贴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w:t>
            </w:r>
          </w:p>
        </w:tc>
        <w:tc>
          <w:tcPr>
            <w:tcW w:w="2835" w:type="dxa"/>
            <w:vAlign w:val="center"/>
          </w:tcPr>
          <w:p>
            <w:pPr>
              <w:pStyle w:val="10"/>
            </w:pPr>
            <w:r>
              <w:t>其中：财政    资金</w:t>
            </w:r>
          </w:p>
        </w:tc>
        <w:tc>
          <w:tcPr>
            <w:tcW w:w="2551" w:type="dxa"/>
            <w:vAlign w:val="center"/>
          </w:tcPr>
          <w:p>
            <w:pPr>
              <w:pStyle w:val="12"/>
            </w:pPr>
            <w:r>
              <w:t>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用于原经贸系统关闭企业下放回乡的合同工、副业工涉军人员的生活补贴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1.17</w:t>
            </w:r>
          </w:p>
        </w:tc>
        <w:tc>
          <w:tcPr>
            <w:tcW w:w="2835" w:type="dxa"/>
            <w:vAlign w:val="center"/>
          </w:tcPr>
          <w:p>
            <w:pPr>
              <w:pStyle w:val="13"/>
            </w:pPr>
            <w:r>
              <w:t>2.33</w:t>
            </w:r>
          </w:p>
        </w:tc>
        <w:tc>
          <w:tcPr>
            <w:tcW w:w="2551" w:type="dxa"/>
            <w:vAlign w:val="center"/>
          </w:tcPr>
          <w:p>
            <w:pPr>
              <w:pStyle w:val="13"/>
            </w:pPr>
            <w:r>
              <w:t>3.50</w:t>
            </w:r>
          </w:p>
        </w:tc>
        <w:tc>
          <w:tcPr>
            <w:tcW w:w="3544" w:type="dxa"/>
            <w:gridSpan w:val="2"/>
            <w:vAlign w:val="center"/>
          </w:tcPr>
          <w:p>
            <w:pPr>
              <w:pStyle w:val="13"/>
            </w:pPr>
            <w:r>
              <w:t>3.89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1.通过对原经贸系统关闭企业下放回乡的合同工、副业工涉军人员生活补贴，促进社会和谐稳定。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原经贸回乡涉军人员人数</w:t>
            </w:r>
          </w:p>
        </w:tc>
        <w:tc>
          <w:tcPr>
            <w:tcW w:w="5386" w:type="dxa"/>
            <w:vAlign w:val="center"/>
          </w:tcPr>
          <w:p>
            <w:pPr>
              <w:pStyle w:val="12"/>
            </w:pPr>
            <w:r>
              <w:t>发放原经贸回乡涉军人员补贴的人数</w:t>
            </w:r>
          </w:p>
        </w:tc>
        <w:tc>
          <w:tcPr>
            <w:tcW w:w="2268" w:type="dxa"/>
            <w:vAlign w:val="center"/>
          </w:tcPr>
          <w:p>
            <w:pPr>
              <w:pStyle w:val="12"/>
            </w:pPr>
            <w:r>
              <w:t>≤16人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拨付资金占应发放生活补贴的比例</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是否及时发放补贴</w:t>
            </w:r>
          </w:p>
        </w:tc>
        <w:tc>
          <w:tcPr>
            <w:tcW w:w="2268" w:type="dxa"/>
            <w:vAlign w:val="center"/>
          </w:tcPr>
          <w:p>
            <w:pPr>
              <w:pStyle w:val="12"/>
            </w:pPr>
            <w:r>
              <w:t>按年发放</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涉军人员补贴标准</w:t>
            </w:r>
          </w:p>
        </w:tc>
        <w:tc>
          <w:tcPr>
            <w:tcW w:w="2268" w:type="dxa"/>
            <w:vAlign w:val="center"/>
          </w:tcPr>
          <w:p>
            <w:pPr>
              <w:pStyle w:val="12"/>
            </w:pPr>
            <w:r>
              <w:t>≤2431.25元/人</w:t>
            </w:r>
          </w:p>
        </w:tc>
        <w:tc>
          <w:tcPr>
            <w:tcW w:w="1276" w:type="dxa"/>
            <w:vAlign w:val="center"/>
          </w:tcPr>
          <w:p>
            <w:pPr>
              <w:pStyle w:val="12"/>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开展为民服务保障能力提升情况</w:t>
            </w:r>
          </w:p>
        </w:tc>
        <w:tc>
          <w:tcPr>
            <w:tcW w:w="5386" w:type="dxa"/>
            <w:vAlign w:val="center"/>
          </w:tcPr>
          <w:p>
            <w:pPr>
              <w:pStyle w:val="12"/>
            </w:pPr>
            <w:r>
              <w:t>保障经贸系统下方回乡的涉军人员生活</w:t>
            </w:r>
          </w:p>
        </w:tc>
        <w:tc>
          <w:tcPr>
            <w:tcW w:w="2268" w:type="dxa"/>
            <w:vAlign w:val="center"/>
          </w:tcPr>
          <w:p>
            <w:pPr>
              <w:pStyle w:val="12"/>
            </w:pPr>
            <w:r>
              <w:t>较上年有所提升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受益群体满意度指标</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13010925P000001100615</w:t>
            </w:r>
          </w:p>
        </w:tc>
        <w:tc>
          <w:tcPr>
            <w:tcW w:w="2835" w:type="dxa"/>
            <w:vAlign w:val="center"/>
          </w:tcPr>
          <w:p>
            <w:pPr>
              <w:pStyle w:val="10"/>
            </w:pPr>
            <w:r>
              <w:t>项目名称</w:t>
            </w:r>
          </w:p>
        </w:tc>
        <w:tc>
          <w:tcPr>
            <w:tcW w:w="6095" w:type="dxa"/>
            <w:gridSpan w:val="3"/>
            <w:vAlign w:val="center"/>
          </w:tcPr>
          <w:p>
            <w:pPr>
              <w:pStyle w:val="12"/>
            </w:pPr>
            <w:r>
              <w:t>政府工会费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w:t>
            </w:r>
          </w:p>
        </w:tc>
        <w:tc>
          <w:tcPr>
            <w:tcW w:w="2835" w:type="dxa"/>
            <w:vAlign w:val="center"/>
          </w:tcPr>
          <w:p>
            <w:pPr>
              <w:pStyle w:val="10"/>
            </w:pPr>
            <w:r>
              <w:t>其中：财政    资金</w:t>
            </w:r>
          </w:p>
        </w:tc>
        <w:tc>
          <w:tcPr>
            <w:tcW w:w="2551" w:type="dxa"/>
            <w:vAlign w:val="center"/>
          </w:tcPr>
          <w:p>
            <w:pPr>
              <w:pStyle w:val="12"/>
            </w:pPr>
            <w:r>
              <w:t>2.79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用于梅花镇政府工会费按时、足额上缴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0.84</w:t>
            </w:r>
          </w:p>
        </w:tc>
        <w:tc>
          <w:tcPr>
            <w:tcW w:w="2835" w:type="dxa"/>
            <w:vAlign w:val="center"/>
          </w:tcPr>
          <w:p>
            <w:pPr>
              <w:pStyle w:val="13"/>
            </w:pPr>
            <w:r>
              <w:t>1.67</w:t>
            </w:r>
          </w:p>
        </w:tc>
        <w:tc>
          <w:tcPr>
            <w:tcW w:w="2551" w:type="dxa"/>
            <w:vAlign w:val="center"/>
          </w:tcPr>
          <w:p>
            <w:pPr>
              <w:pStyle w:val="13"/>
            </w:pPr>
            <w:r>
              <w:t>2.51</w:t>
            </w:r>
          </w:p>
        </w:tc>
        <w:tc>
          <w:tcPr>
            <w:tcW w:w="3544" w:type="dxa"/>
            <w:gridSpan w:val="2"/>
            <w:vAlign w:val="center"/>
          </w:tcPr>
          <w:p>
            <w:pPr>
              <w:pStyle w:val="13"/>
            </w:pPr>
            <w:r>
              <w:t>2.79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1.保障工会费按时、足额上缴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梅花镇政府在职人数</w:t>
            </w:r>
          </w:p>
        </w:tc>
        <w:tc>
          <w:tcPr>
            <w:tcW w:w="5386" w:type="dxa"/>
            <w:vAlign w:val="center"/>
          </w:tcPr>
          <w:p>
            <w:pPr>
              <w:pStyle w:val="12"/>
            </w:pPr>
            <w:r>
              <w:t>上缴工会费的人数</w:t>
            </w:r>
          </w:p>
        </w:tc>
        <w:tc>
          <w:tcPr>
            <w:tcW w:w="2268" w:type="dxa"/>
            <w:vAlign w:val="center"/>
          </w:tcPr>
          <w:p>
            <w:pPr>
              <w:pStyle w:val="12"/>
            </w:pPr>
            <w:r>
              <w:t>≥60人</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上缴资金及时性</w:t>
            </w:r>
          </w:p>
        </w:tc>
        <w:tc>
          <w:tcPr>
            <w:tcW w:w="5386" w:type="dxa"/>
            <w:vAlign w:val="center"/>
          </w:tcPr>
          <w:p>
            <w:pPr>
              <w:pStyle w:val="12"/>
            </w:pPr>
            <w:r>
              <w:t>按照区工会安排时间进度上缴工会费</w:t>
            </w:r>
          </w:p>
        </w:tc>
        <w:tc>
          <w:tcPr>
            <w:tcW w:w="2268" w:type="dxa"/>
            <w:vAlign w:val="center"/>
          </w:tcPr>
          <w:p>
            <w:pPr>
              <w:pStyle w:val="12"/>
            </w:pPr>
            <w:r>
              <w:t>按照区工会安排及时上缴</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每人上缴的工会费标准</w:t>
            </w:r>
          </w:p>
        </w:tc>
        <w:tc>
          <w:tcPr>
            <w:tcW w:w="2268" w:type="dxa"/>
            <w:vAlign w:val="center"/>
          </w:tcPr>
          <w:p>
            <w:pPr>
              <w:pStyle w:val="12"/>
            </w:pPr>
            <w:r>
              <w:t>≤465元/人</w:t>
            </w:r>
          </w:p>
        </w:tc>
        <w:tc>
          <w:tcPr>
            <w:tcW w:w="1276" w:type="dxa"/>
            <w:vAlign w:val="center"/>
          </w:tcPr>
          <w:p>
            <w:pPr>
              <w:pStyle w:val="12"/>
            </w:pPr>
            <w:r>
              <w:t>查看预算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w:t>
            </w:r>
          </w:p>
        </w:tc>
        <w:tc>
          <w:tcPr>
            <w:tcW w:w="1276" w:type="dxa"/>
            <w:vAlign w:val="center"/>
          </w:tcPr>
          <w:p>
            <w:pPr>
              <w:pStyle w:val="12"/>
            </w:pPr>
            <w:r>
              <w:t>随机走访</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群众对当年工作的满意数量占总数的比例</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10、综合工作经费（人居环境、安全生产、土地、环保、信访、临时人员工资、武装等工作经费）绩效目标表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13010925P00000110096T</w:t>
            </w:r>
          </w:p>
        </w:tc>
        <w:tc>
          <w:tcPr>
            <w:tcW w:w="2835" w:type="dxa"/>
            <w:vAlign w:val="center"/>
          </w:tcPr>
          <w:p>
            <w:pPr>
              <w:pStyle w:val="10"/>
            </w:pPr>
            <w:r>
              <w:t>项目名称</w:t>
            </w:r>
          </w:p>
        </w:tc>
        <w:tc>
          <w:tcPr>
            <w:tcW w:w="6095" w:type="dxa"/>
            <w:gridSpan w:val="3"/>
            <w:vAlign w:val="center"/>
          </w:tcPr>
          <w:p>
            <w:pPr>
              <w:pStyle w:val="12"/>
            </w:pPr>
            <w:r>
              <w:t>综合工作经费（人居环境、安全生产、土地、环保、信访、临时人员工资、武装等工作经费）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187.00</w:t>
            </w:r>
          </w:p>
        </w:tc>
        <w:tc>
          <w:tcPr>
            <w:tcW w:w="2835" w:type="dxa"/>
            <w:vAlign w:val="center"/>
          </w:tcPr>
          <w:p>
            <w:pPr>
              <w:pStyle w:val="10"/>
            </w:pPr>
            <w:r>
              <w:t>其中：财政    资金</w:t>
            </w:r>
          </w:p>
        </w:tc>
        <w:tc>
          <w:tcPr>
            <w:tcW w:w="2551" w:type="dxa"/>
            <w:vAlign w:val="center"/>
          </w:tcPr>
          <w:p>
            <w:pPr>
              <w:pStyle w:val="12"/>
            </w:pPr>
            <w:r>
              <w:t>187.00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提升梅花镇的乡村建设与人居环境整治水平，保障梅花镇开展人居环境、安全生产、土地、环保、信访、临时人员工资、武装等各项工作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112.20</w:t>
            </w:r>
          </w:p>
        </w:tc>
        <w:tc>
          <w:tcPr>
            <w:tcW w:w="2551" w:type="dxa"/>
            <w:vAlign w:val="center"/>
          </w:tcPr>
          <w:p>
            <w:pPr>
              <w:pStyle w:val="13"/>
            </w:pPr>
            <w:r>
              <w:t>168.30</w:t>
            </w:r>
          </w:p>
        </w:tc>
        <w:tc>
          <w:tcPr>
            <w:tcW w:w="3544" w:type="dxa"/>
            <w:gridSpan w:val="2"/>
            <w:vAlign w:val="center"/>
          </w:tcPr>
          <w:p>
            <w:pPr>
              <w:pStyle w:val="13"/>
            </w:pPr>
            <w:r>
              <w:t>187.00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1.提升梅花镇的乡村建设与人居环境整治水平，保障梅花镇开展人居环境、安全生产、土地、环保、信访、临时人员工资、武装等各项工作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包含覆盖率</w:t>
            </w:r>
          </w:p>
        </w:tc>
        <w:tc>
          <w:tcPr>
            <w:tcW w:w="5386" w:type="dxa"/>
            <w:vAlign w:val="center"/>
          </w:tcPr>
          <w:p>
            <w:pPr>
              <w:pStyle w:val="12"/>
            </w:pPr>
            <w:r>
              <w:t>各项工作完成情况覆盖的村级个数</w:t>
            </w:r>
          </w:p>
        </w:tc>
        <w:tc>
          <w:tcPr>
            <w:tcW w:w="2268" w:type="dxa"/>
            <w:vAlign w:val="center"/>
          </w:tcPr>
          <w:p>
            <w:pPr>
              <w:pStyle w:val="12"/>
            </w:pPr>
            <w:r>
              <w:t>19个</w:t>
            </w:r>
          </w:p>
        </w:tc>
        <w:tc>
          <w:tcPr>
            <w:tcW w:w="1276" w:type="dxa"/>
            <w:vAlign w:val="center"/>
          </w:tcPr>
          <w:p>
            <w:pPr>
              <w:pStyle w:val="12"/>
            </w:pPr>
            <w:r>
              <w:t>工作检查、考核报告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项目资金保障率</w:t>
            </w:r>
          </w:p>
        </w:tc>
        <w:tc>
          <w:tcPr>
            <w:tcW w:w="5386" w:type="dxa"/>
            <w:vAlign w:val="center"/>
          </w:tcPr>
          <w:p>
            <w:pPr>
              <w:pStyle w:val="12"/>
            </w:pPr>
            <w:r>
              <w:t>能够保障资金的工作任务占总任务量的比例</w:t>
            </w:r>
          </w:p>
        </w:tc>
        <w:tc>
          <w:tcPr>
            <w:tcW w:w="2268" w:type="dxa"/>
            <w:vAlign w:val="center"/>
          </w:tcPr>
          <w:p>
            <w:pPr>
              <w:pStyle w:val="12"/>
            </w:pPr>
            <w:r>
              <w:t>≥95%</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项目资金支出完成25%</w:t>
            </w:r>
          </w:p>
        </w:tc>
        <w:tc>
          <w:tcPr>
            <w:tcW w:w="2268" w:type="dxa"/>
            <w:vAlign w:val="center"/>
          </w:tcPr>
          <w:p>
            <w:pPr>
              <w:pStyle w:val="12"/>
            </w:pPr>
            <w:r>
              <w:t>每三个月</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用于各村信访、环保、土地、安全生产的工作经费</w:t>
            </w:r>
          </w:p>
        </w:tc>
        <w:tc>
          <w:tcPr>
            <w:tcW w:w="2268" w:type="dxa"/>
            <w:vAlign w:val="center"/>
          </w:tcPr>
          <w:p>
            <w:pPr>
              <w:pStyle w:val="12"/>
            </w:pPr>
            <w:r>
              <w:t>≤9.84万元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开展为民服务保障率</w:t>
            </w:r>
          </w:p>
        </w:tc>
        <w:tc>
          <w:tcPr>
            <w:tcW w:w="5386" w:type="dxa"/>
            <w:vAlign w:val="center"/>
          </w:tcPr>
          <w:p>
            <w:pPr>
              <w:pStyle w:val="12"/>
            </w:pPr>
            <w:r>
              <w:t>保障梅花镇正常开展为民服务工作</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138.00</w:t>
            </w:r>
          </w:p>
        </w:tc>
        <w:tc>
          <w:tcPr>
            <w:tcW w:w="964" w:type="dxa"/>
            <w:vAlign w:val="center"/>
          </w:tcPr>
          <w:p>
            <w:pPr>
              <w:pStyle w:val="15"/>
            </w:pPr>
            <w:r>
              <w:t>138.00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石家庄市藁城区梅花镇人民政府本级小计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138.00</w:t>
            </w:r>
          </w:p>
        </w:tc>
        <w:tc>
          <w:tcPr>
            <w:tcW w:w="964" w:type="dxa"/>
            <w:vAlign w:val="center"/>
          </w:tcPr>
          <w:p>
            <w:pPr>
              <w:pStyle w:val="15"/>
            </w:pPr>
            <w:r>
              <w:t>138.00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石财预【2024】33号关于提前下达2025年革命老区转移支付预算的通知（高玉村）</w:t>
            </w:r>
          </w:p>
        </w:tc>
        <w:tc>
          <w:tcPr>
            <w:tcW w:w="964" w:type="dxa"/>
            <w:vAlign w:val="center"/>
          </w:tcPr>
          <w:p>
            <w:pPr>
              <w:pStyle w:val="11"/>
            </w:pPr>
            <w:r>
              <w:t>138.00</w:t>
            </w:r>
          </w:p>
        </w:tc>
        <w:tc>
          <w:tcPr>
            <w:tcW w:w="1134" w:type="dxa"/>
            <w:vAlign w:val="center"/>
          </w:tcPr>
          <w:p>
            <w:pPr>
              <w:pStyle w:val="12"/>
            </w:pPr>
            <w:r>
              <w:t>其他公共设施施工</w:t>
            </w:r>
          </w:p>
        </w:tc>
        <w:tc>
          <w:tcPr>
            <w:tcW w:w="1134" w:type="dxa"/>
            <w:vAlign w:val="center"/>
          </w:tcPr>
          <w:p>
            <w:pPr>
              <w:pStyle w:val="12"/>
            </w:pPr>
            <w:r>
              <w:t>B02139900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138.00</w:t>
            </w:r>
          </w:p>
        </w:tc>
        <w:tc>
          <w:tcPr>
            <w:tcW w:w="964" w:type="dxa"/>
            <w:vAlign w:val="center"/>
          </w:tcPr>
          <w:p>
            <w:pPr>
              <w:pStyle w:val="11"/>
            </w:pPr>
            <w:r>
              <w:t>138.00</w:t>
            </w:r>
          </w:p>
        </w:tc>
        <w:tc>
          <w:tcPr>
            <w:tcW w:w="964" w:type="dxa"/>
            <w:vAlign w:val="center"/>
          </w:tcPr>
          <w:p>
            <w:pPr>
              <w:pStyle w:val="11"/>
            </w:pPr>
            <w:r>
              <w:t>138.00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石家庄市藁城区梅花镇人民政府本级上年末固定资产金额为1050.34万元（详见下表）。本年度拟购置固定资产总额为0.00万元，已按要求列入政府采购预算，详见政府采购预算表。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807001石家庄市藁城区梅花镇人民政府本级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3629</w:t>
            </w:r>
          </w:p>
        </w:tc>
        <w:tc>
          <w:tcPr>
            <w:tcW w:w="2835" w:type="dxa"/>
            <w:vAlign w:val="center"/>
          </w:tcPr>
          <w:p>
            <w:pPr>
              <w:pStyle w:val="11"/>
            </w:pPr>
            <w:r>
              <w:t>16.67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1029</w:t>
            </w:r>
          </w:p>
        </w:tc>
        <w:tc>
          <w:tcPr>
            <w:tcW w:w="2835" w:type="dxa"/>
            <w:vAlign w:val="center"/>
          </w:tcPr>
          <w:p>
            <w:pPr>
              <w:pStyle w:val="11"/>
            </w:pPr>
            <w:r>
              <w:t>1018.02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44E7C4C"/>
    <w:rsid w:val="5A827144"/>
    <w:rsid w:val="778038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3</TotalTime>
  <ScaleCrop>false</ScaleCrop>
  <LinksUpToDate>false</LinksUpToDate>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Administrator</dc:creator>
  <cp:lastModifiedBy>Administrator</cp:lastModifiedBy>
  <dcterms:modified xsi:type="dcterms:W3CDTF">2025-02-13T02:42:53Z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