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302石家庄市藁城区数据和政务服务局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1676.82</w:t>
            </w:r>
          </w:p>
        </w:tc>
        <w:tc>
          <w:tcPr>
            <w:tcW w:w="4535" w:type="dxa"/>
            <w:vAlign w:val="center"/>
          </w:tcPr>
          <w:p>
            <w:pPr>
              <w:pStyle w:val="13"/>
            </w:pPr>
            <w:r>
              <w:t>一、一般公共服务支出</w:t>
            </w:r>
          </w:p>
        </w:tc>
        <w:tc>
          <w:tcPr>
            <w:tcW w:w="2126" w:type="dxa"/>
            <w:vAlign w:val="center"/>
          </w:tcPr>
          <w:p>
            <w:pPr>
              <w:pStyle w:val="12"/>
            </w:pPr>
            <w:r>
              <w:t>1354.90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100.00</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64.05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79.37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1776.82</w:t>
            </w:r>
          </w:p>
        </w:tc>
        <w:tc>
          <w:tcPr>
            <w:tcW w:w="4535" w:type="dxa"/>
            <w:vAlign w:val="center"/>
          </w:tcPr>
          <w:p>
            <w:pPr>
              <w:pStyle w:val="15"/>
            </w:pPr>
            <w:r>
              <w:t>本年支出合计</w:t>
            </w:r>
          </w:p>
        </w:tc>
        <w:tc>
          <w:tcPr>
            <w:tcW w:w="2126" w:type="dxa"/>
            <w:vAlign w:val="center"/>
          </w:tcPr>
          <w:p>
            <w:pPr>
              <w:pStyle w:val="16"/>
            </w:pPr>
            <w:r>
              <w:t>1776.82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1776.82</w:t>
            </w:r>
          </w:p>
        </w:tc>
        <w:tc>
          <w:tcPr>
            <w:tcW w:w="4535" w:type="dxa"/>
            <w:vAlign w:val="center"/>
          </w:tcPr>
          <w:p>
            <w:pPr>
              <w:pStyle w:val="15"/>
            </w:pPr>
            <w:r>
              <w:t>支出总计</w:t>
            </w:r>
          </w:p>
        </w:tc>
        <w:tc>
          <w:tcPr>
            <w:tcW w:w="2126" w:type="dxa"/>
            <w:vAlign w:val="center"/>
          </w:tcPr>
          <w:p>
            <w:pPr>
              <w:pStyle w:val="16"/>
            </w:pPr>
            <w:r>
              <w:t>1776.82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302石家庄市藁城区数据和政务服务局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1776.82</w:t>
            </w:r>
          </w:p>
        </w:tc>
        <w:tc>
          <w:tcPr>
            <w:tcW w:w="1134" w:type="dxa"/>
            <w:vAlign w:val="center"/>
          </w:tcPr>
          <w:p>
            <w:pPr>
              <w:pStyle w:val="16"/>
            </w:pPr>
            <w:r>
              <w:t>1776.82</w:t>
            </w:r>
          </w:p>
        </w:tc>
        <w:tc>
          <w:tcPr>
            <w:tcW w:w="1134" w:type="dxa"/>
            <w:vAlign w:val="center"/>
          </w:tcPr>
          <w:p>
            <w:pPr>
              <w:pStyle w:val="16"/>
            </w:pPr>
            <w:r>
              <w:t>1776.82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1354.90</w:t>
            </w:r>
          </w:p>
        </w:tc>
        <w:tc>
          <w:tcPr>
            <w:tcW w:w="1134" w:type="dxa"/>
            <w:vAlign w:val="center"/>
          </w:tcPr>
          <w:p>
            <w:pPr>
              <w:pStyle w:val="12"/>
            </w:pPr>
            <w:r>
              <w:t>1354.90</w:t>
            </w:r>
          </w:p>
        </w:tc>
        <w:tc>
          <w:tcPr>
            <w:tcW w:w="1134" w:type="dxa"/>
            <w:vAlign w:val="center"/>
          </w:tcPr>
          <w:p>
            <w:pPr>
              <w:pStyle w:val="12"/>
            </w:pPr>
            <w:r>
              <w:t>1354.90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20141</w:t>
            </w:r>
          </w:p>
        </w:tc>
        <w:tc>
          <w:tcPr>
            <w:tcW w:w="1559" w:type="dxa"/>
            <w:vAlign w:val="center"/>
          </w:tcPr>
          <w:p>
            <w:pPr>
              <w:pStyle w:val="13"/>
            </w:pPr>
            <w:r>
              <w:t>数据事务</w:t>
            </w:r>
          </w:p>
        </w:tc>
        <w:tc>
          <w:tcPr>
            <w:tcW w:w="1134" w:type="dxa"/>
            <w:vAlign w:val="center"/>
          </w:tcPr>
          <w:p>
            <w:pPr>
              <w:pStyle w:val="12"/>
            </w:pPr>
            <w:r>
              <w:t>1354.90</w:t>
            </w:r>
          </w:p>
        </w:tc>
        <w:tc>
          <w:tcPr>
            <w:tcW w:w="1134" w:type="dxa"/>
            <w:vAlign w:val="center"/>
          </w:tcPr>
          <w:p>
            <w:pPr>
              <w:pStyle w:val="12"/>
            </w:pPr>
            <w:r>
              <w:t>1354.90</w:t>
            </w:r>
          </w:p>
        </w:tc>
        <w:tc>
          <w:tcPr>
            <w:tcW w:w="1134" w:type="dxa"/>
            <w:vAlign w:val="center"/>
          </w:tcPr>
          <w:p>
            <w:pPr>
              <w:pStyle w:val="12"/>
            </w:pPr>
            <w:r>
              <w:t>1354.90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2014101</w:t>
            </w:r>
          </w:p>
        </w:tc>
        <w:tc>
          <w:tcPr>
            <w:tcW w:w="1559" w:type="dxa"/>
            <w:vAlign w:val="center"/>
          </w:tcPr>
          <w:p>
            <w:pPr>
              <w:pStyle w:val="13"/>
            </w:pPr>
            <w:r>
              <w:t>行政运行</w:t>
            </w:r>
          </w:p>
        </w:tc>
        <w:tc>
          <w:tcPr>
            <w:tcW w:w="1134" w:type="dxa"/>
            <w:vAlign w:val="center"/>
          </w:tcPr>
          <w:p>
            <w:pPr>
              <w:pStyle w:val="12"/>
            </w:pPr>
            <w:r>
              <w:t>1015.47</w:t>
            </w:r>
          </w:p>
        </w:tc>
        <w:tc>
          <w:tcPr>
            <w:tcW w:w="1134" w:type="dxa"/>
            <w:vAlign w:val="center"/>
          </w:tcPr>
          <w:p>
            <w:pPr>
              <w:pStyle w:val="12"/>
            </w:pPr>
            <w:r>
              <w:t>1015.47</w:t>
            </w:r>
          </w:p>
        </w:tc>
        <w:tc>
          <w:tcPr>
            <w:tcW w:w="1134" w:type="dxa"/>
            <w:vAlign w:val="center"/>
          </w:tcPr>
          <w:p>
            <w:pPr>
              <w:pStyle w:val="12"/>
            </w:pPr>
            <w:r>
              <w:t>1015.47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2014102</w:t>
            </w:r>
          </w:p>
        </w:tc>
        <w:tc>
          <w:tcPr>
            <w:tcW w:w="1559" w:type="dxa"/>
            <w:vAlign w:val="center"/>
          </w:tcPr>
          <w:p>
            <w:pPr>
              <w:pStyle w:val="13"/>
            </w:pPr>
            <w:r>
              <w:t>一般行政管理事务</w:t>
            </w:r>
          </w:p>
        </w:tc>
        <w:tc>
          <w:tcPr>
            <w:tcW w:w="1134" w:type="dxa"/>
            <w:vAlign w:val="center"/>
          </w:tcPr>
          <w:p>
            <w:pPr>
              <w:pStyle w:val="12"/>
            </w:pPr>
            <w:r>
              <w:t>339.42</w:t>
            </w:r>
          </w:p>
        </w:tc>
        <w:tc>
          <w:tcPr>
            <w:tcW w:w="1134" w:type="dxa"/>
            <w:vAlign w:val="center"/>
          </w:tcPr>
          <w:p>
            <w:pPr>
              <w:pStyle w:val="12"/>
            </w:pPr>
            <w:r>
              <w:t>339.42</w:t>
            </w:r>
          </w:p>
        </w:tc>
        <w:tc>
          <w:tcPr>
            <w:tcW w:w="1134" w:type="dxa"/>
            <w:vAlign w:val="center"/>
          </w:tcPr>
          <w:p>
            <w:pPr>
              <w:pStyle w:val="12"/>
            </w:pPr>
            <w:r>
              <w:t>339.42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178.52</w:t>
            </w:r>
          </w:p>
        </w:tc>
        <w:tc>
          <w:tcPr>
            <w:tcW w:w="1134" w:type="dxa"/>
            <w:vAlign w:val="center"/>
          </w:tcPr>
          <w:p>
            <w:pPr>
              <w:pStyle w:val="12"/>
            </w:pPr>
            <w:r>
              <w:t>178.52</w:t>
            </w:r>
          </w:p>
        </w:tc>
        <w:tc>
          <w:tcPr>
            <w:tcW w:w="1134" w:type="dxa"/>
            <w:vAlign w:val="center"/>
          </w:tcPr>
          <w:p>
            <w:pPr>
              <w:pStyle w:val="12"/>
            </w:pPr>
            <w:r>
              <w:t>178.52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178.52</w:t>
            </w:r>
          </w:p>
        </w:tc>
        <w:tc>
          <w:tcPr>
            <w:tcW w:w="1134" w:type="dxa"/>
            <w:vAlign w:val="center"/>
          </w:tcPr>
          <w:p>
            <w:pPr>
              <w:pStyle w:val="12"/>
            </w:pPr>
            <w:r>
              <w:t>178.52</w:t>
            </w:r>
          </w:p>
        </w:tc>
        <w:tc>
          <w:tcPr>
            <w:tcW w:w="1134" w:type="dxa"/>
            <w:vAlign w:val="center"/>
          </w:tcPr>
          <w:p>
            <w:pPr>
              <w:pStyle w:val="12"/>
            </w:pPr>
            <w:r>
              <w:t>178.52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17.67</w:t>
            </w:r>
          </w:p>
        </w:tc>
        <w:tc>
          <w:tcPr>
            <w:tcW w:w="1134" w:type="dxa"/>
            <w:vAlign w:val="center"/>
          </w:tcPr>
          <w:p>
            <w:pPr>
              <w:pStyle w:val="12"/>
            </w:pPr>
            <w:r>
              <w:t>17.67</w:t>
            </w:r>
          </w:p>
        </w:tc>
        <w:tc>
          <w:tcPr>
            <w:tcW w:w="1134" w:type="dxa"/>
            <w:vAlign w:val="center"/>
          </w:tcPr>
          <w:p>
            <w:pPr>
              <w:pStyle w:val="12"/>
            </w:pPr>
            <w:r>
              <w:t>17.67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107.94</w:t>
            </w:r>
          </w:p>
        </w:tc>
        <w:tc>
          <w:tcPr>
            <w:tcW w:w="1134" w:type="dxa"/>
            <w:vAlign w:val="center"/>
          </w:tcPr>
          <w:p>
            <w:pPr>
              <w:pStyle w:val="12"/>
            </w:pPr>
            <w:r>
              <w:t>107.94</w:t>
            </w:r>
          </w:p>
        </w:tc>
        <w:tc>
          <w:tcPr>
            <w:tcW w:w="1134" w:type="dxa"/>
            <w:vAlign w:val="center"/>
          </w:tcPr>
          <w:p>
            <w:pPr>
              <w:pStyle w:val="12"/>
            </w:pPr>
            <w:r>
              <w:t>107.94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52.91</w:t>
            </w:r>
          </w:p>
        </w:tc>
        <w:tc>
          <w:tcPr>
            <w:tcW w:w="1134" w:type="dxa"/>
            <w:vAlign w:val="center"/>
          </w:tcPr>
          <w:p>
            <w:pPr>
              <w:pStyle w:val="12"/>
            </w:pPr>
            <w:r>
              <w:t>52.91</w:t>
            </w:r>
          </w:p>
        </w:tc>
        <w:tc>
          <w:tcPr>
            <w:tcW w:w="1134" w:type="dxa"/>
            <w:vAlign w:val="center"/>
          </w:tcPr>
          <w:p>
            <w:pPr>
              <w:pStyle w:val="12"/>
            </w:pPr>
            <w:r>
              <w:t>52.91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64.05</w:t>
            </w:r>
          </w:p>
        </w:tc>
        <w:tc>
          <w:tcPr>
            <w:tcW w:w="1134" w:type="dxa"/>
            <w:vAlign w:val="center"/>
          </w:tcPr>
          <w:p>
            <w:pPr>
              <w:pStyle w:val="12"/>
            </w:pPr>
            <w:r>
              <w:t>64.05</w:t>
            </w:r>
          </w:p>
        </w:tc>
        <w:tc>
          <w:tcPr>
            <w:tcW w:w="1134" w:type="dxa"/>
            <w:vAlign w:val="center"/>
          </w:tcPr>
          <w:p>
            <w:pPr>
              <w:pStyle w:val="12"/>
            </w:pPr>
            <w:r>
              <w:t>64.05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64.05</w:t>
            </w:r>
          </w:p>
        </w:tc>
        <w:tc>
          <w:tcPr>
            <w:tcW w:w="1134" w:type="dxa"/>
            <w:vAlign w:val="center"/>
          </w:tcPr>
          <w:p>
            <w:pPr>
              <w:pStyle w:val="12"/>
            </w:pPr>
            <w:r>
              <w:t>64.05</w:t>
            </w:r>
          </w:p>
        </w:tc>
        <w:tc>
          <w:tcPr>
            <w:tcW w:w="1134" w:type="dxa"/>
            <w:vAlign w:val="center"/>
          </w:tcPr>
          <w:p>
            <w:pPr>
              <w:pStyle w:val="12"/>
            </w:pPr>
            <w:r>
              <w:t>64.05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36.11</w:t>
            </w:r>
          </w:p>
        </w:tc>
        <w:tc>
          <w:tcPr>
            <w:tcW w:w="1134" w:type="dxa"/>
            <w:vAlign w:val="center"/>
          </w:tcPr>
          <w:p>
            <w:pPr>
              <w:pStyle w:val="12"/>
            </w:pPr>
            <w:r>
              <w:t>36.11</w:t>
            </w:r>
          </w:p>
        </w:tc>
        <w:tc>
          <w:tcPr>
            <w:tcW w:w="1134" w:type="dxa"/>
            <w:vAlign w:val="center"/>
          </w:tcPr>
          <w:p>
            <w:pPr>
              <w:pStyle w:val="12"/>
            </w:pPr>
            <w:r>
              <w:t>36.11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27.94</w:t>
            </w:r>
          </w:p>
        </w:tc>
        <w:tc>
          <w:tcPr>
            <w:tcW w:w="1134" w:type="dxa"/>
            <w:vAlign w:val="center"/>
          </w:tcPr>
          <w:p>
            <w:pPr>
              <w:pStyle w:val="12"/>
            </w:pPr>
            <w:r>
              <w:t>27.94</w:t>
            </w:r>
          </w:p>
        </w:tc>
        <w:tc>
          <w:tcPr>
            <w:tcW w:w="1134" w:type="dxa"/>
            <w:vAlign w:val="center"/>
          </w:tcPr>
          <w:p>
            <w:pPr>
              <w:pStyle w:val="12"/>
            </w:pPr>
            <w:r>
              <w:t>27.94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79.37</w:t>
            </w:r>
          </w:p>
        </w:tc>
        <w:tc>
          <w:tcPr>
            <w:tcW w:w="1134" w:type="dxa"/>
            <w:vAlign w:val="center"/>
          </w:tcPr>
          <w:p>
            <w:pPr>
              <w:pStyle w:val="12"/>
            </w:pPr>
            <w:r>
              <w:t>79.37</w:t>
            </w:r>
          </w:p>
        </w:tc>
        <w:tc>
          <w:tcPr>
            <w:tcW w:w="1134" w:type="dxa"/>
            <w:vAlign w:val="center"/>
          </w:tcPr>
          <w:p>
            <w:pPr>
              <w:pStyle w:val="12"/>
            </w:pPr>
            <w:r>
              <w:t>79.37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79.37</w:t>
            </w:r>
          </w:p>
        </w:tc>
        <w:tc>
          <w:tcPr>
            <w:tcW w:w="1134" w:type="dxa"/>
            <w:vAlign w:val="center"/>
          </w:tcPr>
          <w:p>
            <w:pPr>
              <w:pStyle w:val="12"/>
            </w:pPr>
            <w:r>
              <w:t>79.37</w:t>
            </w:r>
          </w:p>
        </w:tc>
        <w:tc>
          <w:tcPr>
            <w:tcW w:w="1134" w:type="dxa"/>
            <w:vAlign w:val="center"/>
          </w:tcPr>
          <w:p>
            <w:pPr>
              <w:pStyle w:val="12"/>
            </w:pPr>
            <w:r>
              <w:t>79.37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79.37</w:t>
            </w:r>
          </w:p>
        </w:tc>
        <w:tc>
          <w:tcPr>
            <w:tcW w:w="1134" w:type="dxa"/>
            <w:vAlign w:val="center"/>
          </w:tcPr>
          <w:p>
            <w:pPr>
              <w:pStyle w:val="12"/>
            </w:pPr>
            <w:r>
              <w:t>79.37</w:t>
            </w:r>
          </w:p>
        </w:tc>
        <w:tc>
          <w:tcPr>
            <w:tcW w:w="1134" w:type="dxa"/>
            <w:vAlign w:val="center"/>
          </w:tcPr>
          <w:p>
            <w:pPr>
              <w:pStyle w:val="12"/>
            </w:pPr>
            <w:r>
              <w:t>79.37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302石家庄市藁城区数据和政务服务局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1776.82</w:t>
            </w:r>
          </w:p>
        </w:tc>
        <w:tc>
          <w:tcPr>
            <w:tcW w:w="1361" w:type="dxa"/>
            <w:vAlign w:val="center"/>
          </w:tcPr>
          <w:p>
            <w:pPr>
              <w:pStyle w:val="16"/>
            </w:pPr>
            <w:r>
              <w:t>1337.40</w:t>
            </w:r>
          </w:p>
        </w:tc>
        <w:tc>
          <w:tcPr>
            <w:tcW w:w="1361" w:type="dxa"/>
            <w:vAlign w:val="center"/>
          </w:tcPr>
          <w:p>
            <w:pPr>
              <w:pStyle w:val="16"/>
            </w:pPr>
            <w:r>
              <w:t>439.42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1354.90</w:t>
            </w:r>
          </w:p>
        </w:tc>
        <w:tc>
          <w:tcPr>
            <w:tcW w:w="1361" w:type="dxa"/>
            <w:vAlign w:val="center"/>
          </w:tcPr>
          <w:p>
            <w:pPr>
              <w:pStyle w:val="12"/>
            </w:pPr>
            <w:r>
              <w:t>1015.47</w:t>
            </w:r>
          </w:p>
        </w:tc>
        <w:tc>
          <w:tcPr>
            <w:tcW w:w="1361" w:type="dxa"/>
            <w:vAlign w:val="center"/>
          </w:tcPr>
          <w:p>
            <w:pPr>
              <w:pStyle w:val="12"/>
            </w:pPr>
            <w:r>
              <w:t>339.42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20141</w:t>
            </w:r>
          </w:p>
        </w:tc>
        <w:tc>
          <w:tcPr>
            <w:tcW w:w="4535" w:type="dxa"/>
            <w:vAlign w:val="center"/>
          </w:tcPr>
          <w:p>
            <w:pPr>
              <w:pStyle w:val="13"/>
            </w:pPr>
            <w:r>
              <w:t>数据事务</w:t>
            </w:r>
          </w:p>
        </w:tc>
        <w:tc>
          <w:tcPr>
            <w:tcW w:w="1361" w:type="dxa"/>
            <w:vAlign w:val="center"/>
          </w:tcPr>
          <w:p>
            <w:pPr>
              <w:pStyle w:val="12"/>
            </w:pPr>
            <w:r>
              <w:t>1354.90</w:t>
            </w:r>
          </w:p>
        </w:tc>
        <w:tc>
          <w:tcPr>
            <w:tcW w:w="1361" w:type="dxa"/>
            <w:vAlign w:val="center"/>
          </w:tcPr>
          <w:p>
            <w:pPr>
              <w:pStyle w:val="12"/>
            </w:pPr>
            <w:r>
              <w:t>1015.47</w:t>
            </w:r>
          </w:p>
        </w:tc>
        <w:tc>
          <w:tcPr>
            <w:tcW w:w="1361" w:type="dxa"/>
            <w:vAlign w:val="center"/>
          </w:tcPr>
          <w:p>
            <w:pPr>
              <w:pStyle w:val="12"/>
            </w:pPr>
            <w:r>
              <w:t>339.42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2014101</w:t>
            </w:r>
          </w:p>
        </w:tc>
        <w:tc>
          <w:tcPr>
            <w:tcW w:w="4535" w:type="dxa"/>
            <w:vAlign w:val="center"/>
          </w:tcPr>
          <w:p>
            <w:pPr>
              <w:pStyle w:val="13"/>
            </w:pPr>
            <w:r>
              <w:t>行政运行</w:t>
            </w:r>
          </w:p>
        </w:tc>
        <w:tc>
          <w:tcPr>
            <w:tcW w:w="1361" w:type="dxa"/>
            <w:vAlign w:val="center"/>
          </w:tcPr>
          <w:p>
            <w:pPr>
              <w:pStyle w:val="12"/>
            </w:pPr>
            <w:r>
              <w:t>1015.47</w:t>
            </w:r>
          </w:p>
        </w:tc>
        <w:tc>
          <w:tcPr>
            <w:tcW w:w="1361" w:type="dxa"/>
            <w:vAlign w:val="center"/>
          </w:tcPr>
          <w:p>
            <w:pPr>
              <w:pStyle w:val="12"/>
            </w:pPr>
            <w:r>
              <w:t>1015.47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2014102</w:t>
            </w:r>
          </w:p>
        </w:tc>
        <w:tc>
          <w:tcPr>
            <w:tcW w:w="4535" w:type="dxa"/>
            <w:vAlign w:val="center"/>
          </w:tcPr>
          <w:p>
            <w:pPr>
              <w:pStyle w:val="13"/>
            </w:pPr>
            <w:r>
              <w:t>一般行政管理事务</w:t>
            </w:r>
          </w:p>
        </w:tc>
        <w:tc>
          <w:tcPr>
            <w:tcW w:w="1361" w:type="dxa"/>
            <w:vAlign w:val="center"/>
          </w:tcPr>
          <w:p>
            <w:pPr>
              <w:pStyle w:val="12"/>
            </w:pPr>
            <w:r>
              <w:t>339.42</w:t>
            </w:r>
          </w:p>
        </w:tc>
        <w:tc>
          <w:tcPr>
            <w:tcW w:w="1361" w:type="dxa"/>
            <w:vAlign w:val="center"/>
          </w:tcPr>
          <w:p>
            <w:pPr>
              <w:pStyle w:val="12"/>
            </w:pPr>
          </w:p>
        </w:tc>
        <w:tc>
          <w:tcPr>
            <w:tcW w:w="1361" w:type="dxa"/>
            <w:vAlign w:val="center"/>
          </w:tcPr>
          <w:p>
            <w:pPr>
              <w:pStyle w:val="12"/>
            </w:pPr>
            <w:r>
              <w:t>339.42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178.52</w:t>
            </w:r>
          </w:p>
        </w:tc>
        <w:tc>
          <w:tcPr>
            <w:tcW w:w="1361" w:type="dxa"/>
            <w:vAlign w:val="center"/>
          </w:tcPr>
          <w:p>
            <w:pPr>
              <w:pStyle w:val="12"/>
            </w:pPr>
            <w:r>
              <w:t>178.52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178.52</w:t>
            </w:r>
          </w:p>
        </w:tc>
        <w:tc>
          <w:tcPr>
            <w:tcW w:w="1361" w:type="dxa"/>
            <w:vAlign w:val="center"/>
          </w:tcPr>
          <w:p>
            <w:pPr>
              <w:pStyle w:val="12"/>
            </w:pPr>
            <w:r>
              <w:t>178.52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17.67</w:t>
            </w:r>
          </w:p>
        </w:tc>
        <w:tc>
          <w:tcPr>
            <w:tcW w:w="1361" w:type="dxa"/>
            <w:vAlign w:val="center"/>
          </w:tcPr>
          <w:p>
            <w:pPr>
              <w:pStyle w:val="12"/>
            </w:pPr>
            <w:r>
              <w:t>17.67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107.94</w:t>
            </w:r>
          </w:p>
        </w:tc>
        <w:tc>
          <w:tcPr>
            <w:tcW w:w="1361" w:type="dxa"/>
            <w:vAlign w:val="center"/>
          </w:tcPr>
          <w:p>
            <w:pPr>
              <w:pStyle w:val="12"/>
            </w:pPr>
            <w:r>
              <w:t>107.94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52.91</w:t>
            </w:r>
          </w:p>
        </w:tc>
        <w:tc>
          <w:tcPr>
            <w:tcW w:w="1361" w:type="dxa"/>
            <w:vAlign w:val="center"/>
          </w:tcPr>
          <w:p>
            <w:pPr>
              <w:pStyle w:val="12"/>
            </w:pPr>
            <w:r>
              <w:t>52.91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64.05</w:t>
            </w:r>
          </w:p>
        </w:tc>
        <w:tc>
          <w:tcPr>
            <w:tcW w:w="1361" w:type="dxa"/>
            <w:vAlign w:val="center"/>
          </w:tcPr>
          <w:p>
            <w:pPr>
              <w:pStyle w:val="12"/>
            </w:pPr>
            <w:r>
              <w:t>64.05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64.05</w:t>
            </w:r>
          </w:p>
        </w:tc>
        <w:tc>
          <w:tcPr>
            <w:tcW w:w="1361" w:type="dxa"/>
            <w:vAlign w:val="center"/>
          </w:tcPr>
          <w:p>
            <w:pPr>
              <w:pStyle w:val="12"/>
            </w:pPr>
            <w:r>
              <w:t>64.05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36.11</w:t>
            </w:r>
          </w:p>
        </w:tc>
        <w:tc>
          <w:tcPr>
            <w:tcW w:w="1361" w:type="dxa"/>
            <w:vAlign w:val="center"/>
          </w:tcPr>
          <w:p>
            <w:pPr>
              <w:pStyle w:val="12"/>
            </w:pPr>
            <w:r>
              <w:t>36.11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27.94</w:t>
            </w:r>
          </w:p>
        </w:tc>
        <w:tc>
          <w:tcPr>
            <w:tcW w:w="1361" w:type="dxa"/>
            <w:vAlign w:val="center"/>
          </w:tcPr>
          <w:p>
            <w:pPr>
              <w:pStyle w:val="12"/>
            </w:pPr>
            <w:r>
              <w:t>27.94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79.37</w:t>
            </w:r>
          </w:p>
        </w:tc>
        <w:tc>
          <w:tcPr>
            <w:tcW w:w="1361" w:type="dxa"/>
            <w:vAlign w:val="center"/>
          </w:tcPr>
          <w:p>
            <w:pPr>
              <w:pStyle w:val="12"/>
            </w:pPr>
            <w:r>
              <w:t>79.37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79.37</w:t>
            </w:r>
          </w:p>
        </w:tc>
        <w:tc>
          <w:tcPr>
            <w:tcW w:w="1361" w:type="dxa"/>
            <w:vAlign w:val="center"/>
          </w:tcPr>
          <w:p>
            <w:pPr>
              <w:pStyle w:val="12"/>
            </w:pPr>
            <w:r>
              <w:t>79.37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79.37</w:t>
            </w:r>
          </w:p>
        </w:tc>
        <w:tc>
          <w:tcPr>
            <w:tcW w:w="1361" w:type="dxa"/>
            <w:vAlign w:val="center"/>
          </w:tcPr>
          <w:p>
            <w:pPr>
              <w:pStyle w:val="12"/>
            </w:pPr>
            <w:r>
              <w:t>79.37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302石家庄市藁城区数据和政务服务局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1676.82</w:t>
            </w:r>
          </w:p>
        </w:tc>
        <w:tc>
          <w:tcPr>
            <w:tcW w:w="3402" w:type="dxa"/>
            <w:vAlign w:val="center"/>
          </w:tcPr>
          <w:p>
            <w:pPr>
              <w:pStyle w:val="13"/>
            </w:pPr>
            <w:r>
              <w:t>一、一般公共服务支出</w:t>
            </w:r>
          </w:p>
        </w:tc>
        <w:tc>
          <w:tcPr>
            <w:tcW w:w="1474" w:type="dxa"/>
            <w:vAlign w:val="center"/>
          </w:tcPr>
          <w:p>
            <w:pPr>
              <w:pStyle w:val="12"/>
            </w:pPr>
            <w:r>
              <w:t>1354.90</w:t>
            </w:r>
          </w:p>
        </w:tc>
        <w:tc>
          <w:tcPr>
            <w:tcW w:w="1474" w:type="dxa"/>
            <w:vAlign w:val="center"/>
          </w:tcPr>
          <w:p>
            <w:pPr>
              <w:pStyle w:val="12"/>
            </w:pPr>
            <w:r>
              <w:t>1354.90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100.00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178.52</w:t>
            </w:r>
          </w:p>
        </w:tc>
        <w:tc>
          <w:tcPr>
            <w:tcW w:w="1474" w:type="dxa"/>
            <w:vAlign w:val="center"/>
          </w:tcPr>
          <w:p>
            <w:pPr>
              <w:pStyle w:val="12"/>
            </w:pPr>
            <w:r>
              <w:t>178.52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64.05</w:t>
            </w:r>
          </w:p>
        </w:tc>
        <w:tc>
          <w:tcPr>
            <w:tcW w:w="1474" w:type="dxa"/>
            <w:vAlign w:val="center"/>
          </w:tcPr>
          <w:p>
            <w:pPr>
              <w:pStyle w:val="12"/>
            </w:pPr>
            <w:r>
              <w:t>64.05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100.00</w:t>
            </w:r>
          </w:p>
        </w:tc>
        <w:tc>
          <w:tcPr>
            <w:tcW w:w="1474" w:type="dxa"/>
            <w:vAlign w:val="center"/>
          </w:tcPr>
          <w:p>
            <w:pPr>
              <w:pStyle w:val="12"/>
            </w:pPr>
          </w:p>
        </w:tc>
        <w:tc>
          <w:tcPr>
            <w:tcW w:w="1474" w:type="dxa"/>
            <w:vAlign w:val="center"/>
          </w:tcPr>
          <w:p>
            <w:pPr>
              <w:pStyle w:val="12"/>
            </w:pPr>
            <w:r>
              <w:t>100.00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79.37</w:t>
            </w:r>
          </w:p>
        </w:tc>
        <w:tc>
          <w:tcPr>
            <w:tcW w:w="1474" w:type="dxa"/>
            <w:vAlign w:val="center"/>
          </w:tcPr>
          <w:p>
            <w:pPr>
              <w:pStyle w:val="12"/>
            </w:pPr>
            <w:r>
              <w:t>79.37</w:t>
            </w: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1776.82</w:t>
            </w:r>
          </w:p>
        </w:tc>
        <w:tc>
          <w:tcPr>
            <w:tcW w:w="3402" w:type="dxa"/>
            <w:vAlign w:val="center"/>
          </w:tcPr>
          <w:p>
            <w:pPr>
              <w:pStyle w:val="15"/>
            </w:pPr>
            <w:r>
              <w:t>本年支出合计</w:t>
            </w:r>
          </w:p>
        </w:tc>
        <w:tc>
          <w:tcPr>
            <w:tcW w:w="1474" w:type="dxa"/>
            <w:vAlign w:val="center"/>
          </w:tcPr>
          <w:p>
            <w:pPr>
              <w:pStyle w:val="16"/>
            </w:pPr>
            <w:r>
              <w:t>1776.82</w:t>
            </w:r>
          </w:p>
        </w:tc>
        <w:tc>
          <w:tcPr>
            <w:tcW w:w="1474" w:type="dxa"/>
            <w:vAlign w:val="center"/>
          </w:tcPr>
          <w:p>
            <w:pPr>
              <w:pStyle w:val="16"/>
            </w:pPr>
            <w:r>
              <w:t>1676.82</w:t>
            </w:r>
          </w:p>
        </w:tc>
        <w:tc>
          <w:tcPr>
            <w:tcW w:w="1474" w:type="dxa"/>
            <w:vAlign w:val="center"/>
          </w:tcPr>
          <w:p>
            <w:pPr>
              <w:pStyle w:val="16"/>
            </w:pPr>
            <w:r>
              <w:t>100.00</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1776.82</w:t>
            </w:r>
          </w:p>
        </w:tc>
        <w:tc>
          <w:tcPr>
            <w:tcW w:w="3402" w:type="dxa"/>
            <w:vAlign w:val="center"/>
          </w:tcPr>
          <w:p>
            <w:pPr>
              <w:pStyle w:val="15"/>
            </w:pPr>
            <w:r>
              <w:t>支出总计</w:t>
            </w:r>
          </w:p>
        </w:tc>
        <w:tc>
          <w:tcPr>
            <w:tcW w:w="1474" w:type="dxa"/>
            <w:vAlign w:val="center"/>
          </w:tcPr>
          <w:p>
            <w:pPr>
              <w:pStyle w:val="16"/>
            </w:pPr>
            <w:r>
              <w:t>1776.82</w:t>
            </w:r>
          </w:p>
        </w:tc>
        <w:tc>
          <w:tcPr>
            <w:tcW w:w="1474" w:type="dxa"/>
            <w:vAlign w:val="center"/>
          </w:tcPr>
          <w:p>
            <w:pPr>
              <w:pStyle w:val="16"/>
            </w:pPr>
            <w:r>
              <w:t>1676.82</w:t>
            </w:r>
          </w:p>
        </w:tc>
        <w:tc>
          <w:tcPr>
            <w:tcW w:w="1474" w:type="dxa"/>
            <w:vAlign w:val="center"/>
          </w:tcPr>
          <w:p>
            <w:pPr>
              <w:pStyle w:val="16"/>
            </w:pPr>
            <w:r>
              <w:t>100.00</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302石家庄市藁城区数据和政务服务局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1676.82</w:t>
            </w:r>
          </w:p>
        </w:tc>
        <w:tc>
          <w:tcPr>
            <w:tcW w:w="2551" w:type="dxa"/>
            <w:vAlign w:val="center"/>
          </w:tcPr>
          <w:p>
            <w:pPr>
              <w:pStyle w:val="16"/>
            </w:pPr>
            <w:r>
              <w:t>1337.40</w:t>
            </w:r>
          </w:p>
        </w:tc>
        <w:tc>
          <w:tcPr>
            <w:tcW w:w="2551" w:type="dxa"/>
            <w:vAlign w:val="center"/>
          </w:tcPr>
          <w:p>
            <w:pPr>
              <w:pStyle w:val="16"/>
            </w:pPr>
            <w:r>
              <w:t>339.42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1354.90</w:t>
            </w:r>
          </w:p>
        </w:tc>
        <w:tc>
          <w:tcPr>
            <w:tcW w:w="2551" w:type="dxa"/>
            <w:vAlign w:val="center"/>
          </w:tcPr>
          <w:p>
            <w:pPr>
              <w:pStyle w:val="12"/>
            </w:pPr>
            <w:r>
              <w:t>1015.47</w:t>
            </w:r>
          </w:p>
        </w:tc>
        <w:tc>
          <w:tcPr>
            <w:tcW w:w="2551" w:type="dxa"/>
            <w:vAlign w:val="center"/>
          </w:tcPr>
          <w:p>
            <w:pPr>
              <w:pStyle w:val="12"/>
            </w:pPr>
            <w:r>
              <w:t>339.42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20141</w:t>
            </w:r>
          </w:p>
        </w:tc>
        <w:tc>
          <w:tcPr>
            <w:tcW w:w="4535" w:type="dxa"/>
            <w:vAlign w:val="center"/>
          </w:tcPr>
          <w:p>
            <w:pPr>
              <w:pStyle w:val="13"/>
            </w:pPr>
            <w:r>
              <w:t>数据事务</w:t>
            </w:r>
          </w:p>
        </w:tc>
        <w:tc>
          <w:tcPr>
            <w:tcW w:w="2551" w:type="dxa"/>
            <w:vAlign w:val="center"/>
          </w:tcPr>
          <w:p>
            <w:pPr>
              <w:pStyle w:val="12"/>
            </w:pPr>
            <w:r>
              <w:t>1354.90</w:t>
            </w:r>
          </w:p>
        </w:tc>
        <w:tc>
          <w:tcPr>
            <w:tcW w:w="2551" w:type="dxa"/>
            <w:vAlign w:val="center"/>
          </w:tcPr>
          <w:p>
            <w:pPr>
              <w:pStyle w:val="12"/>
            </w:pPr>
            <w:r>
              <w:t>1015.47</w:t>
            </w:r>
          </w:p>
        </w:tc>
        <w:tc>
          <w:tcPr>
            <w:tcW w:w="2551" w:type="dxa"/>
            <w:vAlign w:val="center"/>
          </w:tcPr>
          <w:p>
            <w:pPr>
              <w:pStyle w:val="12"/>
            </w:pPr>
            <w:r>
              <w:t>339.42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2014101</w:t>
            </w:r>
          </w:p>
        </w:tc>
        <w:tc>
          <w:tcPr>
            <w:tcW w:w="4535" w:type="dxa"/>
            <w:vAlign w:val="center"/>
          </w:tcPr>
          <w:p>
            <w:pPr>
              <w:pStyle w:val="13"/>
            </w:pPr>
            <w:r>
              <w:t>行政运行</w:t>
            </w:r>
          </w:p>
        </w:tc>
        <w:tc>
          <w:tcPr>
            <w:tcW w:w="2551" w:type="dxa"/>
            <w:vAlign w:val="center"/>
          </w:tcPr>
          <w:p>
            <w:pPr>
              <w:pStyle w:val="12"/>
            </w:pPr>
            <w:r>
              <w:t>1015.47</w:t>
            </w:r>
          </w:p>
        </w:tc>
        <w:tc>
          <w:tcPr>
            <w:tcW w:w="2551" w:type="dxa"/>
            <w:vAlign w:val="center"/>
          </w:tcPr>
          <w:p>
            <w:pPr>
              <w:pStyle w:val="12"/>
            </w:pPr>
            <w:r>
              <w:t>1015.47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2014102</w:t>
            </w:r>
          </w:p>
        </w:tc>
        <w:tc>
          <w:tcPr>
            <w:tcW w:w="4535" w:type="dxa"/>
            <w:vAlign w:val="center"/>
          </w:tcPr>
          <w:p>
            <w:pPr>
              <w:pStyle w:val="13"/>
            </w:pPr>
            <w:r>
              <w:t>一般行政管理事务</w:t>
            </w:r>
          </w:p>
        </w:tc>
        <w:tc>
          <w:tcPr>
            <w:tcW w:w="2551" w:type="dxa"/>
            <w:vAlign w:val="center"/>
          </w:tcPr>
          <w:p>
            <w:pPr>
              <w:pStyle w:val="12"/>
            </w:pPr>
            <w:r>
              <w:t>339.42</w:t>
            </w:r>
          </w:p>
        </w:tc>
        <w:tc>
          <w:tcPr>
            <w:tcW w:w="2551" w:type="dxa"/>
            <w:vAlign w:val="center"/>
          </w:tcPr>
          <w:p>
            <w:pPr>
              <w:pStyle w:val="12"/>
            </w:pPr>
          </w:p>
        </w:tc>
        <w:tc>
          <w:tcPr>
            <w:tcW w:w="2551" w:type="dxa"/>
            <w:vAlign w:val="center"/>
          </w:tcPr>
          <w:p>
            <w:pPr>
              <w:pStyle w:val="12"/>
            </w:pPr>
            <w:r>
              <w:t>339.42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178.52</w:t>
            </w:r>
          </w:p>
        </w:tc>
        <w:tc>
          <w:tcPr>
            <w:tcW w:w="2551" w:type="dxa"/>
            <w:vAlign w:val="center"/>
          </w:tcPr>
          <w:p>
            <w:pPr>
              <w:pStyle w:val="12"/>
            </w:pPr>
            <w:r>
              <w:t>178.52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178.52</w:t>
            </w:r>
          </w:p>
        </w:tc>
        <w:tc>
          <w:tcPr>
            <w:tcW w:w="2551" w:type="dxa"/>
            <w:vAlign w:val="center"/>
          </w:tcPr>
          <w:p>
            <w:pPr>
              <w:pStyle w:val="12"/>
            </w:pPr>
            <w:r>
              <w:t>178.52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17.67</w:t>
            </w:r>
          </w:p>
        </w:tc>
        <w:tc>
          <w:tcPr>
            <w:tcW w:w="2551" w:type="dxa"/>
            <w:vAlign w:val="center"/>
          </w:tcPr>
          <w:p>
            <w:pPr>
              <w:pStyle w:val="12"/>
            </w:pPr>
            <w:r>
              <w:t>17.67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107.94</w:t>
            </w:r>
          </w:p>
        </w:tc>
        <w:tc>
          <w:tcPr>
            <w:tcW w:w="2551" w:type="dxa"/>
            <w:vAlign w:val="center"/>
          </w:tcPr>
          <w:p>
            <w:pPr>
              <w:pStyle w:val="12"/>
            </w:pPr>
            <w:r>
              <w:t>107.94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52.91</w:t>
            </w:r>
          </w:p>
        </w:tc>
        <w:tc>
          <w:tcPr>
            <w:tcW w:w="2551" w:type="dxa"/>
            <w:vAlign w:val="center"/>
          </w:tcPr>
          <w:p>
            <w:pPr>
              <w:pStyle w:val="12"/>
            </w:pPr>
            <w:r>
              <w:t>52.91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64.05</w:t>
            </w:r>
          </w:p>
        </w:tc>
        <w:tc>
          <w:tcPr>
            <w:tcW w:w="2551" w:type="dxa"/>
            <w:vAlign w:val="center"/>
          </w:tcPr>
          <w:p>
            <w:pPr>
              <w:pStyle w:val="12"/>
            </w:pPr>
            <w:r>
              <w:t>64.05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64.05</w:t>
            </w:r>
          </w:p>
        </w:tc>
        <w:tc>
          <w:tcPr>
            <w:tcW w:w="2551" w:type="dxa"/>
            <w:vAlign w:val="center"/>
          </w:tcPr>
          <w:p>
            <w:pPr>
              <w:pStyle w:val="12"/>
            </w:pPr>
            <w:r>
              <w:t>64.05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36.11</w:t>
            </w:r>
          </w:p>
        </w:tc>
        <w:tc>
          <w:tcPr>
            <w:tcW w:w="2551" w:type="dxa"/>
            <w:vAlign w:val="center"/>
          </w:tcPr>
          <w:p>
            <w:pPr>
              <w:pStyle w:val="12"/>
            </w:pPr>
            <w:r>
              <w:t>36.11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27.94</w:t>
            </w:r>
          </w:p>
        </w:tc>
        <w:tc>
          <w:tcPr>
            <w:tcW w:w="2551" w:type="dxa"/>
            <w:vAlign w:val="center"/>
          </w:tcPr>
          <w:p>
            <w:pPr>
              <w:pStyle w:val="12"/>
            </w:pPr>
            <w:r>
              <w:t>27.94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79.37</w:t>
            </w:r>
          </w:p>
        </w:tc>
        <w:tc>
          <w:tcPr>
            <w:tcW w:w="2551" w:type="dxa"/>
            <w:vAlign w:val="center"/>
          </w:tcPr>
          <w:p>
            <w:pPr>
              <w:pStyle w:val="12"/>
            </w:pPr>
            <w:r>
              <w:t>79.37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79.37</w:t>
            </w:r>
          </w:p>
        </w:tc>
        <w:tc>
          <w:tcPr>
            <w:tcW w:w="2551" w:type="dxa"/>
            <w:vAlign w:val="center"/>
          </w:tcPr>
          <w:p>
            <w:pPr>
              <w:pStyle w:val="12"/>
            </w:pPr>
            <w:r>
              <w:t>79.37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79.37</w:t>
            </w:r>
          </w:p>
        </w:tc>
        <w:tc>
          <w:tcPr>
            <w:tcW w:w="2551" w:type="dxa"/>
            <w:vAlign w:val="center"/>
          </w:tcPr>
          <w:p>
            <w:pPr>
              <w:pStyle w:val="12"/>
            </w:pPr>
            <w:r>
              <w:t>79.37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302石家庄市藁城区数据和政务服务局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1337.40</w:t>
            </w:r>
          </w:p>
        </w:tc>
        <w:tc>
          <w:tcPr>
            <w:tcW w:w="2551" w:type="dxa"/>
            <w:vAlign w:val="center"/>
          </w:tcPr>
          <w:p>
            <w:pPr>
              <w:pStyle w:val="16"/>
            </w:pPr>
            <w:r>
              <w:t>1257.21</w:t>
            </w:r>
          </w:p>
        </w:tc>
        <w:tc>
          <w:tcPr>
            <w:tcW w:w="2551" w:type="dxa"/>
            <w:vAlign w:val="center"/>
          </w:tcPr>
          <w:p>
            <w:pPr>
              <w:pStyle w:val="16"/>
            </w:pPr>
            <w:r>
              <w:t>80.19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1239.54</w:t>
            </w:r>
          </w:p>
        </w:tc>
        <w:tc>
          <w:tcPr>
            <w:tcW w:w="2551" w:type="dxa"/>
            <w:vAlign w:val="center"/>
          </w:tcPr>
          <w:p>
            <w:pPr>
              <w:pStyle w:val="12"/>
            </w:pPr>
            <w:r>
              <w:t>1239.54</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229.93</w:t>
            </w:r>
          </w:p>
        </w:tc>
        <w:tc>
          <w:tcPr>
            <w:tcW w:w="2551" w:type="dxa"/>
            <w:vAlign w:val="center"/>
          </w:tcPr>
          <w:p>
            <w:pPr>
              <w:pStyle w:val="12"/>
            </w:pPr>
            <w:r>
              <w:t>229.93</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225.98</w:t>
            </w:r>
          </w:p>
        </w:tc>
        <w:tc>
          <w:tcPr>
            <w:tcW w:w="2551" w:type="dxa"/>
            <w:vAlign w:val="center"/>
          </w:tcPr>
          <w:p>
            <w:pPr>
              <w:pStyle w:val="12"/>
            </w:pPr>
            <w:r>
              <w:t>225.98</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102.20</w:t>
            </w:r>
          </w:p>
        </w:tc>
        <w:tc>
          <w:tcPr>
            <w:tcW w:w="2551" w:type="dxa"/>
            <w:vAlign w:val="center"/>
          </w:tcPr>
          <w:p>
            <w:pPr>
              <w:pStyle w:val="12"/>
            </w:pPr>
            <w:r>
              <w:t>102.20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139.10</w:t>
            </w:r>
          </w:p>
        </w:tc>
        <w:tc>
          <w:tcPr>
            <w:tcW w:w="2551" w:type="dxa"/>
            <w:vAlign w:val="center"/>
          </w:tcPr>
          <w:p>
            <w:pPr>
              <w:pStyle w:val="12"/>
            </w:pPr>
            <w:r>
              <w:t>139.10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107.94</w:t>
            </w:r>
          </w:p>
        </w:tc>
        <w:tc>
          <w:tcPr>
            <w:tcW w:w="2551" w:type="dxa"/>
            <w:vAlign w:val="center"/>
          </w:tcPr>
          <w:p>
            <w:pPr>
              <w:pStyle w:val="12"/>
            </w:pPr>
            <w:r>
              <w:t>107.94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52.91</w:t>
            </w:r>
          </w:p>
        </w:tc>
        <w:tc>
          <w:tcPr>
            <w:tcW w:w="2551" w:type="dxa"/>
            <w:vAlign w:val="center"/>
          </w:tcPr>
          <w:p>
            <w:pPr>
              <w:pStyle w:val="12"/>
            </w:pPr>
            <w:r>
              <w:t>52.91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36.11</w:t>
            </w:r>
          </w:p>
        </w:tc>
        <w:tc>
          <w:tcPr>
            <w:tcW w:w="2551" w:type="dxa"/>
            <w:vAlign w:val="center"/>
          </w:tcPr>
          <w:p>
            <w:pPr>
              <w:pStyle w:val="12"/>
            </w:pPr>
            <w:r>
              <w:t>36.11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27.94</w:t>
            </w:r>
          </w:p>
        </w:tc>
        <w:tc>
          <w:tcPr>
            <w:tcW w:w="2551" w:type="dxa"/>
            <w:vAlign w:val="center"/>
          </w:tcPr>
          <w:p>
            <w:pPr>
              <w:pStyle w:val="12"/>
            </w:pPr>
            <w:r>
              <w:t>27.94</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81.91</w:t>
            </w:r>
          </w:p>
        </w:tc>
        <w:tc>
          <w:tcPr>
            <w:tcW w:w="2551" w:type="dxa"/>
            <w:vAlign w:val="center"/>
          </w:tcPr>
          <w:p>
            <w:pPr>
              <w:pStyle w:val="12"/>
            </w:pPr>
            <w:r>
              <w:t>81.91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79.37</w:t>
            </w:r>
          </w:p>
        </w:tc>
        <w:tc>
          <w:tcPr>
            <w:tcW w:w="2551" w:type="dxa"/>
            <w:vAlign w:val="center"/>
          </w:tcPr>
          <w:p>
            <w:pPr>
              <w:pStyle w:val="12"/>
            </w:pPr>
            <w:r>
              <w:t>79.37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156.16</w:t>
            </w:r>
          </w:p>
        </w:tc>
        <w:tc>
          <w:tcPr>
            <w:tcW w:w="2551" w:type="dxa"/>
            <w:vAlign w:val="center"/>
          </w:tcPr>
          <w:p>
            <w:pPr>
              <w:pStyle w:val="12"/>
            </w:pPr>
            <w:r>
              <w:t>156.16</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80.19</w:t>
            </w:r>
          </w:p>
        </w:tc>
        <w:tc>
          <w:tcPr>
            <w:tcW w:w="2551" w:type="dxa"/>
            <w:vAlign w:val="center"/>
          </w:tcPr>
          <w:p>
            <w:pPr>
              <w:pStyle w:val="12"/>
            </w:pPr>
          </w:p>
        </w:tc>
        <w:tc>
          <w:tcPr>
            <w:tcW w:w="2551" w:type="dxa"/>
            <w:vAlign w:val="center"/>
          </w:tcPr>
          <w:p>
            <w:pPr>
              <w:pStyle w:val="12"/>
            </w:pPr>
            <w:r>
              <w:t>80.19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9.20</w:t>
            </w:r>
          </w:p>
        </w:tc>
        <w:tc>
          <w:tcPr>
            <w:tcW w:w="2551" w:type="dxa"/>
            <w:vAlign w:val="center"/>
          </w:tcPr>
          <w:p>
            <w:pPr>
              <w:pStyle w:val="12"/>
            </w:pPr>
          </w:p>
        </w:tc>
        <w:tc>
          <w:tcPr>
            <w:tcW w:w="2551" w:type="dxa"/>
            <w:vAlign w:val="center"/>
          </w:tcPr>
          <w:p>
            <w:pPr>
              <w:pStyle w:val="12"/>
            </w:pPr>
            <w:r>
              <w:t>9.20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26.36</w:t>
            </w:r>
          </w:p>
        </w:tc>
        <w:tc>
          <w:tcPr>
            <w:tcW w:w="2551" w:type="dxa"/>
            <w:vAlign w:val="center"/>
          </w:tcPr>
          <w:p>
            <w:pPr>
              <w:pStyle w:val="12"/>
            </w:pPr>
          </w:p>
        </w:tc>
        <w:tc>
          <w:tcPr>
            <w:tcW w:w="2551" w:type="dxa"/>
            <w:vAlign w:val="center"/>
          </w:tcPr>
          <w:p>
            <w:pPr>
              <w:pStyle w:val="12"/>
            </w:pPr>
            <w:r>
              <w:t>26.36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6.89</w:t>
            </w:r>
          </w:p>
        </w:tc>
        <w:tc>
          <w:tcPr>
            <w:tcW w:w="2551" w:type="dxa"/>
            <w:vAlign w:val="center"/>
          </w:tcPr>
          <w:p>
            <w:pPr>
              <w:pStyle w:val="12"/>
            </w:pPr>
          </w:p>
        </w:tc>
        <w:tc>
          <w:tcPr>
            <w:tcW w:w="2551" w:type="dxa"/>
            <w:vAlign w:val="center"/>
          </w:tcPr>
          <w:p>
            <w:pPr>
              <w:pStyle w:val="12"/>
            </w:pPr>
            <w:r>
              <w:t>6.89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5.75</w:t>
            </w:r>
          </w:p>
        </w:tc>
        <w:tc>
          <w:tcPr>
            <w:tcW w:w="2551" w:type="dxa"/>
            <w:vAlign w:val="center"/>
          </w:tcPr>
          <w:p>
            <w:pPr>
              <w:pStyle w:val="12"/>
            </w:pPr>
          </w:p>
        </w:tc>
        <w:tc>
          <w:tcPr>
            <w:tcW w:w="2551" w:type="dxa"/>
            <w:vAlign w:val="center"/>
          </w:tcPr>
          <w:p>
            <w:pPr>
              <w:pStyle w:val="12"/>
            </w:pPr>
            <w:r>
              <w:t>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21.54</w:t>
            </w:r>
          </w:p>
        </w:tc>
        <w:tc>
          <w:tcPr>
            <w:tcW w:w="2551" w:type="dxa"/>
            <w:vAlign w:val="center"/>
          </w:tcPr>
          <w:p>
            <w:pPr>
              <w:pStyle w:val="12"/>
            </w:pPr>
          </w:p>
        </w:tc>
        <w:tc>
          <w:tcPr>
            <w:tcW w:w="2551" w:type="dxa"/>
            <w:vAlign w:val="center"/>
          </w:tcPr>
          <w:p>
            <w:pPr>
              <w:pStyle w:val="12"/>
            </w:pPr>
            <w:r>
              <w:t>21.54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1.25</w:t>
            </w:r>
          </w:p>
        </w:tc>
        <w:tc>
          <w:tcPr>
            <w:tcW w:w="2551" w:type="dxa"/>
            <w:vAlign w:val="center"/>
          </w:tcPr>
          <w:p>
            <w:pPr>
              <w:pStyle w:val="12"/>
            </w:pPr>
          </w:p>
        </w:tc>
        <w:tc>
          <w:tcPr>
            <w:tcW w:w="2551" w:type="dxa"/>
            <w:vAlign w:val="center"/>
          </w:tcPr>
          <w:p>
            <w:pPr>
              <w:pStyle w:val="12"/>
            </w:pPr>
            <w:r>
              <w:t>1.25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17.67</w:t>
            </w:r>
          </w:p>
        </w:tc>
        <w:tc>
          <w:tcPr>
            <w:tcW w:w="2551" w:type="dxa"/>
            <w:vAlign w:val="center"/>
          </w:tcPr>
          <w:p>
            <w:pPr>
              <w:pStyle w:val="12"/>
            </w:pPr>
            <w:r>
              <w:t>17.67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17.67</w:t>
            </w:r>
          </w:p>
        </w:tc>
        <w:tc>
          <w:tcPr>
            <w:tcW w:w="2551" w:type="dxa"/>
            <w:vAlign w:val="center"/>
          </w:tcPr>
          <w:p>
            <w:pPr>
              <w:pStyle w:val="12"/>
            </w:pPr>
            <w:r>
              <w:t>17.67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302石家庄市藁城区数据和政务服务局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100.00</w:t>
            </w:r>
          </w:p>
        </w:tc>
        <w:tc>
          <w:tcPr>
            <w:tcW w:w="2551" w:type="dxa"/>
            <w:vAlign w:val="center"/>
          </w:tcPr>
          <w:p>
            <w:pPr>
              <w:pStyle w:val="16"/>
            </w:pPr>
          </w:p>
        </w:tc>
        <w:tc>
          <w:tcPr>
            <w:tcW w:w="2551" w:type="dxa"/>
            <w:vAlign w:val="center"/>
          </w:tcPr>
          <w:p>
            <w:pPr>
              <w:pStyle w:val="16"/>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302石家庄市藁城区数据和政务服务局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302石家庄市藁城区数据和政务服务局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石家庄市藁城区数据和政务服务局2025年部门预算信息公开情况说明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石家庄市藁城区数据和政务服务局2025年部门预算信息公开情况说明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按照《中华人民共和国预算法》、《地方预决算公开操作规程》和《关于进一步推进预算公开工作的实施意见》规定，现将石家庄市藁城区数据和政务服务局2025年部门预算公开如下：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局机关事务：贯彻落实党中央、国务院和省委、省政府，市委、市政府，区委、区政府关于推进政府职能转变和“放管服”改革、行政审批制度改革、政务服务管理、公共资源交易管理、社会信用体系建设有关方针政策和法律法规。贯彻落实地方性法规、政府规章，制定有关政策落实措施并组织实施。承担区政府推进政府职能转变和“放管服”改革协调小组办公室的日常工作。</w:t>
      </w:r>
    </w:p>
    <w:p>
      <w:pPr>
        <w:pStyle w:val="18"/>
      </w:pPr>
      <w:r>
        <w:t>负责投资项目、商事登记、市场服务、文教体卫、社会事务、住建交通、生态环境、安全生产、农林畜水、经贸商务、城市管理等方面行政审批事项的办理及相关行政性收费，并承担相应的法律责任。负责区直部门已划转行政许可事项涉及的现场勘验、审图、联合验收等工作。负责对全区行政审批政务服务行为进行监督检查。</w:t>
      </w:r>
    </w:p>
    <w:p>
      <w:pPr>
        <w:pStyle w:val="18"/>
      </w:pPr>
      <w:r>
        <w:t>负责全区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pPr>
        <w:pStyle w:val="18"/>
      </w:pPr>
      <w:r>
        <w:t>承办区委、区政府交办的其他事项</w:t>
      </w:r>
    </w:p>
    <w:p>
      <w:pPr>
        <w:pStyle w:val="18"/>
      </w:pPr>
      <w:r>
        <w:t>2、后勤事务：大厅的工作场所的安全保卫、消防工作，制定各项安全防范制度和措施。</w:t>
      </w:r>
    </w:p>
    <w:p>
      <w:pPr>
        <w:pStyle w:val="18"/>
      </w:pPr>
      <w:r>
        <w:t>大厅的环境卫生、绿化、美化以及大厅办公设施的维护管理购置工作。</w:t>
      </w:r>
    </w:p>
    <w:p>
      <w:pPr>
        <w:pStyle w:val="18"/>
      </w:pPr>
      <w:r>
        <w:t>负责局的房屋维修，水电暖通讯设备使用、管理及维修，对中央空调等大型设备进行定期维护。</w:t>
      </w:r>
    </w:p>
    <w:p>
      <w:pPr>
        <w:pStyle w:val="18"/>
      </w:pPr>
      <w:r>
        <w:t>负责局水、电、暖、网、办公用品等硬、软件的管理</w:t>
      </w:r>
    </w:p>
    <w:p>
      <w:pPr>
        <w:pStyle w:val="18"/>
      </w:pPr>
      <w:r>
        <w:t>3、负责协调派驻部门行政审批事项的办理工作，规范、管理和监督派驻部门的行政审批行为。</w:t>
      </w:r>
    </w:p>
    <w:p>
      <w:pPr>
        <w:pStyle w:val="18"/>
      </w:pPr>
      <w:r>
        <w:t>4、负责行政审批信息化工作，区级行政审批信息资料的保管、整理、统计、编目和定期检查工作</w:t>
      </w:r>
    </w:p>
    <w:p>
      <w:pPr>
        <w:pStyle w:val="18"/>
      </w:pPr>
      <w:r>
        <w:t>5、拟订全区公共资源交易管理制度、规则并组织实施；编制公共资源交易目录，建设、管理公共资源交易电子服务系统，推进公共资源交易领域信用体系建设；负责监督区本级公共资源交易项目进场交易，并对场内交易活动进行监督，组织协调各行业主管部门对公共资源交易活动实施监督，将发现的违法违规问题移送有关部门处理；协调开展区本级公共资源交易活动的联动执法。</w:t>
      </w:r>
    </w:p>
    <w:p>
      <w:pPr>
        <w:pStyle w:val="18"/>
      </w:pPr>
      <w:r>
        <w:t>6、对行政审批事项和政务服务事项提供咨询、领办、代办等服务，对全区重点项目提供全程帮办、无偿代办服务；负责行政审批局电子政务网络建设维护、平台运行和工作人员的技术培训、指导工作；承接省、市电子政务网络建设的有关工作，推行“互联网+政务服务”模式，建立实体服务大厅、网上办事大厅、移动客户端、自动终端等多种形式相结合的公共服务平台，构建区乡一体化的网上在线审批平台；建立完善行政审批服务中心的各项规章制度，提供各项优质服务；完成行政审批局交办的其他工作。</w:t>
      </w:r>
    </w:p>
    <w:p>
      <w:pPr>
        <w:pStyle w:val="18"/>
      </w:pPr>
      <w:r>
        <w:t>7、负责拟订电子政务、智慧城市和全区数据资源发展规划和管理办法，提出数据产业发展综合性建议，协调解决数据资源发展、信息化建设中的重大问题，组织协调推进全区政务数据和公共资源的目录制定，归集管理、整理利用、共享开放</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石家庄市藁城区数据和政务服务局本级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按照预算管理有关规定，目前部门预算的编制实行综合预算管理，即全部收入和支出都反映在预算中。石家庄市藁城区数据和政务服务局机关及所属事业单位的收支包含在部门预算中。</w:t>
      </w:r>
    </w:p>
    <w:p>
      <w:pPr>
        <w:pStyle w:val="19"/>
      </w:pPr>
      <w:r>
        <w:t>1、收入说明</w:t>
      </w:r>
    </w:p>
    <w:p>
      <w:pPr>
        <w:pStyle w:val="19"/>
      </w:pPr>
      <w:r>
        <w:t>反映本部门当年全部收入。2025年预算收入1776.82万元，其中：一般公共预算收入1676.82万元，基金预算收入100.00万元，国有资本经营预算收入0.00万元，财政专户核拨收入0.00万元，单位资金收入0.00万元，上年结转结余0.00万元。</w:t>
      </w:r>
    </w:p>
    <w:p>
      <w:pPr>
        <w:pStyle w:val="19"/>
      </w:pPr>
      <w:r>
        <w:t>2、支出说明</w:t>
      </w:r>
    </w:p>
    <w:p>
      <w:pPr>
        <w:pStyle w:val="19"/>
        <w:rPr>
          <w:rFonts w:hint="eastAsia"/>
          <w:lang w:eastAsia="zh-CN"/>
        </w:rPr>
      </w:pPr>
      <w:r>
        <w:t>收支预算总表支出栏、基本支出表、项目支出表按经济分类和支出功能分类科目编制，反映石家庄市藁城区数据和政务服务局年度部门预算中支出预算的总体情况。2025年支出预算1776.82万元，其中基本支出1337.40万元，包括人员经费1257.21万元和日常公用经费80.19万元；项目支出439.42万元，</w:t>
      </w:r>
      <w:r>
        <w:rPr>
          <w:rFonts w:hint="eastAsia"/>
          <w:lang w:eastAsia="zh-CN"/>
        </w:rPr>
        <w:t>主要为：</w:t>
      </w:r>
    </w:p>
    <w:p>
      <w:pPr>
        <w:pStyle w:val="19"/>
      </w:pPr>
      <w:r>
        <w:rPr>
          <w:rFonts w:hint="eastAsia"/>
          <w:lang w:eastAsia="zh-CN"/>
        </w:rPr>
        <w:t>劳务派遣人员费用</w:t>
      </w:r>
      <w:r>
        <w:rPr>
          <w:rFonts w:hint="eastAsia"/>
          <w:lang w:val="en-US" w:eastAsia="zh-CN"/>
        </w:rPr>
        <w:t>251.77万，</w:t>
      </w:r>
      <w:r>
        <w:rPr>
          <w:rFonts w:hint="eastAsia"/>
          <w:lang w:eastAsia="zh-CN"/>
        </w:rPr>
        <w:t>第三方中介服务费</w:t>
      </w:r>
      <w:r>
        <w:rPr>
          <w:rFonts w:hint="eastAsia"/>
          <w:lang w:val="en-US" w:eastAsia="zh-CN"/>
        </w:rPr>
        <w:t>15万，租赁办公用房56万，交易中心房租5万，运行维护费9.252万，各类印刷品 经费2.4万。</w:t>
      </w:r>
      <w:r>
        <w:t>2024年预算在石家庄市藁城区行政审批局做，2024年4月进行机构改革后，单位更名为石家庄市藁城区数据和政务服务局，原区行政审批局职能整体划入，2025年预算在石家庄市藁城区数据和政务服务局做，因此无2024年对比预算。</w:t>
      </w:r>
    </w:p>
    <w:p>
      <w:pPr>
        <w:pStyle w:val="19"/>
      </w:pPr>
      <w:r>
        <w:t>3、比上年增减情况</w:t>
      </w:r>
    </w:p>
    <w:p>
      <w:pPr>
        <w:pStyle w:val="19"/>
      </w:pPr>
      <w:r>
        <w:t>2025年预算收支安排1776.82万元，较2024年预算增加1776.82万元，其中：基本支出增加1337.40万元，主要为2024年预算在石家庄市藁城区行政审批局做，2024年4月进行机构改革后，单位更名为石家庄市藁城区数据和政务服务局，原区行政审批局职能整体划入，2025年预算在石家庄市藁城区数据和政务服务局做，因此无2024年对比预算。项目支出增加439.42万元，主要为2024年预算在石家庄市藁城区行政审批局做，2024年4月进行机构改革后，单位更名为石家庄市藁城区数据和政务服务局，原区行政审批局职能整体划入，2025年预算在石家庄市藁城区数据和政务服务局做，因此无2024年对比预算。</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spacing w:line="460" w:lineRule="exact"/>
        <w:ind w:firstLine="560" w:firstLineChars="200"/>
        <w:rPr>
          <w:rFonts w:hint="eastAsia" w:ascii="微软雅黑" w:hAnsi="微软雅黑" w:eastAsia="微软雅黑" w:cs="微软雅黑"/>
          <w:b w:val="0"/>
          <w:bCs w:val="0"/>
          <w:sz w:val="28"/>
          <w:szCs w:val="28"/>
          <w:lang w:val="en-US" w:eastAsia="zh-CN"/>
        </w:rPr>
      </w:pPr>
      <w:r>
        <w:rPr>
          <w:rFonts w:hint="eastAsia" w:ascii="微软雅黑" w:hAnsi="微软雅黑" w:eastAsia="微软雅黑" w:cs="微软雅黑"/>
          <w:b w:val="0"/>
          <w:bCs w:val="0"/>
          <w:sz w:val="28"/>
          <w:szCs w:val="28"/>
        </w:rPr>
        <w:t>机关运行经费日常公用经费80.19万元</w:t>
      </w:r>
      <w:r>
        <w:rPr>
          <w:rFonts w:hint="eastAsia" w:ascii="微软雅黑" w:hAnsi="微软雅黑" w:eastAsia="微软雅黑" w:cs="微软雅黑"/>
          <w:b w:val="0"/>
          <w:bCs w:val="0"/>
          <w:sz w:val="28"/>
          <w:szCs w:val="28"/>
          <w:lang w:eastAsia="zh-CN"/>
        </w:rPr>
        <w:t>，</w:t>
      </w:r>
      <w:r>
        <w:rPr>
          <w:rFonts w:hint="eastAsia" w:ascii="微软雅黑" w:hAnsi="微软雅黑" w:eastAsia="微软雅黑" w:cs="微软雅黑"/>
          <w:b w:val="0"/>
          <w:bCs w:val="0"/>
          <w:sz w:val="28"/>
          <w:szCs w:val="28"/>
          <w:lang w:val="en-US" w:eastAsia="zh-CN"/>
        </w:rPr>
        <w:t>其中：办公费9.2万元，邮电费26.36万，电费5万，印刷费3万，公务交通补贴21.54万，差旅费1万，工会费6.89万，福利费5.75万，党组织活动经费0.88万。</w:t>
      </w:r>
    </w:p>
    <w:p>
      <w:pPr>
        <w:pStyle w:val="20"/>
        <w:ind w:left="0" w:leftChars="0" w:firstLine="0" w:firstLineChars="0"/>
        <w:rPr>
          <w:rFonts w:hint="eastAsia" w:ascii="黑体" w:hAnsi="黑体" w:eastAsia="黑体" w:cs="黑体"/>
          <w:sz w:val="32"/>
          <w:szCs w:val="32"/>
        </w:rPr>
      </w:pPr>
      <w:bookmarkStart w:id="20" w:name="_GoBack"/>
      <w:bookmarkEnd w:id="20"/>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spacing w:line="460" w:lineRule="exact"/>
        <w:ind w:firstLine="560" w:firstLineChars="200"/>
        <w:rPr>
          <w:rFonts w:hint="eastAsia" w:ascii="Times New Roman" w:hAnsi="Times New Roman" w:eastAsia="仿宋" w:cs="Times New Roman"/>
          <w:sz w:val="32"/>
          <w:szCs w:val="32"/>
        </w:rPr>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　　（一）积极构建“不见面”审批模式。持续推进“互联网＋政务服务”建设，除不宜上网事项外，100%开通网上办事服务，实现全流程网上可办，让更多事项可网上预约、网上办理、网上出证。全面实行电子化审批模式，增强自助服务设施，健全自助服务功能，完善手机审批终端，推进办事移动化，助力群众办事“零上门”、“零跑腿”。</w:t>
      </w:r>
    </w:p>
    <w:p>
      <w:pPr>
        <w:pStyle w:val="22"/>
      </w:pPr>
      <w:r>
        <w:t>　　（二）大力推行“一窗受理”机制。按照“前台综合受理、后台分类审批、综合窗口出件”原则，探索设置“综合服务窗口”，首先在各业务科室设立综合窗口，推行一窗对外收出件，办事群众和审批人员不见面，强化受理人员业务技能培训，条件成熟后逐步实现全局的“一窗受理”。</w:t>
      </w:r>
    </w:p>
    <w:p>
      <w:pPr>
        <w:pStyle w:val="22"/>
      </w:pPr>
      <w:r>
        <w:t>　　（三）健全基层便民服务体系。强化镇、村便民服务中心建设，梳理制定审批服务事项下放清单，将一些简单的审批服务事项下放到乡镇直至村级便民服务中心，实现群众办事“就近办”。加强业务指导，通过组织培训、网络办公、现场演示、电话咨询等方式，全程指导镇、村做好事项办理工作，确保审批事项“放的下、接的住、办的好”。</w:t>
      </w:r>
    </w:p>
    <w:p>
      <w:pPr>
        <w:pStyle w:val="22"/>
      </w:pPr>
      <w:r>
        <w:t>　　（四）优化提升服务功能。除上级明确不宜进驻的事项外，为办理群众提供“一站式”服务。同时，以石家庄市行政审批标准化试点建设为契机，全面梳理制定标准化规范化的办事指南，形成统一规范的办事体系，为群众和企业办事提供明确清晰的指引。</w:t>
      </w:r>
    </w:p>
    <w:p>
      <w:pPr>
        <w:pStyle w:val="22"/>
      </w:pPr>
      <w:r>
        <w:t>分部</w:t>
      </w:r>
    </w:p>
    <w:p>
      <w:pPr>
        <w:pStyle w:val="22"/>
      </w:pPr>
      <w:r>
        <w:t>　　（五）研究制定数据资源采集、存储、使用、开放、共享等标准规范并监督实施，做好“互联网+政务服务”工作的规划、组织、推动及有关项目建设的管理，负责全区政务数据和公共服务平台建设管理工作，承担数据资源重点项目布局，研究拟订数据资源管理的标准体系和考核体系，负责区级智慧城市项目建设和数据资源基础设施的建设管理，拟订区级信息化项目及资金计划。</w:t>
      </w:r>
    </w:p>
    <w:p>
      <w:pPr>
        <w:pStyle w:val="22"/>
      </w:pPr>
      <w:r>
        <w:t>　　（六）组织协调、推进全区政务数据和公共数据资源的目录制定、归集管理、整理利用、共享开放，负责数据资源、政务信息化领域的对外交流合作，推动数据资源在政府管理和社会治理领导的应用，推动数据增值服务应用，指导全区经济社会各领域的数据开发利用工作，促进全区数据产业发展，负责指导数据相关技术研发，行业数据分析成果转化等工作。会同有关部门做好全区数据资源政务信息化人才培养等工作，推动全区网络跨行业、跨部门互联互通，负责指导全区社会数据安全保障体系建设工作，指导智慧城市政务服务等应用系统运行维护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　　1、持续深化“放管服”改革</w:t>
      </w:r>
    </w:p>
    <w:p>
      <w:pPr>
        <w:pStyle w:val="23"/>
      </w:pPr>
      <w:r>
        <w:t>　　绩效目标：组织协调全区推进政府职能转变和“放管服”改革工作；督导全区各地各有关部门贯彻落实党中央、国务院和省委、省政府关于深化“放管服”改革的各项决策部署，聚焦社会关注、企业关切、群众关心的堵点、痛点、难点问题，深化改革、完善工作，为全区优化营商环境做出积极贡献。</w:t>
      </w:r>
    </w:p>
    <w:p>
      <w:pPr>
        <w:pStyle w:val="23"/>
      </w:pPr>
      <w:r>
        <w:t>　　绩效指标：协调推动“放管服”改革工作，制定我区深化“放管服”改革重点任务工作安排,按时间节点要求完成90%以上改革任务；对全区各地各有关部门深化“放管服”改革优化营商环境方面的典型经验做法进行梳理总结，编辑印发“放管服”简报至少12份，宣传全区各地各部门“放管服”改革亮点工作；严密组织全省“放管服”改革专项督查，从体制机制、工作内容和方式方法等方面深入查找短板弱项，督促全区各级各部门加大工作力度，积极查漏补缺，主动改进提升，确保90%以上改革任务按时保质完成。</w:t>
      </w:r>
    </w:p>
    <w:p>
      <w:pPr>
        <w:pStyle w:val="23"/>
      </w:pPr>
      <w:r>
        <w:t>　　2、政务服务管理水平全面提升</w:t>
      </w:r>
    </w:p>
    <w:p>
      <w:pPr>
        <w:pStyle w:val="23"/>
      </w:pPr>
      <w:r>
        <w:t>　　绩效目标：深入开展相对集中行政许可权、行政备案等审批服务方面调研，加强行政审批制度改革制度建设；深化行政许可事项标准化建设，组织编制“能同尽同”事项实施清单，推进政务服务事项“五级N同”；加快推进各类政务服务热线整合，进一步规范政府服务热线受理、转办、督办、反馈、评价流程，及时回应企业和群众诉求，不断优化提升我省12345热线服务能力和水平。</w:t>
      </w:r>
    </w:p>
    <w:p>
      <w:pPr>
        <w:pStyle w:val="23"/>
      </w:pPr>
      <w:r>
        <w:t>　　绩效指标：出台行政审批制度改革相关制度文件，编制行政备案事项目录，构建全省标准统一的政务服务事项管理平台，提高整体服务水平。</w:t>
      </w:r>
    </w:p>
    <w:p>
      <w:pPr>
        <w:pStyle w:val="23"/>
      </w:pPr>
      <w:r>
        <w:t>　　3、提升社会信用体系建设水平</w:t>
      </w:r>
    </w:p>
    <w:p>
      <w:pPr>
        <w:pStyle w:val="23"/>
      </w:pPr>
      <w:r>
        <w:t>　　绩效目标：开展专项研究，完善信用监管机制，推动公共信用综合评价工作;健全联合奖惩机制;组织开展评估评价工作，提升我区社会信用体系建设水平。</w:t>
      </w:r>
    </w:p>
    <w:p>
      <w:pPr>
        <w:pStyle w:val="23"/>
      </w:pPr>
      <w:r>
        <w:t>　　绩效指标：形成河北省合同履约监管评价报告及评价模型，建立综合信用评价模型;健全守信激励和失信惩戒联动机制。</w:t>
      </w:r>
    </w:p>
    <w:p>
      <w:pPr>
        <w:pStyle w:val="23"/>
      </w:pPr>
      <w:r>
        <w:t>　　4、增强办事深度，加强事项监管</w:t>
      </w:r>
    </w:p>
    <w:p>
      <w:pPr>
        <w:pStyle w:val="23"/>
      </w:pPr>
      <w:r>
        <w:t>　　绩效目标：提升一体化在线政务服务平台建设水平，充分依托电子证照平台，重点增加事项网上办理的深度，由原来的仅网上受理，向更大范围的“最多跑一次”和全流程网办延伸，扩大网上服务的广度及深度，实现服务事项的标准化、规范化。网络建设推进有力，实现“互联网+监管”数据可共享。</w:t>
      </w:r>
    </w:p>
    <w:p>
      <w:pPr>
        <w:pStyle w:val="23"/>
      </w:pPr>
      <w:r>
        <w:t>　　绩效指标：确保全区政务服务工作统一受理、统一办理、协同共享；实现公共信用信息在全省范围内交换和共享，为平台的运行和数据存储提供安全、可靠、稳定的云基础资源环境；实现信用数据的归集、整理、共享、发布和管理；为全省企业、其它社会组织和个人三大信用信息数据库，建成各类主题数据库，为丰富的信用服务提供信息支撑；保障“信用河北”平台安全。</w:t>
      </w:r>
    </w:p>
    <w:p>
      <w:pPr>
        <w:pStyle w:val="23"/>
      </w:pPr>
      <w:r>
        <w:t>　　5、效能监督及投诉处理能力整体增强</w:t>
      </w:r>
    </w:p>
    <w:p>
      <w:pPr>
        <w:pStyle w:val="23"/>
      </w:pPr>
      <w:r>
        <w:t>　　绩效目标：抓好政务服务年度考核评价工作，依据年度重点工作任务不断调整年度考核指标，优化完善考核流程，促进考核工作更加科学化合理化，充分调动各地政务服务部门工作热情，发挥考核倒逼政务服务提质增效作用。</w:t>
      </w:r>
    </w:p>
    <w:p>
      <w:pPr>
        <w:pStyle w:val="23"/>
      </w:pPr>
      <w:r>
        <w:t>　　绩效指标：年度考评率达到100%，政务服务“好差评”渠道建设达到100%，各类投诉处理率达到90%以上，群众满意度提升率稳定在10%以上。</w:t>
      </w:r>
    </w:p>
    <w:p>
      <w:pPr>
        <w:pStyle w:val="23"/>
      </w:pPr>
      <w:r>
        <w:t>　　6、综合业务、事务管理能力整体增强</w:t>
      </w:r>
    </w:p>
    <w:p>
      <w:pPr>
        <w:pStyle w:val="23"/>
      </w:pPr>
      <w:r>
        <w:t>　　绩效目标：建立健全日常管理制度和工作流程，畅通办事渠道，提高工作效率；加强后勤管理，保障机关办公有序、车辆安全出行、电通水畅，协调做好房屋及水电暖设备维修、庭院绿化等后勤服务保障工作。</w:t>
      </w:r>
    </w:p>
    <w:p>
      <w:pPr>
        <w:pStyle w:val="23"/>
      </w:pPr>
      <w:r>
        <w:t>　　绩效指标：加强制度管理，推进规范运行，综合事务工作完成情况达到90%以上；保障机关工作正常高效运转，服务保障能力进一步提升，机关工作人员满意度达90%以上。</w:t>
      </w:r>
    </w:p>
    <w:p>
      <w:pPr>
        <w:pStyle w:val="23"/>
      </w:pPr>
      <w:r>
        <w:t>　　7、承担数据资源重点项目布局，研究拟订数据资源管理的标准体系和考核体系，负责区级智慧城市项目建设和数据资源基础设施的建设管理。</w:t>
      </w:r>
    </w:p>
    <w:p>
      <w:pPr>
        <w:pStyle w:val="23"/>
      </w:pPr>
      <w:r>
        <w:t>　　8、负责指导全区社会数据安全保障体系建设工作，指导智慧城市政务服务等应用系统运行维护工作。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　　1、强化统筹推动。全面加强组织领导，将各项任务全部纳入年度工作要点，完善改革举措，细化时间表、路线图、责任链，强力推进任务落实。</w:t>
      </w:r>
    </w:p>
    <w:p>
      <w:pPr>
        <w:pStyle w:val="24"/>
      </w:pPr>
      <w:r>
        <w:t>　　2、强化协同配合。建立统筹协调、分工协作、密切配合、合力推进的工作机制，厘清职责任务，细化政策措施，强化协作配合，形成工作合力。</w:t>
      </w:r>
    </w:p>
    <w:p>
      <w:pPr>
        <w:pStyle w:val="24"/>
      </w:pPr>
      <w:r>
        <w:t>　　3、强化任务落实。要求各责任部门提高重视程度，严格按照规定要求和时限，细化任务分工，倒排目标工期，狠抓工作落实，确保各项任务落实落地。围绕任务内容，组织开展专题培训和不定期的业务培训，提高工作人员的业务水平和操作能力。</w:t>
      </w:r>
    </w:p>
    <w:p>
      <w:pPr>
        <w:pStyle w:val="24"/>
      </w:pPr>
      <w:r>
        <w:t>　　4、强化督导考核。建立健全督导评估机制，对项工作情况适时开展专项督查评估，及时解决工作中遇到的问题。纳入考核体系，强化导向作用，对任务目标完成质量不高的，要在办内进行通报批评。</w:t>
      </w:r>
    </w:p>
    <w:p>
      <w:pPr>
        <w:pStyle w:val="24"/>
        <w:sectPr>
          <w:pgSz w:w="16840" w:h="11900" w:orient="landscape"/>
          <w:pgMar w:top="1361" w:right="1020" w:bottom="1361" w:left="1020" w:header="720" w:footer="720" w:gutter="0"/>
        </w:sectPr>
      </w:pPr>
      <w:r>
        <w:t>　　5、强化培训提升。组织开展多轮次、多角度的业务培训，使全办干部职工牢固树立绩效理念。各业务处室要积极探索工作经验，及时总结预算绩效管理成效，营造良好的舆论氛围，努力提升预算绩效管理水平。</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line="460" w:lineRule="exact"/>
        <w:ind w:firstLine="1280" w:firstLineChars="400"/>
        <w:rPr>
          <w:rFonts w:hint="eastAsia" w:ascii="黑体" w:hAnsi="黑体" w:eastAsia="黑体" w:cs="黑体"/>
          <w:color w:val="000000"/>
          <w:sz w:val="32"/>
        </w:rPr>
      </w:pPr>
      <w:r>
        <w:rPr>
          <w:rFonts w:hint="eastAsia" w:ascii="黑体" w:hAnsi="黑体" w:eastAsia="黑体" w:cs="黑体"/>
          <w:color w:val="000000"/>
          <w:sz w:val="32"/>
        </w:rPr>
        <w:t>我部门2025年无专项资金</w:t>
      </w:r>
    </w:p>
    <w:p>
      <w:pPr>
        <w:spacing w:before="10" w:after="10" w:line="360" w:lineRule="auto"/>
        <w:ind w:firstLine="640"/>
        <w:jc w:val="left"/>
        <w:outlineLvl w:val="2"/>
        <w:rPr>
          <w:rFonts w:hint="eastAsia" w:ascii="黑体" w:hAnsi="黑体" w:eastAsia="黑体" w:cs="黑体"/>
          <w:color w:val="000000"/>
          <w:sz w:val="32"/>
        </w:rPr>
        <w:sectPr>
          <w:pgSz w:w="16840" w:h="11900" w:orient="landscape"/>
          <w:pgMar w:top="1361" w:right="1020" w:bottom="1134" w:left="1020" w:header="720" w:footer="720" w:gutter="0"/>
        </w:sectPr>
      </w:pP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1、第三方中介服务费绩效目标表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13010925P000008105189</w:t>
            </w:r>
          </w:p>
        </w:tc>
        <w:tc>
          <w:tcPr>
            <w:tcW w:w="2835" w:type="dxa"/>
            <w:vAlign w:val="center"/>
          </w:tcPr>
          <w:p>
            <w:pPr>
              <w:pStyle w:val="11"/>
            </w:pPr>
            <w:r>
              <w:t>项目名称</w:t>
            </w:r>
          </w:p>
        </w:tc>
        <w:tc>
          <w:tcPr>
            <w:tcW w:w="6095" w:type="dxa"/>
            <w:gridSpan w:val="3"/>
            <w:vAlign w:val="center"/>
          </w:tcPr>
          <w:p>
            <w:pPr>
              <w:pStyle w:val="13"/>
            </w:pPr>
            <w:r>
              <w:t>第三方中介服务费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用于减轻企业负担，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15.00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1.为落实降费减负政策措施，减轻企业负担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涉及业务科室招标项目</w:t>
            </w:r>
          </w:p>
        </w:tc>
        <w:tc>
          <w:tcPr>
            <w:tcW w:w="5386" w:type="dxa"/>
            <w:vAlign w:val="center"/>
          </w:tcPr>
          <w:p>
            <w:pPr>
              <w:pStyle w:val="13"/>
            </w:pPr>
            <w:r>
              <w:t>具体4个科室7个招标内容</w:t>
            </w:r>
          </w:p>
        </w:tc>
        <w:tc>
          <w:tcPr>
            <w:tcW w:w="2268" w:type="dxa"/>
            <w:vAlign w:val="center"/>
          </w:tcPr>
          <w:p>
            <w:pPr>
              <w:pStyle w:val="13"/>
            </w:pPr>
            <w:r>
              <w:t>7项目</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招标完成率</w:t>
            </w:r>
          </w:p>
        </w:tc>
        <w:tc>
          <w:tcPr>
            <w:tcW w:w="5386" w:type="dxa"/>
            <w:vAlign w:val="center"/>
          </w:tcPr>
          <w:p>
            <w:pPr>
              <w:pStyle w:val="13"/>
            </w:pPr>
            <w:r>
              <w:t>7个招标内容需完成</w:t>
            </w:r>
          </w:p>
        </w:tc>
        <w:tc>
          <w:tcPr>
            <w:tcW w:w="2268" w:type="dxa"/>
            <w:vAlign w:val="center"/>
          </w:tcPr>
          <w:p>
            <w:pPr>
              <w:pStyle w:val="13"/>
            </w:pPr>
            <w:r>
              <w:t>≥1%</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计划完成时间</w:t>
            </w:r>
          </w:p>
        </w:tc>
        <w:tc>
          <w:tcPr>
            <w:tcW w:w="5386" w:type="dxa"/>
            <w:vAlign w:val="center"/>
          </w:tcPr>
          <w:p>
            <w:pPr>
              <w:pStyle w:val="13"/>
            </w:pPr>
            <w:r>
              <w:t>2025年上半年</w:t>
            </w:r>
          </w:p>
        </w:tc>
        <w:tc>
          <w:tcPr>
            <w:tcW w:w="2268" w:type="dxa"/>
            <w:vAlign w:val="center"/>
          </w:tcPr>
          <w:p>
            <w:pPr>
              <w:pStyle w:val="13"/>
            </w:pPr>
            <w:r>
              <w:t>2025年6月</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w:t>
            </w:r>
          </w:p>
        </w:tc>
        <w:tc>
          <w:tcPr>
            <w:tcW w:w="5386" w:type="dxa"/>
            <w:vAlign w:val="center"/>
          </w:tcPr>
          <w:p>
            <w:pPr>
              <w:pStyle w:val="13"/>
            </w:pPr>
            <w:r>
              <w:t>控制中标单位中标金额</w:t>
            </w:r>
          </w:p>
        </w:tc>
        <w:tc>
          <w:tcPr>
            <w:tcW w:w="2268" w:type="dxa"/>
            <w:vAlign w:val="center"/>
          </w:tcPr>
          <w:p>
            <w:pPr>
              <w:pStyle w:val="13"/>
            </w:pPr>
            <w:r>
              <w:t>15万</w:t>
            </w:r>
          </w:p>
        </w:tc>
        <w:tc>
          <w:tcPr>
            <w:tcW w:w="1276" w:type="dxa"/>
            <w:vAlign w:val="center"/>
          </w:tcPr>
          <w:p>
            <w:pPr>
              <w:pStyle w:val="13"/>
            </w:pPr>
            <w:r>
              <w:t>控制成本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≥95%</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保障正常办公</w:t>
            </w:r>
          </w:p>
        </w:tc>
        <w:tc>
          <w:tcPr>
            <w:tcW w:w="5386" w:type="dxa"/>
            <w:vAlign w:val="center"/>
          </w:tcPr>
          <w:p>
            <w:pPr>
              <w:pStyle w:val="13"/>
            </w:pPr>
            <w:r>
              <w:t>保障正常办公</w:t>
            </w:r>
          </w:p>
        </w:tc>
        <w:tc>
          <w:tcPr>
            <w:tcW w:w="2268" w:type="dxa"/>
            <w:vAlign w:val="center"/>
          </w:tcPr>
          <w:p>
            <w:pPr>
              <w:pStyle w:val="13"/>
            </w:pPr>
            <w:r>
              <w:t>保障正常办公</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满意程度 </w:t>
            </w:r>
          </w:p>
        </w:tc>
        <w:tc>
          <w:tcPr>
            <w:tcW w:w="5386" w:type="dxa"/>
            <w:vAlign w:val="center"/>
          </w:tcPr>
          <w:p>
            <w:pPr>
              <w:pStyle w:val="13"/>
            </w:pPr>
            <w:r>
              <w:t>企业满意度</w:t>
            </w:r>
          </w:p>
        </w:tc>
        <w:tc>
          <w:tcPr>
            <w:tcW w:w="2268" w:type="dxa"/>
            <w:vAlign w:val="center"/>
          </w:tcPr>
          <w:p>
            <w:pPr>
              <w:pStyle w:val="13"/>
            </w:pPr>
            <w:r>
              <w:t>满席度</w:t>
            </w:r>
          </w:p>
        </w:tc>
        <w:tc>
          <w:tcPr>
            <w:tcW w:w="1276" w:type="dxa"/>
            <w:vAlign w:val="center"/>
          </w:tcPr>
          <w:p>
            <w:pPr>
              <w:pStyle w:val="13"/>
            </w:pPr>
            <w:r>
              <w:t>领导批示</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2、各类印刷品经费绩效目标表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13010925P00000810515E</w:t>
            </w:r>
          </w:p>
        </w:tc>
        <w:tc>
          <w:tcPr>
            <w:tcW w:w="2835" w:type="dxa"/>
            <w:vAlign w:val="center"/>
          </w:tcPr>
          <w:p>
            <w:pPr>
              <w:pStyle w:val="11"/>
            </w:pPr>
            <w:r>
              <w:t>项目名称</w:t>
            </w:r>
          </w:p>
        </w:tc>
        <w:tc>
          <w:tcPr>
            <w:tcW w:w="6095" w:type="dxa"/>
            <w:gridSpan w:val="3"/>
            <w:vAlign w:val="center"/>
          </w:tcPr>
          <w:p>
            <w:pPr>
              <w:pStyle w:val="13"/>
            </w:pPr>
            <w:r>
              <w:t>各类印刷品经费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w:t>
            </w:r>
          </w:p>
        </w:tc>
        <w:tc>
          <w:tcPr>
            <w:tcW w:w="2835" w:type="dxa"/>
            <w:vAlign w:val="center"/>
          </w:tcPr>
          <w:p>
            <w:pPr>
              <w:pStyle w:val="11"/>
            </w:pPr>
            <w:r>
              <w:t>其中：财政    资金</w:t>
            </w:r>
          </w:p>
        </w:tc>
        <w:tc>
          <w:tcPr>
            <w:tcW w:w="2551" w:type="dxa"/>
            <w:vAlign w:val="center"/>
          </w:tcPr>
          <w:p>
            <w:pPr>
              <w:pStyle w:val="13"/>
            </w:pPr>
            <w:r>
              <w:t>2.40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用于单位日常印刷费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2.40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1.保证局内日常办公用印刷费用。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印刷品类</w:t>
            </w:r>
          </w:p>
        </w:tc>
        <w:tc>
          <w:tcPr>
            <w:tcW w:w="5386" w:type="dxa"/>
            <w:vAlign w:val="center"/>
          </w:tcPr>
          <w:p>
            <w:pPr>
              <w:pStyle w:val="13"/>
            </w:pPr>
            <w:r>
              <w:t>涉及多部门约30种印刷品</w:t>
            </w:r>
          </w:p>
        </w:tc>
        <w:tc>
          <w:tcPr>
            <w:tcW w:w="2268" w:type="dxa"/>
            <w:vAlign w:val="center"/>
          </w:tcPr>
          <w:p>
            <w:pPr>
              <w:pStyle w:val="13"/>
            </w:pPr>
            <w:r>
              <w:t>30种</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印刷产品质量保障</w:t>
            </w:r>
          </w:p>
        </w:tc>
        <w:tc>
          <w:tcPr>
            <w:tcW w:w="5386" w:type="dxa"/>
            <w:vAlign w:val="center"/>
          </w:tcPr>
          <w:p>
            <w:pPr>
              <w:pStyle w:val="13"/>
            </w:pPr>
            <w:r>
              <w:t>按相关规定要求印刷，保障质量</w:t>
            </w:r>
          </w:p>
        </w:tc>
        <w:tc>
          <w:tcPr>
            <w:tcW w:w="2268" w:type="dxa"/>
            <w:vAlign w:val="center"/>
          </w:tcPr>
          <w:p>
            <w:pPr>
              <w:pStyle w:val="13"/>
            </w:pPr>
            <w:r>
              <w:t>保障质量</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支付时效</w:t>
            </w:r>
          </w:p>
        </w:tc>
        <w:tc>
          <w:tcPr>
            <w:tcW w:w="5386" w:type="dxa"/>
            <w:vAlign w:val="center"/>
          </w:tcPr>
          <w:p>
            <w:pPr>
              <w:pStyle w:val="13"/>
            </w:pPr>
            <w:r>
              <w:t>年末核算支付</w:t>
            </w:r>
          </w:p>
        </w:tc>
        <w:tc>
          <w:tcPr>
            <w:tcW w:w="2268" w:type="dxa"/>
            <w:vAlign w:val="center"/>
          </w:tcPr>
          <w:p>
            <w:pPr>
              <w:pStyle w:val="13"/>
            </w:pPr>
            <w:r>
              <w:t>2025年12月</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w:t>
            </w:r>
          </w:p>
        </w:tc>
        <w:tc>
          <w:tcPr>
            <w:tcW w:w="5386" w:type="dxa"/>
            <w:vAlign w:val="center"/>
          </w:tcPr>
          <w:p>
            <w:pPr>
              <w:pStyle w:val="13"/>
            </w:pPr>
            <w:r>
              <w:t>控制30种品类内</w:t>
            </w:r>
          </w:p>
        </w:tc>
        <w:tc>
          <w:tcPr>
            <w:tcW w:w="2268" w:type="dxa"/>
            <w:vAlign w:val="center"/>
          </w:tcPr>
          <w:p>
            <w:pPr>
              <w:pStyle w:val="13"/>
            </w:pPr>
            <w:r>
              <w:t>30种类</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保障正常办公</w:t>
            </w:r>
          </w:p>
        </w:tc>
        <w:tc>
          <w:tcPr>
            <w:tcW w:w="5386" w:type="dxa"/>
            <w:vAlign w:val="center"/>
          </w:tcPr>
          <w:p>
            <w:pPr>
              <w:pStyle w:val="13"/>
            </w:pPr>
            <w:r>
              <w:t>保障业务正常开展</w:t>
            </w:r>
          </w:p>
        </w:tc>
        <w:tc>
          <w:tcPr>
            <w:tcW w:w="2268" w:type="dxa"/>
            <w:vAlign w:val="center"/>
          </w:tcPr>
          <w:p>
            <w:pPr>
              <w:pStyle w:val="13"/>
            </w:pPr>
            <w:r>
              <w:t>保障正常工作开展</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满意程度 </w:t>
            </w:r>
          </w:p>
        </w:tc>
        <w:tc>
          <w:tcPr>
            <w:tcW w:w="5386" w:type="dxa"/>
            <w:vAlign w:val="center"/>
          </w:tcPr>
          <w:p>
            <w:pPr>
              <w:pStyle w:val="13"/>
            </w:pPr>
            <w:r>
              <w:t>办事群众满意</w:t>
            </w:r>
          </w:p>
        </w:tc>
        <w:tc>
          <w:tcPr>
            <w:tcW w:w="2268" w:type="dxa"/>
            <w:vAlign w:val="center"/>
          </w:tcPr>
          <w:p>
            <w:pPr>
              <w:pStyle w:val="13"/>
            </w:pPr>
            <w:r>
              <w:t>办事群众满意度</w:t>
            </w:r>
          </w:p>
        </w:tc>
        <w:tc>
          <w:tcPr>
            <w:tcW w:w="1276" w:type="dxa"/>
            <w:vAlign w:val="center"/>
          </w:tcPr>
          <w:p>
            <w:pPr>
              <w:pStyle w:val="13"/>
            </w:pPr>
            <w:r>
              <w:t>领导批示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3、公共资源交易中心房租绩效目标表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13010925P000008105162</w:t>
            </w:r>
          </w:p>
        </w:tc>
        <w:tc>
          <w:tcPr>
            <w:tcW w:w="2835" w:type="dxa"/>
            <w:vAlign w:val="center"/>
          </w:tcPr>
          <w:p>
            <w:pPr>
              <w:pStyle w:val="11"/>
            </w:pPr>
            <w:r>
              <w:t>项目名称</w:t>
            </w:r>
          </w:p>
        </w:tc>
        <w:tc>
          <w:tcPr>
            <w:tcW w:w="6095" w:type="dxa"/>
            <w:gridSpan w:val="3"/>
            <w:vAlign w:val="center"/>
          </w:tcPr>
          <w:p>
            <w:pPr>
              <w:pStyle w:val="13"/>
            </w:pPr>
            <w:r>
              <w:t>公共资源交易中心房租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用于公共资源交易中心办公用房租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1.保证交易中心场所正常使用。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租赁办公用房面积</w:t>
            </w:r>
          </w:p>
        </w:tc>
        <w:tc>
          <w:tcPr>
            <w:tcW w:w="5386" w:type="dxa"/>
            <w:vAlign w:val="center"/>
          </w:tcPr>
          <w:p>
            <w:pPr>
              <w:pStyle w:val="13"/>
            </w:pPr>
            <w:r>
              <w:t>两层共2500平米</w:t>
            </w:r>
          </w:p>
        </w:tc>
        <w:tc>
          <w:tcPr>
            <w:tcW w:w="2268" w:type="dxa"/>
            <w:vAlign w:val="center"/>
          </w:tcPr>
          <w:p>
            <w:pPr>
              <w:pStyle w:val="13"/>
            </w:pPr>
            <w:r>
              <w:t>1平米</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资金支付完成率</w:t>
            </w:r>
          </w:p>
        </w:tc>
        <w:tc>
          <w:tcPr>
            <w:tcW w:w="5386" w:type="dxa"/>
            <w:vAlign w:val="center"/>
          </w:tcPr>
          <w:p>
            <w:pPr>
              <w:pStyle w:val="13"/>
            </w:pPr>
            <w:r>
              <w:t>房租支付一次性</w:t>
            </w:r>
          </w:p>
        </w:tc>
        <w:tc>
          <w:tcPr>
            <w:tcW w:w="2268" w:type="dxa"/>
            <w:vAlign w:val="center"/>
          </w:tcPr>
          <w:p>
            <w:pPr>
              <w:pStyle w:val="13"/>
            </w:pPr>
            <w:r>
              <w:t>≥95%</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资金及时支付</w:t>
            </w:r>
          </w:p>
        </w:tc>
        <w:tc>
          <w:tcPr>
            <w:tcW w:w="5386" w:type="dxa"/>
            <w:vAlign w:val="center"/>
          </w:tcPr>
          <w:p>
            <w:pPr>
              <w:pStyle w:val="13"/>
            </w:pPr>
            <w:r>
              <w:t>资金支付时间</w:t>
            </w:r>
          </w:p>
        </w:tc>
        <w:tc>
          <w:tcPr>
            <w:tcW w:w="2268" w:type="dxa"/>
            <w:vAlign w:val="center"/>
          </w:tcPr>
          <w:p>
            <w:pPr>
              <w:pStyle w:val="13"/>
            </w:pPr>
            <w:r>
              <w:t>2025年10月</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核算单位资金成本</w:t>
            </w:r>
          </w:p>
        </w:tc>
        <w:tc>
          <w:tcPr>
            <w:tcW w:w="2268" w:type="dxa"/>
            <w:vAlign w:val="center"/>
          </w:tcPr>
          <w:p>
            <w:pPr>
              <w:pStyle w:val="13"/>
            </w:pPr>
            <w:r>
              <w:t>15万全年</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保障正常办公</w:t>
            </w:r>
          </w:p>
        </w:tc>
        <w:tc>
          <w:tcPr>
            <w:tcW w:w="5386" w:type="dxa"/>
            <w:vAlign w:val="center"/>
          </w:tcPr>
          <w:p>
            <w:pPr>
              <w:pStyle w:val="13"/>
            </w:pPr>
            <w:r>
              <w:t>保障正常办公</w:t>
            </w:r>
          </w:p>
        </w:tc>
        <w:tc>
          <w:tcPr>
            <w:tcW w:w="2268" w:type="dxa"/>
            <w:vAlign w:val="center"/>
          </w:tcPr>
          <w:p>
            <w:pPr>
              <w:pStyle w:val="13"/>
            </w:pPr>
            <w:r>
              <w:t>保障正常办公</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工作人员对办公场所的满意程度</w:t>
            </w:r>
          </w:p>
        </w:tc>
        <w:tc>
          <w:tcPr>
            <w:tcW w:w="2268" w:type="dxa"/>
            <w:vAlign w:val="center"/>
          </w:tcPr>
          <w:p>
            <w:pPr>
              <w:pStyle w:val="13"/>
            </w:pPr>
            <w:r>
              <w:t>工作人员满意度</w:t>
            </w:r>
          </w:p>
        </w:tc>
        <w:tc>
          <w:tcPr>
            <w:tcW w:w="1276" w:type="dxa"/>
            <w:vAlign w:val="center"/>
          </w:tcPr>
          <w:p>
            <w:pPr>
              <w:pStyle w:val="13"/>
            </w:pPr>
            <w:r>
              <w:t>领导批示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4、劳务派遣人员经费绩效目标表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13010925P000008105208</w:t>
            </w:r>
          </w:p>
        </w:tc>
        <w:tc>
          <w:tcPr>
            <w:tcW w:w="2835" w:type="dxa"/>
            <w:vAlign w:val="center"/>
          </w:tcPr>
          <w:p>
            <w:pPr>
              <w:pStyle w:val="11"/>
            </w:pPr>
            <w:r>
              <w:t>项目名称</w:t>
            </w:r>
          </w:p>
        </w:tc>
        <w:tc>
          <w:tcPr>
            <w:tcW w:w="6095" w:type="dxa"/>
            <w:gridSpan w:val="3"/>
            <w:vAlign w:val="center"/>
          </w:tcPr>
          <w:p>
            <w:pPr>
              <w:pStyle w:val="13"/>
            </w:pPr>
            <w:r>
              <w:t>劳务派遣人员经费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251.77</w:t>
            </w:r>
          </w:p>
        </w:tc>
        <w:tc>
          <w:tcPr>
            <w:tcW w:w="2835" w:type="dxa"/>
            <w:vAlign w:val="center"/>
          </w:tcPr>
          <w:p>
            <w:pPr>
              <w:pStyle w:val="11"/>
            </w:pPr>
            <w:r>
              <w:t>其中：财政    资金</w:t>
            </w:r>
          </w:p>
        </w:tc>
        <w:tc>
          <w:tcPr>
            <w:tcW w:w="2551" w:type="dxa"/>
            <w:vAlign w:val="center"/>
          </w:tcPr>
          <w:p>
            <w:pPr>
              <w:pStyle w:val="13"/>
            </w:pPr>
            <w:r>
              <w:t>251.77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用于发放单位聘用派遣人员工资。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75.53</w:t>
            </w:r>
          </w:p>
        </w:tc>
        <w:tc>
          <w:tcPr>
            <w:tcW w:w="2835" w:type="dxa"/>
            <w:vAlign w:val="center"/>
          </w:tcPr>
          <w:p>
            <w:pPr>
              <w:pStyle w:val="14"/>
            </w:pPr>
            <w:r>
              <w:t>151.10</w:t>
            </w:r>
          </w:p>
        </w:tc>
        <w:tc>
          <w:tcPr>
            <w:tcW w:w="2551" w:type="dxa"/>
            <w:vAlign w:val="center"/>
          </w:tcPr>
          <w:p>
            <w:pPr>
              <w:pStyle w:val="14"/>
            </w:pPr>
            <w:r>
              <w:t>226.60</w:t>
            </w:r>
          </w:p>
        </w:tc>
        <w:tc>
          <w:tcPr>
            <w:tcW w:w="3544" w:type="dxa"/>
            <w:gridSpan w:val="2"/>
            <w:vAlign w:val="center"/>
          </w:tcPr>
          <w:p>
            <w:pPr>
              <w:pStyle w:val="14"/>
            </w:pPr>
            <w:r>
              <w:t>251.77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1.增加劳务派遣人员，保障大厅正常办公。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单位劳务派遣人数</w:t>
            </w:r>
          </w:p>
        </w:tc>
        <w:tc>
          <w:tcPr>
            <w:tcW w:w="5386" w:type="dxa"/>
            <w:vAlign w:val="center"/>
          </w:tcPr>
          <w:p>
            <w:pPr>
              <w:pStyle w:val="13"/>
            </w:pPr>
            <w:r>
              <w:t>劳务派遣人员58名</w:t>
            </w:r>
          </w:p>
        </w:tc>
        <w:tc>
          <w:tcPr>
            <w:tcW w:w="2268" w:type="dxa"/>
            <w:vAlign w:val="center"/>
          </w:tcPr>
          <w:p>
            <w:pPr>
              <w:pStyle w:val="13"/>
            </w:pPr>
            <w:r>
              <w:t>1人</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5386" w:type="dxa"/>
            <w:vAlign w:val="center"/>
          </w:tcPr>
          <w:p>
            <w:pPr>
              <w:pStyle w:val="13"/>
            </w:pPr>
            <w:r>
              <w:t>按季度进行考核</w:t>
            </w:r>
          </w:p>
        </w:tc>
        <w:tc>
          <w:tcPr>
            <w:tcW w:w="2268" w:type="dxa"/>
            <w:vAlign w:val="center"/>
          </w:tcPr>
          <w:p>
            <w:pPr>
              <w:pStyle w:val="13"/>
            </w:pPr>
            <w:r>
              <w:t>1次</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人员在岗时间</w:t>
            </w:r>
          </w:p>
        </w:tc>
        <w:tc>
          <w:tcPr>
            <w:tcW w:w="5386" w:type="dxa"/>
            <w:vAlign w:val="center"/>
          </w:tcPr>
          <w:p>
            <w:pPr>
              <w:pStyle w:val="13"/>
            </w:pPr>
            <w:r>
              <w:t>人员在岗时间</w:t>
            </w:r>
          </w:p>
        </w:tc>
        <w:tc>
          <w:tcPr>
            <w:tcW w:w="2268" w:type="dxa"/>
            <w:vAlign w:val="center"/>
          </w:tcPr>
          <w:p>
            <w:pPr>
              <w:pStyle w:val="13"/>
            </w:pPr>
            <w:r>
              <w:t>1年度</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劳务派遣人员年度工资标准</w:t>
            </w:r>
          </w:p>
        </w:tc>
        <w:tc>
          <w:tcPr>
            <w:tcW w:w="2268" w:type="dxa"/>
            <w:vAlign w:val="center"/>
          </w:tcPr>
          <w:p>
            <w:pPr>
              <w:pStyle w:val="13"/>
            </w:pPr>
            <w:r>
              <w:t>4.34人</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保证大厅正常办公</w:t>
            </w:r>
          </w:p>
        </w:tc>
        <w:tc>
          <w:tcPr>
            <w:tcW w:w="5386" w:type="dxa"/>
            <w:vAlign w:val="center"/>
          </w:tcPr>
          <w:p>
            <w:pPr>
              <w:pStyle w:val="13"/>
            </w:pPr>
            <w:r>
              <w:t>保证大厅各项审批业务正常办公</w:t>
            </w:r>
          </w:p>
        </w:tc>
        <w:tc>
          <w:tcPr>
            <w:tcW w:w="2268" w:type="dxa"/>
            <w:vAlign w:val="center"/>
          </w:tcPr>
          <w:p>
            <w:pPr>
              <w:pStyle w:val="13"/>
            </w:pPr>
            <w:r>
              <w:t>保障正常办公</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派遣人员满意度</w:t>
            </w:r>
          </w:p>
        </w:tc>
        <w:tc>
          <w:tcPr>
            <w:tcW w:w="2268" w:type="dxa"/>
            <w:vAlign w:val="center"/>
          </w:tcPr>
          <w:p>
            <w:pPr>
              <w:pStyle w:val="13"/>
            </w:pPr>
            <w:r>
              <w:t>≥95派遣人员满意度</w:t>
            </w:r>
          </w:p>
        </w:tc>
        <w:tc>
          <w:tcPr>
            <w:tcW w:w="1276" w:type="dxa"/>
            <w:vAlign w:val="center"/>
          </w:tcPr>
          <w:p>
            <w:pPr>
              <w:pStyle w:val="13"/>
            </w:pPr>
            <w:r>
              <w:t>领导批示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5、政务服务中心运行维护费绩效目标表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13010925P00000810517M</w:t>
            </w:r>
          </w:p>
        </w:tc>
        <w:tc>
          <w:tcPr>
            <w:tcW w:w="2835" w:type="dxa"/>
            <w:vAlign w:val="center"/>
          </w:tcPr>
          <w:p>
            <w:pPr>
              <w:pStyle w:val="11"/>
            </w:pPr>
            <w:r>
              <w:t>项目名称</w:t>
            </w:r>
          </w:p>
        </w:tc>
        <w:tc>
          <w:tcPr>
            <w:tcW w:w="6095" w:type="dxa"/>
            <w:gridSpan w:val="3"/>
            <w:vAlign w:val="center"/>
          </w:tcPr>
          <w:p>
            <w:pPr>
              <w:pStyle w:val="13"/>
            </w:pPr>
            <w:r>
              <w:t>政务服务中心运行维护费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9.25</w:t>
            </w:r>
          </w:p>
        </w:tc>
        <w:tc>
          <w:tcPr>
            <w:tcW w:w="2835" w:type="dxa"/>
            <w:vAlign w:val="center"/>
          </w:tcPr>
          <w:p>
            <w:pPr>
              <w:pStyle w:val="11"/>
            </w:pPr>
            <w:r>
              <w:t>其中：财政    资金</w:t>
            </w:r>
          </w:p>
        </w:tc>
        <w:tc>
          <w:tcPr>
            <w:tcW w:w="2551" w:type="dxa"/>
            <w:vAlign w:val="center"/>
          </w:tcPr>
          <w:p>
            <w:pPr>
              <w:pStyle w:val="13"/>
            </w:pPr>
            <w:r>
              <w:t>9.25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用于保障单位正常运转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5.00</w:t>
            </w:r>
          </w:p>
        </w:tc>
        <w:tc>
          <w:tcPr>
            <w:tcW w:w="2551" w:type="dxa"/>
            <w:vAlign w:val="center"/>
          </w:tcPr>
          <w:p>
            <w:pPr>
              <w:pStyle w:val="14"/>
            </w:pPr>
            <w:r>
              <w:t xml:space="preserve"> </w:t>
            </w:r>
          </w:p>
        </w:tc>
        <w:tc>
          <w:tcPr>
            <w:tcW w:w="3544" w:type="dxa"/>
            <w:gridSpan w:val="2"/>
            <w:vAlign w:val="center"/>
          </w:tcPr>
          <w:p>
            <w:pPr>
              <w:pStyle w:val="14"/>
            </w:pPr>
            <w:r>
              <w:t>9.25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1.保证大厅日常正常办公秩序。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支付单位正常运转项目费用</w:t>
            </w:r>
          </w:p>
        </w:tc>
        <w:tc>
          <w:tcPr>
            <w:tcW w:w="5386" w:type="dxa"/>
            <w:vAlign w:val="center"/>
          </w:tcPr>
          <w:p>
            <w:pPr>
              <w:pStyle w:val="13"/>
            </w:pPr>
            <w:r>
              <w:t>各项正常支出</w:t>
            </w:r>
          </w:p>
        </w:tc>
        <w:tc>
          <w:tcPr>
            <w:tcW w:w="2268" w:type="dxa"/>
            <w:vAlign w:val="center"/>
          </w:tcPr>
          <w:p>
            <w:pPr>
              <w:pStyle w:val="13"/>
            </w:pPr>
            <w:r>
              <w:t>9.25万</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各项支付工作完成率</w:t>
            </w:r>
          </w:p>
        </w:tc>
        <w:tc>
          <w:tcPr>
            <w:tcW w:w="5386" w:type="dxa"/>
            <w:vAlign w:val="center"/>
          </w:tcPr>
          <w:p>
            <w:pPr>
              <w:pStyle w:val="13"/>
            </w:pPr>
            <w:r>
              <w:t>支付时间</w:t>
            </w:r>
          </w:p>
        </w:tc>
        <w:tc>
          <w:tcPr>
            <w:tcW w:w="2268" w:type="dxa"/>
            <w:vAlign w:val="center"/>
          </w:tcPr>
          <w:p>
            <w:pPr>
              <w:pStyle w:val="13"/>
            </w:pPr>
            <w:r>
              <w:t>25年1月-12月</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计划完成时间</w:t>
            </w:r>
          </w:p>
        </w:tc>
        <w:tc>
          <w:tcPr>
            <w:tcW w:w="5386" w:type="dxa"/>
            <w:vAlign w:val="center"/>
          </w:tcPr>
          <w:p>
            <w:pPr>
              <w:pStyle w:val="13"/>
            </w:pPr>
            <w:r>
              <w:t>2025年全年</w:t>
            </w:r>
          </w:p>
        </w:tc>
        <w:tc>
          <w:tcPr>
            <w:tcW w:w="2268" w:type="dxa"/>
            <w:vAlign w:val="center"/>
          </w:tcPr>
          <w:p>
            <w:pPr>
              <w:pStyle w:val="13"/>
            </w:pPr>
            <w:r>
              <w:t>25年1月-12月</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年度维护成本增长率</w:t>
            </w:r>
          </w:p>
        </w:tc>
        <w:tc>
          <w:tcPr>
            <w:tcW w:w="5386" w:type="dxa"/>
            <w:vAlign w:val="center"/>
          </w:tcPr>
          <w:p>
            <w:pPr>
              <w:pStyle w:val="13"/>
            </w:pPr>
            <w:r>
              <w:t>年度同期增长率不加</w:t>
            </w:r>
          </w:p>
        </w:tc>
        <w:tc>
          <w:tcPr>
            <w:tcW w:w="2268" w:type="dxa"/>
            <w:vAlign w:val="center"/>
          </w:tcPr>
          <w:p>
            <w:pPr>
              <w:pStyle w:val="13"/>
            </w:pPr>
            <w:r>
              <w:t>≥1%</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单位正常运行维护</w:t>
            </w:r>
          </w:p>
        </w:tc>
        <w:tc>
          <w:tcPr>
            <w:tcW w:w="5386" w:type="dxa"/>
            <w:vAlign w:val="center"/>
          </w:tcPr>
          <w:p>
            <w:pPr>
              <w:pStyle w:val="13"/>
            </w:pPr>
            <w:r>
              <w:t>保障单位正常运转</w:t>
            </w:r>
          </w:p>
        </w:tc>
        <w:tc>
          <w:tcPr>
            <w:tcW w:w="2268" w:type="dxa"/>
            <w:vAlign w:val="center"/>
          </w:tcPr>
          <w:p>
            <w:pPr>
              <w:pStyle w:val="13"/>
            </w:pPr>
            <w:r>
              <w:t>保障正常运转</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职工满意情况</w:t>
            </w:r>
          </w:p>
        </w:tc>
        <w:tc>
          <w:tcPr>
            <w:tcW w:w="2268" w:type="dxa"/>
            <w:vAlign w:val="center"/>
          </w:tcPr>
          <w:p>
            <w:pPr>
              <w:pStyle w:val="13"/>
            </w:pPr>
            <w:r>
              <w:t>职工满意度</w:t>
            </w:r>
          </w:p>
        </w:tc>
        <w:tc>
          <w:tcPr>
            <w:tcW w:w="1276" w:type="dxa"/>
            <w:vAlign w:val="center"/>
          </w:tcPr>
          <w:p>
            <w:pPr>
              <w:pStyle w:val="13"/>
            </w:pPr>
            <w:r>
              <w:t>领导批示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6、智慧城市项目运营维护绩效目标表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13010925P000008105427</w:t>
            </w:r>
          </w:p>
        </w:tc>
        <w:tc>
          <w:tcPr>
            <w:tcW w:w="2835" w:type="dxa"/>
            <w:vAlign w:val="center"/>
          </w:tcPr>
          <w:p>
            <w:pPr>
              <w:pStyle w:val="11"/>
            </w:pPr>
            <w:r>
              <w:t>项目名称</w:t>
            </w:r>
          </w:p>
        </w:tc>
        <w:tc>
          <w:tcPr>
            <w:tcW w:w="6095" w:type="dxa"/>
            <w:gridSpan w:val="3"/>
            <w:vAlign w:val="center"/>
          </w:tcPr>
          <w:p>
            <w:pPr>
              <w:pStyle w:val="13"/>
            </w:pPr>
            <w:r>
              <w:t>智慧城市项目运营维护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用于智慧城市项目运营维护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1.保证藁城智慧城市项目正常运营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智慧城市维护项目数量</w:t>
            </w:r>
          </w:p>
        </w:tc>
        <w:tc>
          <w:tcPr>
            <w:tcW w:w="5386" w:type="dxa"/>
            <w:vAlign w:val="center"/>
          </w:tcPr>
          <w:p>
            <w:pPr>
              <w:pStyle w:val="13"/>
            </w:pPr>
            <w:r>
              <w:t>7项维护费用</w:t>
            </w:r>
          </w:p>
        </w:tc>
        <w:tc>
          <w:tcPr>
            <w:tcW w:w="2268" w:type="dxa"/>
            <w:vAlign w:val="center"/>
          </w:tcPr>
          <w:p>
            <w:pPr>
              <w:pStyle w:val="13"/>
            </w:pPr>
            <w:r>
              <w:t>1全年7项</w:t>
            </w:r>
          </w:p>
        </w:tc>
        <w:tc>
          <w:tcPr>
            <w:tcW w:w="1276" w:type="dxa"/>
            <w:vAlign w:val="center"/>
          </w:tcPr>
          <w:p>
            <w:pPr>
              <w:pStyle w:val="13"/>
            </w:pPr>
            <w:r>
              <w:t>资金支付率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资金发放完成率</w:t>
            </w:r>
          </w:p>
        </w:tc>
        <w:tc>
          <w:tcPr>
            <w:tcW w:w="5386" w:type="dxa"/>
            <w:vAlign w:val="center"/>
          </w:tcPr>
          <w:p>
            <w:pPr>
              <w:pStyle w:val="13"/>
            </w:pPr>
            <w:r>
              <w:t>实际支付维护费用</w:t>
            </w:r>
          </w:p>
        </w:tc>
        <w:tc>
          <w:tcPr>
            <w:tcW w:w="2268" w:type="dxa"/>
            <w:vAlign w:val="center"/>
          </w:tcPr>
          <w:p>
            <w:pPr>
              <w:pStyle w:val="13"/>
            </w:pPr>
            <w:r>
              <w:t>100%</w:t>
            </w:r>
          </w:p>
        </w:tc>
        <w:tc>
          <w:tcPr>
            <w:tcW w:w="1276" w:type="dxa"/>
            <w:vAlign w:val="center"/>
          </w:tcPr>
          <w:p>
            <w:pPr>
              <w:pStyle w:val="13"/>
            </w:pPr>
            <w:r>
              <w:t>资金到位率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资金及时支出</w:t>
            </w:r>
          </w:p>
        </w:tc>
        <w:tc>
          <w:tcPr>
            <w:tcW w:w="5386" w:type="dxa"/>
            <w:vAlign w:val="center"/>
          </w:tcPr>
          <w:p>
            <w:pPr>
              <w:pStyle w:val="13"/>
            </w:pPr>
            <w:r>
              <w:t>资金支出时间</w:t>
            </w:r>
          </w:p>
        </w:tc>
        <w:tc>
          <w:tcPr>
            <w:tcW w:w="2268" w:type="dxa"/>
            <w:vAlign w:val="center"/>
          </w:tcPr>
          <w:p>
            <w:pPr>
              <w:pStyle w:val="13"/>
            </w:pPr>
            <w:r>
              <w:t>2025年12月</w:t>
            </w:r>
          </w:p>
        </w:tc>
        <w:tc>
          <w:tcPr>
            <w:tcW w:w="1276" w:type="dxa"/>
            <w:vAlign w:val="center"/>
          </w:tcPr>
          <w:p>
            <w:pPr>
              <w:pStyle w:val="13"/>
            </w:pPr>
            <w:r>
              <w:t>支付及时率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≤100全年成本</w:t>
            </w:r>
          </w:p>
        </w:tc>
        <w:tc>
          <w:tcPr>
            <w:tcW w:w="1276" w:type="dxa"/>
            <w:vAlign w:val="center"/>
          </w:tcPr>
          <w:p>
            <w:pPr>
              <w:pStyle w:val="13"/>
            </w:pPr>
            <w:r>
              <w:t>资金成本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保障正常办公</w:t>
            </w:r>
          </w:p>
        </w:tc>
        <w:tc>
          <w:tcPr>
            <w:tcW w:w="5386" w:type="dxa"/>
            <w:vAlign w:val="center"/>
          </w:tcPr>
          <w:p>
            <w:pPr>
              <w:pStyle w:val="13"/>
            </w:pPr>
            <w:r>
              <w:t>保障正常办公</w:t>
            </w:r>
          </w:p>
        </w:tc>
        <w:tc>
          <w:tcPr>
            <w:tcW w:w="2268" w:type="dxa"/>
            <w:vAlign w:val="center"/>
          </w:tcPr>
          <w:p>
            <w:pPr>
              <w:pStyle w:val="13"/>
            </w:pPr>
            <w:r>
              <w:t>保障正常办公</w:t>
            </w:r>
          </w:p>
        </w:tc>
        <w:tc>
          <w:tcPr>
            <w:tcW w:w="1276" w:type="dxa"/>
            <w:vAlign w:val="center"/>
          </w:tcPr>
          <w:p>
            <w:pPr>
              <w:pStyle w:val="13"/>
            </w:pPr>
            <w:r>
              <w:t>保障正常办公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满意程度 </w:t>
            </w:r>
          </w:p>
        </w:tc>
        <w:tc>
          <w:tcPr>
            <w:tcW w:w="5386" w:type="dxa"/>
            <w:vAlign w:val="center"/>
          </w:tcPr>
          <w:p>
            <w:pPr>
              <w:pStyle w:val="13"/>
            </w:pPr>
            <w:r>
              <w:t xml:space="preserve">满意程度 </w:t>
            </w:r>
          </w:p>
        </w:tc>
        <w:tc>
          <w:tcPr>
            <w:tcW w:w="2268" w:type="dxa"/>
            <w:vAlign w:val="center"/>
          </w:tcPr>
          <w:p>
            <w:pPr>
              <w:pStyle w:val="13"/>
            </w:pPr>
            <w:r>
              <w:t>≥95藁城满意度</w:t>
            </w:r>
          </w:p>
        </w:tc>
        <w:tc>
          <w:tcPr>
            <w:tcW w:w="1276" w:type="dxa"/>
            <w:vAlign w:val="center"/>
          </w:tcPr>
          <w:p>
            <w:pPr>
              <w:pStyle w:val="13"/>
            </w:pPr>
            <w:r>
              <w:t xml:space="preserve">满意程度 </w:t>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7、租赁办公用房费用绩效目标表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13010925P00000810519W</w:t>
            </w:r>
          </w:p>
        </w:tc>
        <w:tc>
          <w:tcPr>
            <w:tcW w:w="2835" w:type="dxa"/>
            <w:vAlign w:val="center"/>
          </w:tcPr>
          <w:p>
            <w:pPr>
              <w:pStyle w:val="11"/>
            </w:pPr>
            <w:r>
              <w:t>项目名称</w:t>
            </w:r>
          </w:p>
        </w:tc>
        <w:tc>
          <w:tcPr>
            <w:tcW w:w="6095" w:type="dxa"/>
            <w:gridSpan w:val="3"/>
            <w:vAlign w:val="center"/>
          </w:tcPr>
          <w:p>
            <w:pPr>
              <w:pStyle w:val="13"/>
            </w:pPr>
            <w:r>
              <w:t>租赁办公用房费用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56.00</w:t>
            </w:r>
          </w:p>
        </w:tc>
        <w:tc>
          <w:tcPr>
            <w:tcW w:w="2835" w:type="dxa"/>
            <w:vAlign w:val="center"/>
          </w:tcPr>
          <w:p>
            <w:pPr>
              <w:pStyle w:val="11"/>
            </w:pPr>
            <w:r>
              <w:t>其中：财政    资金</w:t>
            </w:r>
          </w:p>
        </w:tc>
        <w:tc>
          <w:tcPr>
            <w:tcW w:w="2551" w:type="dxa"/>
            <w:vAlign w:val="center"/>
          </w:tcPr>
          <w:p>
            <w:pPr>
              <w:pStyle w:val="13"/>
            </w:pPr>
            <w:r>
              <w:t>56.00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用于办公场所租赁费用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28.00</w:t>
            </w:r>
          </w:p>
        </w:tc>
        <w:tc>
          <w:tcPr>
            <w:tcW w:w="2551" w:type="dxa"/>
            <w:vAlign w:val="center"/>
          </w:tcPr>
          <w:p>
            <w:pPr>
              <w:pStyle w:val="14"/>
            </w:pPr>
            <w:r>
              <w:t xml:space="preserve"> </w:t>
            </w:r>
          </w:p>
        </w:tc>
        <w:tc>
          <w:tcPr>
            <w:tcW w:w="3544" w:type="dxa"/>
            <w:gridSpan w:val="2"/>
            <w:vAlign w:val="center"/>
          </w:tcPr>
          <w:p>
            <w:pPr>
              <w:pStyle w:val="14"/>
            </w:pPr>
            <w:r>
              <w:t>56.00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1.保证大厅场所正常办公。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2200平米</w:t>
            </w:r>
          </w:p>
        </w:tc>
        <w:tc>
          <w:tcPr>
            <w:tcW w:w="2268" w:type="dxa"/>
            <w:vAlign w:val="center"/>
          </w:tcPr>
          <w:p>
            <w:pPr>
              <w:pStyle w:val="13"/>
            </w:pPr>
            <w:r>
              <w:t>2200平米</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办公用房租赁</w:t>
            </w:r>
          </w:p>
        </w:tc>
        <w:tc>
          <w:tcPr>
            <w:tcW w:w="5386" w:type="dxa"/>
            <w:vAlign w:val="center"/>
          </w:tcPr>
          <w:p>
            <w:pPr>
              <w:pStyle w:val="13"/>
            </w:pPr>
            <w:r>
              <w:t>大厅一层二层办公用房</w:t>
            </w:r>
          </w:p>
        </w:tc>
        <w:tc>
          <w:tcPr>
            <w:tcW w:w="2268" w:type="dxa"/>
            <w:vAlign w:val="center"/>
          </w:tcPr>
          <w:p>
            <w:pPr>
              <w:pStyle w:val="13"/>
            </w:pPr>
            <w:r>
              <w:t>办公用房</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租赁费支付</w:t>
            </w:r>
          </w:p>
        </w:tc>
        <w:tc>
          <w:tcPr>
            <w:tcW w:w="5386" w:type="dxa"/>
            <w:vAlign w:val="center"/>
          </w:tcPr>
          <w:p>
            <w:pPr>
              <w:pStyle w:val="13"/>
            </w:pPr>
            <w:r>
              <w:t>上半年28万，下半年支付28万</w:t>
            </w:r>
          </w:p>
        </w:tc>
        <w:tc>
          <w:tcPr>
            <w:tcW w:w="2268" w:type="dxa"/>
            <w:vAlign w:val="center"/>
          </w:tcPr>
          <w:p>
            <w:pPr>
              <w:pStyle w:val="13"/>
            </w:pPr>
            <w:r>
              <w:t>半年支付一次</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房租成本</w:t>
            </w:r>
          </w:p>
        </w:tc>
        <w:tc>
          <w:tcPr>
            <w:tcW w:w="5386" w:type="dxa"/>
            <w:vAlign w:val="center"/>
          </w:tcPr>
          <w:p>
            <w:pPr>
              <w:pStyle w:val="13"/>
            </w:pPr>
            <w:r>
              <w:t>房租成本不再增加</w:t>
            </w:r>
          </w:p>
        </w:tc>
        <w:tc>
          <w:tcPr>
            <w:tcW w:w="2268" w:type="dxa"/>
            <w:vAlign w:val="center"/>
          </w:tcPr>
          <w:p>
            <w:pPr>
              <w:pStyle w:val="13"/>
            </w:pPr>
            <w:r>
              <w:t>节约成本</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保障正常办公</w:t>
            </w:r>
          </w:p>
        </w:tc>
        <w:tc>
          <w:tcPr>
            <w:tcW w:w="5386" w:type="dxa"/>
            <w:vAlign w:val="center"/>
          </w:tcPr>
          <w:p>
            <w:pPr>
              <w:pStyle w:val="13"/>
            </w:pPr>
            <w:r>
              <w:t>租赁办公用房，保障正常办公</w:t>
            </w:r>
          </w:p>
        </w:tc>
        <w:tc>
          <w:tcPr>
            <w:tcW w:w="2268" w:type="dxa"/>
            <w:vAlign w:val="center"/>
          </w:tcPr>
          <w:p>
            <w:pPr>
              <w:pStyle w:val="13"/>
            </w:pPr>
            <w:r>
              <w:t>保障正常办公</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房屋使用者满意度</w:t>
            </w:r>
          </w:p>
        </w:tc>
        <w:tc>
          <w:tcPr>
            <w:tcW w:w="5386" w:type="dxa"/>
            <w:vAlign w:val="center"/>
          </w:tcPr>
          <w:p>
            <w:pPr>
              <w:pStyle w:val="13"/>
            </w:pPr>
            <w:r>
              <w:t>工作人员满意度</w:t>
            </w:r>
          </w:p>
        </w:tc>
        <w:tc>
          <w:tcPr>
            <w:tcW w:w="2268" w:type="dxa"/>
            <w:vAlign w:val="center"/>
          </w:tcPr>
          <w:p>
            <w:pPr>
              <w:pStyle w:val="13"/>
            </w:pPr>
            <w:r>
              <w:t>工作人员满意度</w:t>
            </w:r>
          </w:p>
        </w:tc>
        <w:tc>
          <w:tcPr>
            <w:tcW w:w="1276" w:type="dxa"/>
            <w:vAlign w:val="center"/>
          </w:tcPr>
          <w:p>
            <w:pPr>
              <w:pStyle w:val="13"/>
            </w:pPr>
            <w:r>
              <w:t>领导批示</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302石家庄市藁城区数据和政务服务局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112.20</w:t>
            </w:r>
          </w:p>
        </w:tc>
        <w:tc>
          <w:tcPr>
            <w:tcW w:w="964" w:type="dxa"/>
            <w:vAlign w:val="center"/>
          </w:tcPr>
          <w:p>
            <w:pPr>
              <w:pStyle w:val="16"/>
            </w:pPr>
            <w:r>
              <w:t>12.20</w:t>
            </w:r>
          </w:p>
        </w:tc>
        <w:tc>
          <w:tcPr>
            <w:tcW w:w="964" w:type="dxa"/>
            <w:vAlign w:val="center"/>
          </w:tcPr>
          <w:p>
            <w:pPr>
              <w:pStyle w:val="16"/>
            </w:pPr>
            <w:r>
              <w:t>100.00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石家庄市藁城区数据和政务服务局本级小计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112.20</w:t>
            </w:r>
          </w:p>
        </w:tc>
        <w:tc>
          <w:tcPr>
            <w:tcW w:w="964" w:type="dxa"/>
            <w:vAlign w:val="center"/>
          </w:tcPr>
          <w:p>
            <w:pPr>
              <w:pStyle w:val="16"/>
            </w:pPr>
            <w:r>
              <w:t>12.20</w:t>
            </w:r>
          </w:p>
        </w:tc>
        <w:tc>
          <w:tcPr>
            <w:tcW w:w="964" w:type="dxa"/>
            <w:vAlign w:val="center"/>
          </w:tcPr>
          <w:p>
            <w:pPr>
              <w:pStyle w:val="16"/>
            </w:pPr>
            <w:r>
              <w:t>100.00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2025年公用经费[三保]</w:t>
            </w:r>
          </w:p>
        </w:tc>
        <w:tc>
          <w:tcPr>
            <w:tcW w:w="964" w:type="dxa"/>
            <w:vAlign w:val="center"/>
          </w:tcPr>
          <w:p>
            <w:pPr>
              <w:pStyle w:val="12"/>
            </w:pPr>
            <w:r>
              <w:t>38.72</w:t>
            </w:r>
          </w:p>
        </w:tc>
        <w:tc>
          <w:tcPr>
            <w:tcW w:w="1134" w:type="dxa"/>
            <w:vAlign w:val="center"/>
          </w:tcPr>
          <w:p>
            <w:pPr>
              <w:pStyle w:val="13"/>
            </w:pPr>
            <w:r>
              <w:t>其他纸制文具</w:t>
            </w:r>
          </w:p>
        </w:tc>
        <w:tc>
          <w:tcPr>
            <w:tcW w:w="1134" w:type="dxa"/>
            <w:vAlign w:val="center"/>
          </w:tcPr>
          <w:p>
            <w:pPr>
              <w:pStyle w:val="13"/>
            </w:pPr>
            <w:r>
              <w:t>A05040199</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2025年公用经费[三保]</w:t>
            </w:r>
          </w:p>
        </w:tc>
        <w:tc>
          <w:tcPr>
            <w:tcW w:w="964" w:type="dxa"/>
            <w:vAlign w:val="center"/>
          </w:tcPr>
          <w:p>
            <w:pPr>
              <w:pStyle w:val="12"/>
            </w:pPr>
            <w:r>
              <w:t>38.72</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9.20</w:t>
            </w:r>
          </w:p>
        </w:tc>
        <w:tc>
          <w:tcPr>
            <w:tcW w:w="964" w:type="dxa"/>
            <w:vAlign w:val="center"/>
          </w:tcPr>
          <w:p>
            <w:pPr>
              <w:pStyle w:val="12"/>
            </w:pPr>
            <w:r>
              <w:t>9.20</w:t>
            </w:r>
          </w:p>
        </w:tc>
        <w:tc>
          <w:tcPr>
            <w:tcW w:w="964" w:type="dxa"/>
            <w:vAlign w:val="center"/>
          </w:tcPr>
          <w:p>
            <w:pPr>
              <w:pStyle w:val="12"/>
            </w:pPr>
            <w:r>
              <w:t>9.20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智慧城市项目运营维护</w:t>
            </w:r>
          </w:p>
        </w:tc>
        <w:tc>
          <w:tcPr>
            <w:tcW w:w="964" w:type="dxa"/>
            <w:vAlign w:val="center"/>
          </w:tcPr>
          <w:p>
            <w:pPr>
              <w:pStyle w:val="12"/>
            </w:pPr>
            <w:r>
              <w:t>100.00</w:t>
            </w:r>
          </w:p>
        </w:tc>
        <w:tc>
          <w:tcPr>
            <w:tcW w:w="1134" w:type="dxa"/>
            <w:vAlign w:val="center"/>
          </w:tcPr>
          <w:p>
            <w:pPr>
              <w:pStyle w:val="13"/>
            </w:pPr>
            <w:r>
              <w:t>公共设施类合作服务</w:t>
            </w:r>
          </w:p>
        </w:tc>
        <w:tc>
          <w:tcPr>
            <w:tcW w:w="1134" w:type="dxa"/>
            <w:vAlign w:val="center"/>
          </w:tcPr>
          <w:p>
            <w:pPr>
              <w:pStyle w:val="13"/>
            </w:pPr>
            <w:r>
              <w:t>C24010000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石家庄市藁城区数据和政务服务局（含所属单位）上年末固定资产金额为254.49万元（详见下表）。本年度拟购置固定资产总额为0.00万元，已按要求列入政府采购预算，详见政府采购预算表。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302石家庄市藁城区数据和政务服务局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254.49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56</w:t>
            </w:r>
          </w:p>
        </w:tc>
        <w:tc>
          <w:tcPr>
            <w:tcW w:w="2835" w:type="dxa"/>
            <w:vAlign w:val="center"/>
          </w:tcPr>
          <w:p>
            <w:pPr>
              <w:pStyle w:val="12"/>
            </w:pPr>
            <w:r>
              <w:t>254.49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C01052B"/>
    <w:rsid w:val="3C2627D7"/>
    <w:rsid w:val="403A7678"/>
    <w:rsid w:val="42FD1A87"/>
    <w:rsid w:val="53B53B0E"/>
    <w:rsid w:val="638527F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36</Pages>
  <TotalTime>4</TotalTime>
  <ScaleCrop>false</ScaleCrop>
  <LinksUpToDate>false</LinksUpToDate>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2025-02-11T15:37:00Z</dcterms:created>
  <dc:creator>Administrator</dc:creator>
  <cp:lastModifiedBy>通透</cp:lastModifiedBy>
  <dcterms:modified xsi:type="dcterms:W3CDTF">2025-02-14T03:48:23Z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