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1676.82</w:t>
            </w:r>
          </w:p>
        </w:tc>
        <w:tc>
          <w:tcPr>
            <w:tcW w:w="4535" w:type="dxa"/>
            <w:vAlign w:val="center"/>
          </w:tcPr>
          <w:p>
            <w:pPr>
              <w:pStyle w:val="12"/>
            </w:pPr>
            <w:r>
              <w:t>一、一般公共服务支出</w:t>
            </w:r>
          </w:p>
        </w:tc>
        <w:tc>
          <w:tcPr>
            <w:tcW w:w="2126" w:type="dxa"/>
            <w:vAlign w:val="center"/>
          </w:tcPr>
          <w:p>
            <w:pPr>
              <w:pStyle w:val="11"/>
            </w:pPr>
            <w:r>
              <w:t>1354.90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1776.82</w:t>
            </w:r>
          </w:p>
        </w:tc>
        <w:tc>
          <w:tcPr>
            <w:tcW w:w="4535" w:type="dxa"/>
            <w:vAlign w:val="center"/>
          </w:tcPr>
          <w:p>
            <w:pPr>
              <w:pStyle w:val="14"/>
            </w:pPr>
            <w:r>
              <w:t>本年支出合计</w:t>
            </w:r>
          </w:p>
        </w:tc>
        <w:tc>
          <w:tcPr>
            <w:tcW w:w="2126" w:type="dxa"/>
            <w:vAlign w:val="center"/>
          </w:tcPr>
          <w:p>
            <w:pPr>
              <w:pStyle w:val="15"/>
            </w:pPr>
            <w:r>
              <w:t>1776.82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1776.82</w:t>
            </w:r>
          </w:p>
        </w:tc>
        <w:tc>
          <w:tcPr>
            <w:tcW w:w="4535" w:type="dxa"/>
            <w:vAlign w:val="center"/>
          </w:tcPr>
          <w:p>
            <w:pPr>
              <w:pStyle w:val="14"/>
            </w:pPr>
            <w:r>
              <w:t>支出总计</w:t>
            </w:r>
          </w:p>
        </w:tc>
        <w:tc>
          <w:tcPr>
            <w:tcW w:w="2126" w:type="dxa"/>
            <w:vAlign w:val="center"/>
          </w:tcPr>
          <w:p>
            <w:pPr>
              <w:pStyle w:val="15"/>
            </w:pPr>
            <w:r>
              <w:t>1776.82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1776.82</w:t>
            </w:r>
          </w:p>
        </w:tc>
        <w:tc>
          <w:tcPr>
            <w:tcW w:w="1134" w:type="dxa"/>
            <w:vAlign w:val="center"/>
          </w:tcPr>
          <w:p>
            <w:pPr>
              <w:pStyle w:val="15"/>
            </w:pPr>
            <w:r>
              <w:t>1776.82</w:t>
            </w:r>
          </w:p>
        </w:tc>
        <w:tc>
          <w:tcPr>
            <w:tcW w:w="1134" w:type="dxa"/>
            <w:vAlign w:val="center"/>
          </w:tcPr>
          <w:p>
            <w:pPr>
              <w:pStyle w:val="15"/>
            </w:pPr>
            <w:r>
              <w:t>1776.82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1354.90</w:t>
            </w:r>
          </w:p>
        </w:tc>
        <w:tc>
          <w:tcPr>
            <w:tcW w:w="1134" w:type="dxa"/>
            <w:vAlign w:val="center"/>
          </w:tcPr>
          <w:p>
            <w:pPr>
              <w:pStyle w:val="11"/>
            </w:pPr>
            <w:r>
              <w:t>1354.90</w:t>
            </w:r>
          </w:p>
        </w:tc>
        <w:tc>
          <w:tcPr>
            <w:tcW w:w="1134" w:type="dxa"/>
            <w:vAlign w:val="center"/>
          </w:tcPr>
          <w:p>
            <w:pPr>
              <w:pStyle w:val="11"/>
            </w:pPr>
            <w:r>
              <w:t>1354.90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20141</w:t>
            </w:r>
          </w:p>
        </w:tc>
        <w:tc>
          <w:tcPr>
            <w:tcW w:w="1559" w:type="dxa"/>
            <w:vAlign w:val="center"/>
          </w:tcPr>
          <w:p>
            <w:pPr>
              <w:pStyle w:val="12"/>
            </w:pPr>
            <w:r>
              <w:t>数据事务</w:t>
            </w:r>
          </w:p>
        </w:tc>
        <w:tc>
          <w:tcPr>
            <w:tcW w:w="1134" w:type="dxa"/>
            <w:vAlign w:val="center"/>
          </w:tcPr>
          <w:p>
            <w:pPr>
              <w:pStyle w:val="11"/>
            </w:pPr>
            <w:r>
              <w:t>1354.90</w:t>
            </w:r>
          </w:p>
        </w:tc>
        <w:tc>
          <w:tcPr>
            <w:tcW w:w="1134" w:type="dxa"/>
            <w:vAlign w:val="center"/>
          </w:tcPr>
          <w:p>
            <w:pPr>
              <w:pStyle w:val="11"/>
            </w:pPr>
            <w:r>
              <w:t>1354.90</w:t>
            </w:r>
          </w:p>
        </w:tc>
        <w:tc>
          <w:tcPr>
            <w:tcW w:w="1134" w:type="dxa"/>
            <w:vAlign w:val="center"/>
          </w:tcPr>
          <w:p>
            <w:pPr>
              <w:pStyle w:val="11"/>
            </w:pPr>
            <w:r>
              <w:t>1354.90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2014101</w:t>
            </w:r>
          </w:p>
        </w:tc>
        <w:tc>
          <w:tcPr>
            <w:tcW w:w="1559" w:type="dxa"/>
            <w:vAlign w:val="center"/>
          </w:tcPr>
          <w:p>
            <w:pPr>
              <w:pStyle w:val="12"/>
            </w:pPr>
            <w:r>
              <w:t>行政运行</w:t>
            </w:r>
          </w:p>
        </w:tc>
        <w:tc>
          <w:tcPr>
            <w:tcW w:w="1134" w:type="dxa"/>
            <w:vAlign w:val="center"/>
          </w:tcPr>
          <w:p>
            <w:pPr>
              <w:pStyle w:val="11"/>
            </w:pPr>
            <w:r>
              <w:t>1015.47</w:t>
            </w:r>
          </w:p>
        </w:tc>
        <w:tc>
          <w:tcPr>
            <w:tcW w:w="1134" w:type="dxa"/>
            <w:vAlign w:val="center"/>
          </w:tcPr>
          <w:p>
            <w:pPr>
              <w:pStyle w:val="11"/>
            </w:pPr>
            <w:r>
              <w:t>1015.47</w:t>
            </w:r>
          </w:p>
        </w:tc>
        <w:tc>
          <w:tcPr>
            <w:tcW w:w="1134" w:type="dxa"/>
            <w:vAlign w:val="center"/>
          </w:tcPr>
          <w:p>
            <w:pPr>
              <w:pStyle w:val="11"/>
            </w:pPr>
            <w:r>
              <w:t>1015.47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2014102</w:t>
            </w:r>
          </w:p>
        </w:tc>
        <w:tc>
          <w:tcPr>
            <w:tcW w:w="1559" w:type="dxa"/>
            <w:vAlign w:val="center"/>
          </w:tcPr>
          <w:p>
            <w:pPr>
              <w:pStyle w:val="12"/>
            </w:pPr>
            <w:r>
              <w:t>一般行政管理事务</w:t>
            </w:r>
          </w:p>
        </w:tc>
        <w:tc>
          <w:tcPr>
            <w:tcW w:w="1134" w:type="dxa"/>
            <w:vAlign w:val="center"/>
          </w:tcPr>
          <w:p>
            <w:pPr>
              <w:pStyle w:val="11"/>
            </w:pPr>
            <w:r>
              <w:t>339.42</w:t>
            </w:r>
          </w:p>
        </w:tc>
        <w:tc>
          <w:tcPr>
            <w:tcW w:w="1134" w:type="dxa"/>
            <w:vAlign w:val="center"/>
          </w:tcPr>
          <w:p>
            <w:pPr>
              <w:pStyle w:val="11"/>
            </w:pPr>
            <w:r>
              <w:t>339.42</w:t>
            </w:r>
          </w:p>
        </w:tc>
        <w:tc>
          <w:tcPr>
            <w:tcW w:w="1134" w:type="dxa"/>
            <w:vAlign w:val="center"/>
          </w:tcPr>
          <w:p>
            <w:pPr>
              <w:pStyle w:val="11"/>
            </w:pPr>
            <w:r>
              <w:t>339.42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178.52</w:t>
            </w:r>
          </w:p>
        </w:tc>
        <w:tc>
          <w:tcPr>
            <w:tcW w:w="1134" w:type="dxa"/>
            <w:vAlign w:val="center"/>
          </w:tcPr>
          <w:p>
            <w:pPr>
              <w:pStyle w:val="11"/>
            </w:pPr>
            <w:r>
              <w:t>178.52</w:t>
            </w:r>
          </w:p>
        </w:tc>
        <w:tc>
          <w:tcPr>
            <w:tcW w:w="1134" w:type="dxa"/>
            <w:vAlign w:val="center"/>
          </w:tcPr>
          <w:p>
            <w:pPr>
              <w:pStyle w:val="11"/>
            </w:pPr>
            <w:r>
              <w:t>178.52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178.52</w:t>
            </w:r>
          </w:p>
        </w:tc>
        <w:tc>
          <w:tcPr>
            <w:tcW w:w="1134" w:type="dxa"/>
            <w:vAlign w:val="center"/>
          </w:tcPr>
          <w:p>
            <w:pPr>
              <w:pStyle w:val="11"/>
            </w:pPr>
            <w:r>
              <w:t>178.52</w:t>
            </w:r>
          </w:p>
        </w:tc>
        <w:tc>
          <w:tcPr>
            <w:tcW w:w="1134" w:type="dxa"/>
            <w:vAlign w:val="center"/>
          </w:tcPr>
          <w:p>
            <w:pPr>
              <w:pStyle w:val="11"/>
            </w:pPr>
            <w:r>
              <w:t>178.52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r>
              <w:t>17.67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107.94</w:t>
            </w:r>
          </w:p>
        </w:tc>
        <w:tc>
          <w:tcPr>
            <w:tcW w:w="1134" w:type="dxa"/>
            <w:vAlign w:val="center"/>
          </w:tcPr>
          <w:p>
            <w:pPr>
              <w:pStyle w:val="11"/>
            </w:pPr>
            <w:r>
              <w:t>107.94</w:t>
            </w:r>
          </w:p>
        </w:tc>
        <w:tc>
          <w:tcPr>
            <w:tcW w:w="1134" w:type="dxa"/>
            <w:vAlign w:val="center"/>
          </w:tcPr>
          <w:p>
            <w:pPr>
              <w:pStyle w:val="11"/>
            </w:pPr>
            <w:r>
              <w:t>107.94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52.91</w:t>
            </w:r>
          </w:p>
        </w:tc>
        <w:tc>
          <w:tcPr>
            <w:tcW w:w="1134" w:type="dxa"/>
            <w:vAlign w:val="center"/>
          </w:tcPr>
          <w:p>
            <w:pPr>
              <w:pStyle w:val="11"/>
            </w:pPr>
            <w:r>
              <w:t>52.91</w:t>
            </w:r>
          </w:p>
        </w:tc>
        <w:tc>
          <w:tcPr>
            <w:tcW w:w="1134" w:type="dxa"/>
            <w:vAlign w:val="center"/>
          </w:tcPr>
          <w:p>
            <w:pPr>
              <w:pStyle w:val="11"/>
            </w:pPr>
            <w:r>
              <w:t>52.91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64.05</w:t>
            </w:r>
          </w:p>
        </w:tc>
        <w:tc>
          <w:tcPr>
            <w:tcW w:w="1134" w:type="dxa"/>
            <w:vAlign w:val="center"/>
          </w:tcPr>
          <w:p>
            <w:pPr>
              <w:pStyle w:val="11"/>
            </w:pPr>
            <w:r>
              <w:t>64.05</w:t>
            </w:r>
          </w:p>
        </w:tc>
        <w:tc>
          <w:tcPr>
            <w:tcW w:w="1134" w:type="dxa"/>
            <w:vAlign w:val="center"/>
          </w:tcPr>
          <w:p>
            <w:pPr>
              <w:pStyle w:val="11"/>
            </w:pPr>
            <w:r>
              <w:t>64.05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64.05</w:t>
            </w:r>
          </w:p>
        </w:tc>
        <w:tc>
          <w:tcPr>
            <w:tcW w:w="1134" w:type="dxa"/>
            <w:vAlign w:val="center"/>
          </w:tcPr>
          <w:p>
            <w:pPr>
              <w:pStyle w:val="11"/>
            </w:pPr>
            <w:r>
              <w:t>64.05</w:t>
            </w:r>
          </w:p>
        </w:tc>
        <w:tc>
          <w:tcPr>
            <w:tcW w:w="1134" w:type="dxa"/>
            <w:vAlign w:val="center"/>
          </w:tcPr>
          <w:p>
            <w:pPr>
              <w:pStyle w:val="11"/>
            </w:pPr>
            <w:r>
              <w:t>64.05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36.11</w:t>
            </w:r>
          </w:p>
        </w:tc>
        <w:tc>
          <w:tcPr>
            <w:tcW w:w="1134" w:type="dxa"/>
            <w:vAlign w:val="center"/>
          </w:tcPr>
          <w:p>
            <w:pPr>
              <w:pStyle w:val="11"/>
            </w:pPr>
            <w:r>
              <w:t>36.11</w:t>
            </w:r>
          </w:p>
        </w:tc>
        <w:tc>
          <w:tcPr>
            <w:tcW w:w="1134" w:type="dxa"/>
            <w:vAlign w:val="center"/>
          </w:tcPr>
          <w:p>
            <w:pPr>
              <w:pStyle w:val="11"/>
            </w:pPr>
            <w:r>
              <w:t>36.11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27.94</w:t>
            </w:r>
          </w:p>
        </w:tc>
        <w:tc>
          <w:tcPr>
            <w:tcW w:w="1134" w:type="dxa"/>
            <w:vAlign w:val="center"/>
          </w:tcPr>
          <w:p>
            <w:pPr>
              <w:pStyle w:val="11"/>
            </w:pPr>
            <w:r>
              <w:t>27.94</w:t>
            </w:r>
          </w:p>
        </w:tc>
        <w:tc>
          <w:tcPr>
            <w:tcW w:w="1134" w:type="dxa"/>
            <w:vAlign w:val="center"/>
          </w:tcPr>
          <w:p>
            <w:pPr>
              <w:pStyle w:val="11"/>
            </w:pPr>
            <w:r>
              <w:t>27.94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79.37</w:t>
            </w:r>
          </w:p>
        </w:tc>
        <w:tc>
          <w:tcPr>
            <w:tcW w:w="1134" w:type="dxa"/>
            <w:vAlign w:val="center"/>
          </w:tcPr>
          <w:p>
            <w:pPr>
              <w:pStyle w:val="11"/>
            </w:pPr>
            <w:r>
              <w:t>79.37</w:t>
            </w:r>
          </w:p>
        </w:tc>
        <w:tc>
          <w:tcPr>
            <w:tcW w:w="1134" w:type="dxa"/>
            <w:vAlign w:val="center"/>
          </w:tcPr>
          <w:p>
            <w:pPr>
              <w:pStyle w:val="11"/>
            </w:pPr>
            <w:r>
              <w:t>79.37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79.37</w:t>
            </w:r>
          </w:p>
        </w:tc>
        <w:tc>
          <w:tcPr>
            <w:tcW w:w="1134" w:type="dxa"/>
            <w:vAlign w:val="center"/>
          </w:tcPr>
          <w:p>
            <w:pPr>
              <w:pStyle w:val="11"/>
            </w:pPr>
            <w:r>
              <w:t>79.37</w:t>
            </w:r>
          </w:p>
        </w:tc>
        <w:tc>
          <w:tcPr>
            <w:tcW w:w="1134" w:type="dxa"/>
            <w:vAlign w:val="center"/>
          </w:tcPr>
          <w:p>
            <w:pPr>
              <w:pStyle w:val="11"/>
            </w:pPr>
            <w:r>
              <w:t>79.37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79.37</w:t>
            </w:r>
          </w:p>
        </w:tc>
        <w:tc>
          <w:tcPr>
            <w:tcW w:w="1134" w:type="dxa"/>
            <w:vAlign w:val="center"/>
          </w:tcPr>
          <w:p>
            <w:pPr>
              <w:pStyle w:val="11"/>
            </w:pPr>
            <w:r>
              <w:t>79.37</w:t>
            </w:r>
          </w:p>
        </w:tc>
        <w:tc>
          <w:tcPr>
            <w:tcW w:w="1134" w:type="dxa"/>
            <w:vAlign w:val="center"/>
          </w:tcPr>
          <w:p>
            <w:pPr>
              <w:pStyle w:val="11"/>
            </w:pPr>
            <w:r>
              <w:t>79.37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1776.82</w:t>
            </w:r>
          </w:p>
        </w:tc>
        <w:tc>
          <w:tcPr>
            <w:tcW w:w="1361" w:type="dxa"/>
            <w:vAlign w:val="center"/>
          </w:tcPr>
          <w:p>
            <w:pPr>
              <w:pStyle w:val="15"/>
            </w:pPr>
            <w:r>
              <w:t>1337.40</w:t>
            </w:r>
          </w:p>
        </w:tc>
        <w:tc>
          <w:tcPr>
            <w:tcW w:w="1361" w:type="dxa"/>
            <w:vAlign w:val="center"/>
          </w:tcPr>
          <w:p>
            <w:pPr>
              <w:pStyle w:val="15"/>
            </w:pPr>
            <w:r>
              <w:t>439.42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1354.90</w:t>
            </w:r>
          </w:p>
        </w:tc>
        <w:tc>
          <w:tcPr>
            <w:tcW w:w="1361" w:type="dxa"/>
            <w:vAlign w:val="center"/>
          </w:tcPr>
          <w:p>
            <w:pPr>
              <w:pStyle w:val="11"/>
            </w:pPr>
            <w:r>
              <w:t>1015.47</w:t>
            </w:r>
          </w:p>
        </w:tc>
        <w:tc>
          <w:tcPr>
            <w:tcW w:w="1361" w:type="dxa"/>
            <w:vAlign w:val="center"/>
          </w:tcPr>
          <w:p>
            <w:pPr>
              <w:pStyle w:val="11"/>
            </w:pPr>
            <w:r>
              <w:t>339.42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20141</w:t>
            </w:r>
          </w:p>
        </w:tc>
        <w:tc>
          <w:tcPr>
            <w:tcW w:w="4535" w:type="dxa"/>
            <w:vAlign w:val="center"/>
          </w:tcPr>
          <w:p>
            <w:pPr>
              <w:pStyle w:val="12"/>
            </w:pPr>
            <w:r>
              <w:t>数据事务</w:t>
            </w:r>
          </w:p>
        </w:tc>
        <w:tc>
          <w:tcPr>
            <w:tcW w:w="1361" w:type="dxa"/>
            <w:vAlign w:val="center"/>
          </w:tcPr>
          <w:p>
            <w:pPr>
              <w:pStyle w:val="11"/>
            </w:pPr>
            <w:r>
              <w:t>1354.90</w:t>
            </w:r>
          </w:p>
        </w:tc>
        <w:tc>
          <w:tcPr>
            <w:tcW w:w="1361" w:type="dxa"/>
            <w:vAlign w:val="center"/>
          </w:tcPr>
          <w:p>
            <w:pPr>
              <w:pStyle w:val="11"/>
            </w:pPr>
            <w:r>
              <w:t>1015.47</w:t>
            </w:r>
          </w:p>
        </w:tc>
        <w:tc>
          <w:tcPr>
            <w:tcW w:w="1361" w:type="dxa"/>
            <w:vAlign w:val="center"/>
          </w:tcPr>
          <w:p>
            <w:pPr>
              <w:pStyle w:val="11"/>
            </w:pPr>
            <w:r>
              <w:t>339.42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2014101</w:t>
            </w:r>
          </w:p>
        </w:tc>
        <w:tc>
          <w:tcPr>
            <w:tcW w:w="4535" w:type="dxa"/>
            <w:vAlign w:val="center"/>
          </w:tcPr>
          <w:p>
            <w:pPr>
              <w:pStyle w:val="12"/>
            </w:pPr>
            <w:r>
              <w:t>行政运行</w:t>
            </w:r>
          </w:p>
        </w:tc>
        <w:tc>
          <w:tcPr>
            <w:tcW w:w="1361" w:type="dxa"/>
            <w:vAlign w:val="center"/>
          </w:tcPr>
          <w:p>
            <w:pPr>
              <w:pStyle w:val="11"/>
            </w:pPr>
            <w:r>
              <w:t>1015.47</w:t>
            </w:r>
          </w:p>
        </w:tc>
        <w:tc>
          <w:tcPr>
            <w:tcW w:w="1361" w:type="dxa"/>
            <w:vAlign w:val="center"/>
          </w:tcPr>
          <w:p>
            <w:pPr>
              <w:pStyle w:val="11"/>
            </w:pPr>
            <w:r>
              <w:t>1015.47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2014102</w:t>
            </w:r>
          </w:p>
        </w:tc>
        <w:tc>
          <w:tcPr>
            <w:tcW w:w="4535" w:type="dxa"/>
            <w:vAlign w:val="center"/>
          </w:tcPr>
          <w:p>
            <w:pPr>
              <w:pStyle w:val="12"/>
            </w:pPr>
            <w:r>
              <w:t>一般行政管理事务</w:t>
            </w:r>
          </w:p>
        </w:tc>
        <w:tc>
          <w:tcPr>
            <w:tcW w:w="1361" w:type="dxa"/>
            <w:vAlign w:val="center"/>
          </w:tcPr>
          <w:p>
            <w:pPr>
              <w:pStyle w:val="11"/>
            </w:pPr>
            <w:r>
              <w:t>339.42</w:t>
            </w:r>
          </w:p>
        </w:tc>
        <w:tc>
          <w:tcPr>
            <w:tcW w:w="1361" w:type="dxa"/>
            <w:vAlign w:val="center"/>
          </w:tcPr>
          <w:p>
            <w:pPr>
              <w:pStyle w:val="11"/>
            </w:pPr>
          </w:p>
        </w:tc>
        <w:tc>
          <w:tcPr>
            <w:tcW w:w="1361" w:type="dxa"/>
            <w:vAlign w:val="center"/>
          </w:tcPr>
          <w:p>
            <w:pPr>
              <w:pStyle w:val="11"/>
            </w:pPr>
            <w:r>
              <w:t>339.42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178.52</w:t>
            </w:r>
          </w:p>
        </w:tc>
        <w:tc>
          <w:tcPr>
            <w:tcW w:w="1361" w:type="dxa"/>
            <w:vAlign w:val="center"/>
          </w:tcPr>
          <w:p>
            <w:pPr>
              <w:pStyle w:val="11"/>
            </w:pPr>
            <w:r>
              <w:t>178.52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178.52</w:t>
            </w:r>
          </w:p>
        </w:tc>
        <w:tc>
          <w:tcPr>
            <w:tcW w:w="1361" w:type="dxa"/>
            <w:vAlign w:val="center"/>
          </w:tcPr>
          <w:p>
            <w:pPr>
              <w:pStyle w:val="11"/>
            </w:pPr>
            <w:r>
              <w:t>178.52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17.67</w:t>
            </w:r>
          </w:p>
        </w:tc>
        <w:tc>
          <w:tcPr>
            <w:tcW w:w="1361" w:type="dxa"/>
            <w:vAlign w:val="center"/>
          </w:tcPr>
          <w:p>
            <w:pPr>
              <w:pStyle w:val="11"/>
            </w:pPr>
            <w:r>
              <w:t>17.67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107.94</w:t>
            </w:r>
          </w:p>
        </w:tc>
        <w:tc>
          <w:tcPr>
            <w:tcW w:w="1361" w:type="dxa"/>
            <w:vAlign w:val="center"/>
          </w:tcPr>
          <w:p>
            <w:pPr>
              <w:pStyle w:val="11"/>
            </w:pPr>
            <w:r>
              <w:t>107.94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52.91</w:t>
            </w:r>
          </w:p>
        </w:tc>
        <w:tc>
          <w:tcPr>
            <w:tcW w:w="1361" w:type="dxa"/>
            <w:vAlign w:val="center"/>
          </w:tcPr>
          <w:p>
            <w:pPr>
              <w:pStyle w:val="11"/>
            </w:pPr>
            <w:r>
              <w:t>52.91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64.05</w:t>
            </w:r>
          </w:p>
        </w:tc>
        <w:tc>
          <w:tcPr>
            <w:tcW w:w="1361" w:type="dxa"/>
            <w:vAlign w:val="center"/>
          </w:tcPr>
          <w:p>
            <w:pPr>
              <w:pStyle w:val="11"/>
            </w:pPr>
            <w:r>
              <w:t>64.05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64.05</w:t>
            </w:r>
          </w:p>
        </w:tc>
        <w:tc>
          <w:tcPr>
            <w:tcW w:w="1361" w:type="dxa"/>
            <w:vAlign w:val="center"/>
          </w:tcPr>
          <w:p>
            <w:pPr>
              <w:pStyle w:val="11"/>
            </w:pPr>
            <w:r>
              <w:t>64.05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36.11</w:t>
            </w:r>
          </w:p>
        </w:tc>
        <w:tc>
          <w:tcPr>
            <w:tcW w:w="1361" w:type="dxa"/>
            <w:vAlign w:val="center"/>
          </w:tcPr>
          <w:p>
            <w:pPr>
              <w:pStyle w:val="11"/>
            </w:pPr>
            <w:r>
              <w:t>36.11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27.94</w:t>
            </w:r>
          </w:p>
        </w:tc>
        <w:tc>
          <w:tcPr>
            <w:tcW w:w="1361" w:type="dxa"/>
            <w:vAlign w:val="center"/>
          </w:tcPr>
          <w:p>
            <w:pPr>
              <w:pStyle w:val="11"/>
            </w:pPr>
            <w:r>
              <w:t>27.94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79.37</w:t>
            </w:r>
          </w:p>
        </w:tc>
        <w:tc>
          <w:tcPr>
            <w:tcW w:w="1361" w:type="dxa"/>
            <w:vAlign w:val="center"/>
          </w:tcPr>
          <w:p>
            <w:pPr>
              <w:pStyle w:val="11"/>
            </w:pPr>
            <w:r>
              <w:t>79.37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79.37</w:t>
            </w:r>
          </w:p>
        </w:tc>
        <w:tc>
          <w:tcPr>
            <w:tcW w:w="1361" w:type="dxa"/>
            <w:vAlign w:val="center"/>
          </w:tcPr>
          <w:p>
            <w:pPr>
              <w:pStyle w:val="11"/>
            </w:pPr>
            <w:r>
              <w:t>79.37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79.37</w:t>
            </w:r>
          </w:p>
        </w:tc>
        <w:tc>
          <w:tcPr>
            <w:tcW w:w="1361" w:type="dxa"/>
            <w:vAlign w:val="center"/>
          </w:tcPr>
          <w:p>
            <w:pPr>
              <w:pStyle w:val="11"/>
            </w:pPr>
            <w:r>
              <w:t>79.37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1676.82</w:t>
            </w:r>
          </w:p>
        </w:tc>
        <w:tc>
          <w:tcPr>
            <w:tcW w:w="3402" w:type="dxa"/>
            <w:vAlign w:val="center"/>
          </w:tcPr>
          <w:p>
            <w:pPr>
              <w:pStyle w:val="12"/>
            </w:pPr>
            <w:r>
              <w:t>一、一般公共服务支出</w:t>
            </w:r>
          </w:p>
        </w:tc>
        <w:tc>
          <w:tcPr>
            <w:tcW w:w="1474" w:type="dxa"/>
            <w:vAlign w:val="center"/>
          </w:tcPr>
          <w:p>
            <w:pPr>
              <w:pStyle w:val="11"/>
            </w:pPr>
            <w:r>
              <w:t>1354.90</w:t>
            </w:r>
          </w:p>
        </w:tc>
        <w:tc>
          <w:tcPr>
            <w:tcW w:w="1474" w:type="dxa"/>
            <w:vAlign w:val="center"/>
          </w:tcPr>
          <w:p>
            <w:pPr>
              <w:pStyle w:val="11"/>
            </w:pPr>
            <w:r>
              <w:t>1354.90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178.52</w:t>
            </w:r>
          </w:p>
        </w:tc>
        <w:tc>
          <w:tcPr>
            <w:tcW w:w="1474" w:type="dxa"/>
            <w:vAlign w:val="center"/>
          </w:tcPr>
          <w:p>
            <w:pPr>
              <w:pStyle w:val="11"/>
            </w:pPr>
            <w:r>
              <w:t>178.52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64.05</w:t>
            </w:r>
          </w:p>
        </w:tc>
        <w:tc>
          <w:tcPr>
            <w:tcW w:w="1474" w:type="dxa"/>
            <w:vAlign w:val="center"/>
          </w:tcPr>
          <w:p>
            <w:pPr>
              <w:pStyle w:val="11"/>
            </w:pPr>
            <w:r>
              <w:t>64.05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100.00</w:t>
            </w:r>
          </w:p>
        </w:tc>
        <w:tc>
          <w:tcPr>
            <w:tcW w:w="1474" w:type="dxa"/>
            <w:vAlign w:val="center"/>
          </w:tcPr>
          <w:p>
            <w:pPr>
              <w:pStyle w:val="11"/>
            </w:pPr>
          </w:p>
        </w:tc>
        <w:tc>
          <w:tcPr>
            <w:tcW w:w="1474" w:type="dxa"/>
            <w:vAlign w:val="center"/>
          </w:tcPr>
          <w:p>
            <w:pPr>
              <w:pStyle w:val="11"/>
            </w:pPr>
            <w:r>
              <w:t>100.00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79.37</w:t>
            </w:r>
          </w:p>
        </w:tc>
        <w:tc>
          <w:tcPr>
            <w:tcW w:w="1474" w:type="dxa"/>
            <w:vAlign w:val="center"/>
          </w:tcPr>
          <w:p>
            <w:pPr>
              <w:pStyle w:val="11"/>
            </w:pPr>
            <w:r>
              <w:t>79.37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1776.82</w:t>
            </w:r>
          </w:p>
        </w:tc>
        <w:tc>
          <w:tcPr>
            <w:tcW w:w="3402" w:type="dxa"/>
            <w:vAlign w:val="center"/>
          </w:tcPr>
          <w:p>
            <w:pPr>
              <w:pStyle w:val="14"/>
            </w:pPr>
            <w:r>
              <w:t>本年支出合计</w:t>
            </w:r>
          </w:p>
        </w:tc>
        <w:tc>
          <w:tcPr>
            <w:tcW w:w="1474" w:type="dxa"/>
            <w:vAlign w:val="center"/>
          </w:tcPr>
          <w:p>
            <w:pPr>
              <w:pStyle w:val="15"/>
            </w:pPr>
            <w:r>
              <w:t>1776.82</w:t>
            </w:r>
          </w:p>
        </w:tc>
        <w:tc>
          <w:tcPr>
            <w:tcW w:w="1474" w:type="dxa"/>
            <w:vAlign w:val="center"/>
          </w:tcPr>
          <w:p>
            <w:pPr>
              <w:pStyle w:val="15"/>
            </w:pPr>
            <w:r>
              <w:t>1676.82</w:t>
            </w:r>
          </w:p>
        </w:tc>
        <w:tc>
          <w:tcPr>
            <w:tcW w:w="1474" w:type="dxa"/>
            <w:vAlign w:val="center"/>
          </w:tcPr>
          <w:p>
            <w:pPr>
              <w:pStyle w:val="15"/>
            </w:pPr>
            <w:r>
              <w:t>100.00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1776.82</w:t>
            </w:r>
          </w:p>
        </w:tc>
        <w:tc>
          <w:tcPr>
            <w:tcW w:w="3402" w:type="dxa"/>
            <w:vAlign w:val="center"/>
          </w:tcPr>
          <w:p>
            <w:pPr>
              <w:pStyle w:val="14"/>
            </w:pPr>
            <w:r>
              <w:t>支出总计</w:t>
            </w:r>
          </w:p>
        </w:tc>
        <w:tc>
          <w:tcPr>
            <w:tcW w:w="1474" w:type="dxa"/>
            <w:vAlign w:val="center"/>
          </w:tcPr>
          <w:p>
            <w:pPr>
              <w:pStyle w:val="15"/>
            </w:pPr>
            <w:r>
              <w:t>1776.82</w:t>
            </w:r>
          </w:p>
        </w:tc>
        <w:tc>
          <w:tcPr>
            <w:tcW w:w="1474" w:type="dxa"/>
            <w:vAlign w:val="center"/>
          </w:tcPr>
          <w:p>
            <w:pPr>
              <w:pStyle w:val="15"/>
            </w:pPr>
            <w:r>
              <w:t>1676.82</w:t>
            </w:r>
          </w:p>
        </w:tc>
        <w:tc>
          <w:tcPr>
            <w:tcW w:w="1474" w:type="dxa"/>
            <w:vAlign w:val="center"/>
          </w:tcPr>
          <w:p>
            <w:pPr>
              <w:pStyle w:val="15"/>
            </w:pPr>
            <w:r>
              <w:t>100.00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1676.82</w:t>
            </w:r>
          </w:p>
        </w:tc>
        <w:tc>
          <w:tcPr>
            <w:tcW w:w="2551" w:type="dxa"/>
            <w:vAlign w:val="center"/>
          </w:tcPr>
          <w:p>
            <w:pPr>
              <w:pStyle w:val="15"/>
            </w:pPr>
            <w:r>
              <w:t>1337.40</w:t>
            </w:r>
          </w:p>
        </w:tc>
        <w:tc>
          <w:tcPr>
            <w:tcW w:w="2551" w:type="dxa"/>
            <w:vAlign w:val="center"/>
          </w:tcPr>
          <w:p>
            <w:pPr>
              <w:pStyle w:val="15"/>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1354.90</w:t>
            </w:r>
          </w:p>
        </w:tc>
        <w:tc>
          <w:tcPr>
            <w:tcW w:w="2551" w:type="dxa"/>
            <w:vAlign w:val="center"/>
          </w:tcPr>
          <w:p>
            <w:pPr>
              <w:pStyle w:val="11"/>
            </w:pPr>
            <w:r>
              <w:t>1015.47</w:t>
            </w:r>
          </w:p>
        </w:tc>
        <w:tc>
          <w:tcPr>
            <w:tcW w:w="2551" w:type="dxa"/>
            <w:vAlign w:val="center"/>
          </w:tcPr>
          <w:p>
            <w:pPr>
              <w:pStyle w:val="11"/>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20141</w:t>
            </w:r>
          </w:p>
        </w:tc>
        <w:tc>
          <w:tcPr>
            <w:tcW w:w="4535" w:type="dxa"/>
            <w:vAlign w:val="center"/>
          </w:tcPr>
          <w:p>
            <w:pPr>
              <w:pStyle w:val="12"/>
            </w:pPr>
            <w:r>
              <w:t>数据事务</w:t>
            </w:r>
          </w:p>
        </w:tc>
        <w:tc>
          <w:tcPr>
            <w:tcW w:w="2551" w:type="dxa"/>
            <w:vAlign w:val="center"/>
          </w:tcPr>
          <w:p>
            <w:pPr>
              <w:pStyle w:val="11"/>
            </w:pPr>
            <w:r>
              <w:t>1354.90</w:t>
            </w:r>
          </w:p>
        </w:tc>
        <w:tc>
          <w:tcPr>
            <w:tcW w:w="2551" w:type="dxa"/>
            <w:vAlign w:val="center"/>
          </w:tcPr>
          <w:p>
            <w:pPr>
              <w:pStyle w:val="11"/>
            </w:pPr>
            <w:r>
              <w:t>1015.47</w:t>
            </w:r>
          </w:p>
        </w:tc>
        <w:tc>
          <w:tcPr>
            <w:tcW w:w="2551" w:type="dxa"/>
            <w:vAlign w:val="center"/>
          </w:tcPr>
          <w:p>
            <w:pPr>
              <w:pStyle w:val="11"/>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2014101</w:t>
            </w:r>
          </w:p>
        </w:tc>
        <w:tc>
          <w:tcPr>
            <w:tcW w:w="4535" w:type="dxa"/>
            <w:vAlign w:val="center"/>
          </w:tcPr>
          <w:p>
            <w:pPr>
              <w:pStyle w:val="12"/>
            </w:pPr>
            <w:r>
              <w:t>行政运行</w:t>
            </w:r>
          </w:p>
        </w:tc>
        <w:tc>
          <w:tcPr>
            <w:tcW w:w="2551" w:type="dxa"/>
            <w:vAlign w:val="center"/>
          </w:tcPr>
          <w:p>
            <w:pPr>
              <w:pStyle w:val="11"/>
            </w:pPr>
            <w:r>
              <w:t>1015.47</w:t>
            </w:r>
          </w:p>
        </w:tc>
        <w:tc>
          <w:tcPr>
            <w:tcW w:w="2551" w:type="dxa"/>
            <w:vAlign w:val="center"/>
          </w:tcPr>
          <w:p>
            <w:pPr>
              <w:pStyle w:val="11"/>
            </w:pPr>
            <w:r>
              <w:t>1015.47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2014102</w:t>
            </w:r>
          </w:p>
        </w:tc>
        <w:tc>
          <w:tcPr>
            <w:tcW w:w="4535" w:type="dxa"/>
            <w:vAlign w:val="center"/>
          </w:tcPr>
          <w:p>
            <w:pPr>
              <w:pStyle w:val="12"/>
            </w:pPr>
            <w:r>
              <w:t>一般行政管理事务</w:t>
            </w:r>
          </w:p>
        </w:tc>
        <w:tc>
          <w:tcPr>
            <w:tcW w:w="2551" w:type="dxa"/>
            <w:vAlign w:val="center"/>
          </w:tcPr>
          <w:p>
            <w:pPr>
              <w:pStyle w:val="11"/>
            </w:pPr>
            <w:r>
              <w:t>339.42</w:t>
            </w:r>
          </w:p>
        </w:tc>
        <w:tc>
          <w:tcPr>
            <w:tcW w:w="2551" w:type="dxa"/>
            <w:vAlign w:val="center"/>
          </w:tcPr>
          <w:p>
            <w:pPr>
              <w:pStyle w:val="11"/>
            </w:pPr>
          </w:p>
        </w:tc>
        <w:tc>
          <w:tcPr>
            <w:tcW w:w="2551" w:type="dxa"/>
            <w:vAlign w:val="center"/>
          </w:tcPr>
          <w:p>
            <w:pPr>
              <w:pStyle w:val="11"/>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178.52</w:t>
            </w:r>
          </w:p>
        </w:tc>
        <w:tc>
          <w:tcPr>
            <w:tcW w:w="2551" w:type="dxa"/>
            <w:vAlign w:val="center"/>
          </w:tcPr>
          <w:p>
            <w:pPr>
              <w:pStyle w:val="11"/>
            </w:pPr>
            <w:r>
              <w:t>178.52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178.52</w:t>
            </w:r>
          </w:p>
        </w:tc>
        <w:tc>
          <w:tcPr>
            <w:tcW w:w="2551" w:type="dxa"/>
            <w:vAlign w:val="center"/>
          </w:tcPr>
          <w:p>
            <w:pPr>
              <w:pStyle w:val="11"/>
            </w:pPr>
            <w:r>
              <w:t>178.52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107.94</w:t>
            </w:r>
          </w:p>
        </w:tc>
        <w:tc>
          <w:tcPr>
            <w:tcW w:w="2551" w:type="dxa"/>
            <w:vAlign w:val="center"/>
          </w:tcPr>
          <w:p>
            <w:pPr>
              <w:pStyle w:val="11"/>
            </w:pPr>
            <w:r>
              <w:t>107.94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52.91</w:t>
            </w:r>
          </w:p>
        </w:tc>
        <w:tc>
          <w:tcPr>
            <w:tcW w:w="2551" w:type="dxa"/>
            <w:vAlign w:val="center"/>
          </w:tcPr>
          <w:p>
            <w:pPr>
              <w:pStyle w:val="11"/>
            </w:pPr>
            <w:r>
              <w:t>52.91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64.05</w:t>
            </w:r>
          </w:p>
        </w:tc>
        <w:tc>
          <w:tcPr>
            <w:tcW w:w="2551" w:type="dxa"/>
            <w:vAlign w:val="center"/>
          </w:tcPr>
          <w:p>
            <w:pPr>
              <w:pStyle w:val="11"/>
            </w:pPr>
            <w:r>
              <w:t>64.05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64.05</w:t>
            </w:r>
          </w:p>
        </w:tc>
        <w:tc>
          <w:tcPr>
            <w:tcW w:w="2551" w:type="dxa"/>
            <w:vAlign w:val="center"/>
          </w:tcPr>
          <w:p>
            <w:pPr>
              <w:pStyle w:val="11"/>
            </w:pPr>
            <w:r>
              <w:t>64.05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36.11</w:t>
            </w:r>
          </w:p>
        </w:tc>
        <w:tc>
          <w:tcPr>
            <w:tcW w:w="2551" w:type="dxa"/>
            <w:vAlign w:val="center"/>
          </w:tcPr>
          <w:p>
            <w:pPr>
              <w:pStyle w:val="11"/>
            </w:pPr>
            <w:r>
              <w:t>36.11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27.94</w:t>
            </w:r>
          </w:p>
        </w:tc>
        <w:tc>
          <w:tcPr>
            <w:tcW w:w="2551" w:type="dxa"/>
            <w:vAlign w:val="center"/>
          </w:tcPr>
          <w:p>
            <w:pPr>
              <w:pStyle w:val="11"/>
            </w:pPr>
            <w:r>
              <w:t>27.94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79.37</w:t>
            </w:r>
          </w:p>
        </w:tc>
        <w:tc>
          <w:tcPr>
            <w:tcW w:w="2551" w:type="dxa"/>
            <w:vAlign w:val="center"/>
          </w:tcPr>
          <w:p>
            <w:pPr>
              <w:pStyle w:val="11"/>
            </w:pPr>
            <w:r>
              <w:t>79.37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79.37</w:t>
            </w:r>
          </w:p>
        </w:tc>
        <w:tc>
          <w:tcPr>
            <w:tcW w:w="2551" w:type="dxa"/>
            <w:vAlign w:val="center"/>
          </w:tcPr>
          <w:p>
            <w:pPr>
              <w:pStyle w:val="11"/>
            </w:pPr>
            <w:r>
              <w:t>79.37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79.37</w:t>
            </w:r>
          </w:p>
        </w:tc>
        <w:tc>
          <w:tcPr>
            <w:tcW w:w="2551" w:type="dxa"/>
            <w:vAlign w:val="center"/>
          </w:tcPr>
          <w:p>
            <w:pPr>
              <w:pStyle w:val="11"/>
            </w:pPr>
            <w:r>
              <w:t>79.37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1337.40</w:t>
            </w:r>
          </w:p>
        </w:tc>
        <w:tc>
          <w:tcPr>
            <w:tcW w:w="2551" w:type="dxa"/>
            <w:vAlign w:val="center"/>
          </w:tcPr>
          <w:p>
            <w:pPr>
              <w:pStyle w:val="15"/>
            </w:pPr>
            <w:r>
              <w:t>1257.21</w:t>
            </w:r>
          </w:p>
        </w:tc>
        <w:tc>
          <w:tcPr>
            <w:tcW w:w="2551" w:type="dxa"/>
            <w:vAlign w:val="center"/>
          </w:tcPr>
          <w:p>
            <w:pPr>
              <w:pStyle w:val="15"/>
            </w:pPr>
            <w:r>
              <w:t>80.19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1239.54</w:t>
            </w:r>
          </w:p>
        </w:tc>
        <w:tc>
          <w:tcPr>
            <w:tcW w:w="2551" w:type="dxa"/>
            <w:vAlign w:val="center"/>
          </w:tcPr>
          <w:p>
            <w:pPr>
              <w:pStyle w:val="11"/>
            </w:pPr>
            <w:r>
              <w:t>1239.54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229.93</w:t>
            </w:r>
          </w:p>
        </w:tc>
        <w:tc>
          <w:tcPr>
            <w:tcW w:w="2551" w:type="dxa"/>
            <w:vAlign w:val="center"/>
          </w:tcPr>
          <w:p>
            <w:pPr>
              <w:pStyle w:val="11"/>
            </w:pPr>
            <w:r>
              <w:t>229.93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225.98</w:t>
            </w:r>
          </w:p>
        </w:tc>
        <w:tc>
          <w:tcPr>
            <w:tcW w:w="2551" w:type="dxa"/>
            <w:vAlign w:val="center"/>
          </w:tcPr>
          <w:p>
            <w:pPr>
              <w:pStyle w:val="11"/>
            </w:pPr>
            <w:r>
              <w:t>225.98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102.20</w:t>
            </w:r>
          </w:p>
        </w:tc>
        <w:tc>
          <w:tcPr>
            <w:tcW w:w="2551" w:type="dxa"/>
            <w:vAlign w:val="center"/>
          </w:tcPr>
          <w:p>
            <w:pPr>
              <w:pStyle w:val="11"/>
            </w:pPr>
            <w:r>
              <w:t>102.20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139.10</w:t>
            </w:r>
          </w:p>
        </w:tc>
        <w:tc>
          <w:tcPr>
            <w:tcW w:w="2551" w:type="dxa"/>
            <w:vAlign w:val="center"/>
          </w:tcPr>
          <w:p>
            <w:pPr>
              <w:pStyle w:val="11"/>
            </w:pPr>
            <w:r>
              <w:t>139.10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107.94</w:t>
            </w:r>
          </w:p>
        </w:tc>
        <w:tc>
          <w:tcPr>
            <w:tcW w:w="2551" w:type="dxa"/>
            <w:vAlign w:val="center"/>
          </w:tcPr>
          <w:p>
            <w:pPr>
              <w:pStyle w:val="11"/>
            </w:pPr>
            <w:r>
              <w:t>107.94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52.91</w:t>
            </w:r>
          </w:p>
        </w:tc>
        <w:tc>
          <w:tcPr>
            <w:tcW w:w="2551" w:type="dxa"/>
            <w:vAlign w:val="center"/>
          </w:tcPr>
          <w:p>
            <w:pPr>
              <w:pStyle w:val="11"/>
            </w:pPr>
            <w:r>
              <w:t>52.91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36.11</w:t>
            </w:r>
          </w:p>
        </w:tc>
        <w:tc>
          <w:tcPr>
            <w:tcW w:w="2551" w:type="dxa"/>
            <w:vAlign w:val="center"/>
          </w:tcPr>
          <w:p>
            <w:pPr>
              <w:pStyle w:val="11"/>
            </w:pPr>
            <w:r>
              <w:t>36.11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27.94</w:t>
            </w:r>
          </w:p>
        </w:tc>
        <w:tc>
          <w:tcPr>
            <w:tcW w:w="2551" w:type="dxa"/>
            <w:vAlign w:val="center"/>
          </w:tcPr>
          <w:p>
            <w:pPr>
              <w:pStyle w:val="11"/>
            </w:pPr>
            <w:r>
              <w:t>27.94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81.91</w:t>
            </w:r>
          </w:p>
        </w:tc>
        <w:tc>
          <w:tcPr>
            <w:tcW w:w="2551" w:type="dxa"/>
            <w:vAlign w:val="center"/>
          </w:tcPr>
          <w:p>
            <w:pPr>
              <w:pStyle w:val="11"/>
            </w:pPr>
            <w:r>
              <w:t>81.91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79.37</w:t>
            </w:r>
          </w:p>
        </w:tc>
        <w:tc>
          <w:tcPr>
            <w:tcW w:w="2551" w:type="dxa"/>
            <w:vAlign w:val="center"/>
          </w:tcPr>
          <w:p>
            <w:pPr>
              <w:pStyle w:val="11"/>
            </w:pPr>
            <w:r>
              <w:t>79.37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156.16</w:t>
            </w:r>
          </w:p>
        </w:tc>
        <w:tc>
          <w:tcPr>
            <w:tcW w:w="2551" w:type="dxa"/>
            <w:vAlign w:val="center"/>
          </w:tcPr>
          <w:p>
            <w:pPr>
              <w:pStyle w:val="11"/>
            </w:pPr>
            <w:r>
              <w:t>156.16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80.19</w:t>
            </w:r>
          </w:p>
        </w:tc>
        <w:tc>
          <w:tcPr>
            <w:tcW w:w="2551" w:type="dxa"/>
            <w:vAlign w:val="center"/>
          </w:tcPr>
          <w:p>
            <w:pPr>
              <w:pStyle w:val="11"/>
            </w:pPr>
          </w:p>
        </w:tc>
        <w:tc>
          <w:tcPr>
            <w:tcW w:w="2551" w:type="dxa"/>
            <w:vAlign w:val="center"/>
          </w:tcPr>
          <w:p>
            <w:pPr>
              <w:pStyle w:val="11"/>
            </w:pPr>
            <w:r>
              <w:t>80.19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9.20</w:t>
            </w:r>
          </w:p>
        </w:tc>
        <w:tc>
          <w:tcPr>
            <w:tcW w:w="2551" w:type="dxa"/>
            <w:vAlign w:val="center"/>
          </w:tcPr>
          <w:p>
            <w:pPr>
              <w:pStyle w:val="11"/>
            </w:pPr>
          </w:p>
        </w:tc>
        <w:tc>
          <w:tcPr>
            <w:tcW w:w="2551" w:type="dxa"/>
            <w:vAlign w:val="center"/>
          </w:tcPr>
          <w:p>
            <w:pPr>
              <w:pStyle w:val="11"/>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26.36</w:t>
            </w:r>
          </w:p>
        </w:tc>
        <w:tc>
          <w:tcPr>
            <w:tcW w:w="2551" w:type="dxa"/>
            <w:vAlign w:val="center"/>
          </w:tcPr>
          <w:p>
            <w:pPr>
              <w:pStyle w:val="11"/>
            </w:pPr>
          </w:p>
        </w:tc>
        <w:tc>
          <w:tcPr>
            <w:tcW w:w="2551" w:type="dxa"/>
            <w:vAlign w:val="center"/>
          </w:tcPr>
          <w:p>
            <w:pPr>
              <w:pStyle w:val="11"/>
            </w:pPr>
            <w:r>
              <w:t>26.36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6.89</w:t>
            </w:r>
          </w:p>
        </w:tc>
        <w:tc>
          <w:tcPr>
            <w:tcW w:w="2551" w:type="dxa"/>
            <w:vAlign w:val="center"/>
          </w:tcPr>
          <w:p>
            <w:pPr>
              <w:pStyle w:val="11"/>
            </w:pPr>
          </w:p>
        </w:tc>
        <w:tc>
          <w:tcPr>
            <w:tcW w:w="2551" w:type="dxa"/>
            <w:vAlign w:val="center"/>
          </w:tcPr>
          <w:p>
            <w:pPr>
              <w:pStyle w:val="11"/>
            </w:pPr>
            <w:r>
              <w:t>6.89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5.75</w:t>
            </w:r>
          </w:p>
        </w:tc>
        <w:tc>
          <w:tcPr>
            <w:tcW w:w="2551" w:type="dxa"/>
            <w:vAlign w:val="center"/>
          </w:tcPr>
          <w:p>
            <w:pPr>
              <w:pStyle w:val="11"/>
            </w:pPr>
          </w:p>
        </w:tc>
        <w:tc>
          <w:tcPr>
            <w:tcW w:w="2551" w:type="dxa"/>
            <w:vAlign w:val="center"/>
          </w:tcPr>
          <w:p>
            <w:pPr>
              <w:pStyle w:val="11"/>
            </w:pPr>
            <w:r>
              <w:t>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21.54</w:t>
            </w:r>
          </w:p>
        </w:tc>
        <w:tc>
          <w:tcPr>
            <w:tcW w:w="2551" w:type="dxa"/>
            <w:vAlign w:val="center"/>
          </w:tcPr>
          <w:p>
            <w:pPr>
              <w:pStyle w:val="11"/>
            </w:pPr>
          </w:p>
        </w:tc>
        <w:tc>
          <w:tcPr>
            <w:tcW w:w="2551" w:type="dxa"/>
            <w:vAlign w:val="center"/>
          </w:tcPr>
          <w:p>
            <w:pPr>
              <w:pStyle w:val="11"/>
            </w:pPr>
            <w:r>
              <w:t>21.54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17.67</w:t>
            </w:r>
          </w:p>
        </w:tc>
        <w:tc>
          <w:tcPr>
            <w:tcW w:w="2551" w:type="dxa"/>
            <w:vAlign w:val="center"/>
          </w:tcPr>
          <w:p>
            <w:pPr>
              <w:pStyle w:val="11"/>
            </w:pPr>
            <w:r>
              <w:t>17.67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石家庄市藁城区数据和政务服务局本级2025年单位预算信息公开情况说明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按照《中华人民共和国预算法》、《地方预决算公开操作规程》和《关于进一步推进预算公开工作的实施意见》规定，现将石家庄市藁城区数据和政务服务局本级2025年单位预算公开如下：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局机关事务：贯彻落实党中央、国务院和省委、省政府，市委、市政府，区委、区政府关于推进政府职能转变和“放管服”改革、行政审批制度改革、政务服务管理、公共资源交易管理、社会信用体系建设有关方针政策和法律法规。贯彻落实地方性法规、政府规章，制定有关政策落实措施并组织实施。承担区政府推进政府职能转变和“放管服”改革协调小组办公室的日常工作。</w:t>
      </w:r>
    </w:p>
    <w:p>
      <w:pPr>
        <w:pStyle w:val="17"/>
      </w:pPr>
      <w:r>
        <w:t>负责投资项目、商事登记、市场服务、文教体卫、社会事务、住建交通、生态环境、安全生产、农林畜水、经贸商务、城市管理等方面行政审批事项的办理及相关行政性收费，并承担相应的法律责任。负责区直部门已划转行政许可事项涉及的现场勘验、审图、联合验收等工作。负责对全区行政审批政务服务行为进行监督检查。</w:t>
      </w:r>
    </w:p>
    <w:p>
      <w:pPr>
        <w:pStyle w:val="17"/>
      </w:pPr>
      <w:r>
        <w:t>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7"/>
      </w:pPr>
      <w:r>
        <w:t>承办区委、区政府交办的其他事项</w:t>
      </w:r>
    </w:p>
    <w:p>
      <w:pPr>
        <w:pStyle w:val="17"/>
      </w:pPr>
      <w:r>
        <w:t>2、后勤事务：大厅的工作场所的安全保卫、消防工作，制定各项安全防范制度和措施。</w:t>
      </w:r>
    </w:p>
    <w:p>
      <w:pPr>
        <w:pStyle w:val="17"/>
      </w:pPr>
      <w:r>
        <w:t>大厅的环境卫生、绿化、美化以及大厅办公设施的维护管理购置工作。</w:t>
      </w:r>
    </w:p>
    <w:p>
      <w:pPr>
        <w:pStyle w:val="17"/>
      </w:pPr>
      <w:r>
        <w:t>负责局的房屋维修，水电暖通讯设备使用、管理及维修，对中央空调等大型设备进行定期维护。</w:t>
      </w:r>
    </w:p>
    <w:p>
      <w:pPr>
        <w:pStyle w:val="17"/>
      </w:pPr>
      <w:r>
        <w:t>负责局水、电、暖、网、办公用品等硬、软件的管理</w:t>
      </w:r>
    </w:p>
    <w:p>
      <w:pPr>
        <w:pStyle w:val="17"/>
      </w:pPr>
      <w:r>
        <w:t>3、负责协调派驻部门行政审批事项的办理工作，规范、管理和监督派驻部门的行政审批行为。</w:t>
      </w:r>
    </w:p>
    <w:p>
      <w:pPr>
        <w:pStyle w:val="17"/>
      </w:pPr>
      <w:r>
        <w:t>4、负责行政审批信息化工作，区级行政审批信息资料的保管、整理、统计、编目和定期检查工作</w:t>
      </w:r>
    </w:p>
    <w:p>
      <w:pPr>
        <w:pStyle w:val="17"/>
      </w:pPr>
      <w:r>
        <w:t>5、拟订全区公共资源交易管理制度、规则并组织实施；编制公共资源交易目录，建设、管理公共资源交易电子服务系统，推进公共资源交易领域信用体系建设；负责监督区本级公共资源交易项目进场交易，并对场内交易活动进行监督，组织协调各行业主管部门对公共资源交易活动实施监督，将发现的违法违规问题移送有关部门处理；协调开展区本级公共资源交易活动的联动执法。</w:t>
      </w:r>
    </w:p>
    <w:p>
      <w:pPr>
        <w:pStyle w:val="17"/>
      </w:pPr>
      <w:r>
        <w:t>6、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w:t>
      </w:r>
    </w:p>
    <w:p>
      <w:pPr>
        <w:pStyle w:val="17"/>
      </w:pPr>
      <w:r>
        <w:t>7、负责拟订电子政务、智慧城市和全区数据资源发展规划和管理办法，提出数据产业发展综合性建议，协调解决数据资源发展、信息化建设中的重大问题，组织协调推进全区政务数据和公共资源的目录制定，归集管理、整理利用、共享开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石家庄市藁城区数据和政务服务局本级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1776.82万元，其中：一般公共预算收入1676.82万元，基金预算收入100.00万元，国有资本经营预算收入0.00万元，财政专户核拨收入0.00万元，单位资金收入0.00万元，上年结转结余0.00万元。</w:t>
      </w:r>
    </w:p>
    <w:p>
      <w:pPr>
        <w:pStyle w:val="18"/>
      </w:pPr>
      <w:r>
        <w:t>2、支出说明</w:t>
      </w:r>
    </w:p>
    <w:p>
      <w:pPr>
        <w:pStyle w:val="22"/>
        <w:rPr>
          <w:rFonts w:hint="eastAsia"/>
          <w:lang w:eastAsia="zh-CN"/>
        </w:rPr>
      </w:pPr>
      <w:r>
        <w:t>收支预算总表支出栏、基本支出表、项目支出表按经济分类和支出功能分类科目编制，反映石家庄市藁城区数据和政务服务局本级年度单位预算中支出预算的总体情况。2025年支出预算1776.82万元，其中基本支出1337.40万元，包括人员经费1257.21万元和日常公用经费80.19万元；项目支出439.42万元，</w:t>
      </w:r>
      <w:r>
        <w:rPr>
          <w:rFonts w:hint="eastAsia"/>
          <w:lang w:eastAsia="zh-CN"/>
        </w:rPr>
        <w:t>主要为：</w:t>
      </w:r>
    </w:p>
    <w:p>
      <w:pPr>
        <w:pStyle w:val="18"/>
      </w:pPr>
      <w:r>
        <w:rPr>
          <w:rFonts w:hint="eastAsia"/>
          <w:lang w:eastAsia="zh-CN"/>
        </w:rPr>
        <w:t>劳务派遣人员费用</w:t>
      </w:r>
      <w:r>
        <w:rPr>
          <w:rFonts w:hint="eastAsia"/>
          <w:lang w:val="en-US" w:eastAsia="zh-CN"/>
        </w:rPr>
        <w:t>251.77万，</w:t>
      </w:r>
      <w:r>
        <w:rPr>
          <w:rFonts w:hint="eastAsia"/>
          <w:lang w:eastAsia="zh-CN"/>
        </w:rPr>
        <w:t>第三方中介服务费</w:t>
      </w:r>
      <w:r>
        <w:rPr>
          <w:rFonts w:hint="eastAsia"/>
          <w:lang w:val="en-US" w:eastAsia="zh-CN"/>
        </w:rPr>
        <w:t>15万，租赁办公用房56万，交易中心房租5万，运行维护费9.252万，各类印刷品 经费2.4万。</w:t>
      </w:r>
      <w:r>
        <w:t>2024年预算在石家庄市藁城区行政审批局做，2024年4月进行机构改革后，单位更名为石家庄市藁城区数据和政务服务局，原区行政审批局职能整体划入，2025年预算在石家庄市藁城区数据和政务服务局做，因此无2024年对比预算。</w:t>
      </w:r>
    </w:p>
    <w:p>
      <w:pPr>
        <w:pStyle w:val="18"/>
      </w:pPr>
      <w:r>
        <w:t>3、比上年增减情况</w:t>
      </w:r>
    </w:p>
    <w:p>
      <w:pPr>
        <w:pStyle w:val="18"/>
      </w:pPr>
      <w:r>
        <w:t>2025年预算收支安排1776.82万元，较2024年预算增加1776.82万元，其中：基本支出增加1337.40万元，主要为2024年预算在石家庄市藁城区行政审批局做，2024年4月进行机构改革后，单位更名为石家庄市藁城区数据和政务服务局，原区行政审批局职能整体划入，2025年预算在石家庄市藁城区数据和政务服务局做，因此无2024年对比预算。项目支出增加439.42万元，主要为2024年预算在石家庄市藁城区行政审批局做，2024年4月进行机构改革后，单位更名为石家庄市藁城区数据和政务服务局，原区行政审批局职能整体划入，2025年预算在石家庄市藁城区数据和政务服务局做，因此无2024年对比预算。</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560" w:firstLineChars="200"/>
        <w:rPr>
          <w:rFonts w:hint="eastAsia" w:ascii="微软雅黑" w:hAnsi="微软雅黑" w:eastAsia="微软雅黑" w:cs="微软雅黑"/>
          <w:b w:val="0"/>
          <w:bCs w:val="0"/>
          <w:sz w:val="28"/>
          <w:szCs w:val="28"/>
          <w:lang w:val="en-US" w:eastAsia="zh-CN"/>
        </w:rPr>
      </w:pPr>
      <w:r>
        <w:rPr>
          <w:rFonts w:hint="eastAsia" w:ascii="微软雅黑" w:hAnsi="微软雅黑" w:eastAsia="微软雅黑" w:cs="微软雅黑"/>
          <w:b w:val="0"/>
          <w:bCs w:val="0"/>
          <w:sz w:val="28"/>
          <w:szCs w:val="28"/>
        </w:rPr>
        <w:t>机关运行经费日常公用经费80.19万元</w:t>
      </w:r>
      <w:r>
        <w:rPr>
          <w:rFonts w:hint="eastAsia" w:ascii="微软雅黑" w:hAnsi="微软雅黑" w:eastAsia="微软雅黑" w:cs="微软雅黑"/>
          <w:b w:val="0"/>
          <w:bCs w:val="0"/>
          <w:sz w:val="28"/>
          <w:szCs w:val="28"/>
          <w:lang w:eastAsia="zh-CN"/>
        </w:rPr>
        <w:t>，</w:t>
      </w:r>
      <w:r>
        <w:rPr>
          <w:rFonts w:hint="eastAsia" w:ascii="微软雅黑" w:hAnsi="微软雅黑" w:eastAsia="微软雅黑" w:cs="微软雅黑"/>
          <w:b w:val="0"/>
          <w:bCs w:val="0"/>
          <w:sz w:val="28"/>
          <w:szCs w:val="28"/>
          <w:lang w:val="en-US" w:eastAsia="zh-CN"/>
        </w:rPr>
        <w:t>其中：办公费9.2万元</w:t>
      </w:r>
      <w:bookmarkStart w:id="1" w:name="_GoBack"/>
      <w:bookmarkEnd w:id="1"/>
      <w:r>
        <w:rPr>
          <w:rFonts w:hint="eastAsia" w:ascii="微软雅黑" w:hAnsi="微软雅黑" w:eastAsia="微软雅黑" w:cs="微软雅黑"/>
          <w:b w:val="0"/>
          <w:bCs w:val="0"/>
          <w:sz w:val="28"/>
          <w:szCs w:val="28"/>
          <w:lang w:val="en-US" w:eastAsia="zh-CN"/>
        </w:rPr>
        <w:t>，邮电费26.36万，电费5万，印刷费3万，公务交通补贴21.54万，差旅费1万，工会费6.89万，福利费5.75万，党组织活动经费0.88万。</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560" w:firstLineChars="200"/>
        <w:rPr>
          <w:rFonts w:hint="eastAsia" w:ascii="Times New Roman" w:hAnsi="Times New Roman" w:eastAsia="仿宋" w:cs="Times New Roman"/>
          <w:sz w:val="32"/>
          <w:szCs w:val="32"/>
        </w:rPr>
      </w:pPr>
      <w:r>
        <w:rPr>
          <w:rFonts w:hint="eastAsia" w:eastAsia="方正仿宋_GBK" w:cs="Times New Roman"/>
          <w:kern w:val="0"/>
          <w:sz w:val="28"/>
          <w:szCs w:val="24"/>
          <w:lang w:val="en-US" w:eastAsia="zh-CN"/>
        </w:rPr>
        <w:t>2</w:t>
      </w:r>
      <w:r>
        <w:rPr>
          <w:rFonts w:ascii="Times New Roman" w:hAnsi="Times New Roman" w:eastAsia="方正仿宋_GBK" w:cs="Times New Roman"/>
          <w:kern w:val="0"/>
          <w:sz w:val="28"/>
          <w:szCs w:val="24"/>
          <w:lang w:eastAsia="uk-UA"/>
        </w:rPr>
        <w:t>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1、第三方中介服务费绩效目标表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13010925P000008105189</w:t>
            </w:r>
          </w:p>
        </w:tc>
        <w:tc>
          <w:tcPr>
            <w:tcW w:w="2835" w:type="dxa"/>
            <w:vAlign w:val="center"/>
          </w:tcPr>
          <w:p>
            <w:pPr>
              <w:pStyle w:val="10"/>
            </w:pPr>
            <w:r>
              <w:t>项目名称</w:t>
            </w:r>
          </w:p>
        </w:tc>
        <w:tc>
          <w:tcPr>
            <w:tcW w:w="6095" w:type="dxa"/>
            <w:gridSpan w:val="3"/>
            <w:vAlign w:val="center"/>
          </w:tcPr>
          <w:p>
            <w:pPr>
              <w:pStyle w:val="12"/>
            </w:pPr>
            <w:r>
              <w:t>第三方中介服务费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用于减轻企业负担，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1.为落实降费减负政策措施，减轻企业负担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涉及业务科室招标项目</w:t>
            </w:r>
          </w:p>
        </w:tc>
        <w:tc>
          <w:tcPr>
            <w:tcW w:w="5386" w:type="dxa"/>
            <w:vAlign w:val="center"/>
          </w:tcPr>
          <w:p>
            <w:pPr>
              <w:pStyle w:val="12"/>
            </w:pPr>
            <w:r>
              <w:t>具体4个科室7个招标内容</w:t>
            </w:r>
          </w:p>
        </w:tc>
        <w:tc>
          <w:tcPr>
            <w:tcW w:w="2268" w:type="dxa"/>
            <w:vAlign w:val="center"/>
          </w:tcPr>
          <w:p>
            <w:pPr>
              <w:pStyle w:val="12"/>
            </w:pPr>
            <w:r>
              <w:t>7项目</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招标完成率</w:t>
            </w:r>
          </w:p>
        </w:tc>
        <w:tc>
          <w:tcPr>
            <w:tcW w:w="5386" w:type="dxa"/>
            <w:vAlign w:val="center"/>
          </w:tcPr>
          <w:p>
            <w:pPr>
              <w:pStyle w:val="12"/>
            </w:pPr>
            <w:r>
              <w:t>7个招标内容需完成</w:t>
            </w:r>
          </w:p>
        </w:tc>
        <w:tc>
          <w:tcPr>
            <w:tcW w:w="2268" w:type="dxa"/>
            <w:vAlign w:val="center"/>
          </w:tcPr>
          <w:p>
            <w:pPr>
              <w:pStyle w:val="12"/>
            </w:pPr>
            <w:r>
              <w:t>≥1%</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计划完成时间</w:t>
            </w:r>
          </w:p>
        </w:tc>
        <w:tc>
          <w:tcPr>
            <w:tcW w:w="5386" w:type="dxa"/>
            <w:vAlign w:val="center"/>
          </w:tcPr>
          <w:p>
            <w:pPr>
              <w:pStyle w:val="12"/>
            </w:pPr>
            <w:r>
              <w:t>2025年上半年</w:t>
            </w:r>
          </w:p>
        </w:tc>
        <w:tc>
          <w:tcPr>
            <w:tcW w:w="2268" w:type="dxa"/>
            <w:vAlign w:val="center"/>
          </w:tcPr>
          <w:p>
            <w:pPr>
              <w:pStyle w:val="12"/>
            </w:pPr>
            <w:r>
              <w:t>2025年6月</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控制中标单位中标金额</w:t>
            </w:r>
          </w:p>
        </w:tc>
        <w:tc>
          <w:tcPr>
            <w:tcW w:w="2268" w:type="dxa"/>
            <w:vAlign w:val="center"/>
          </w:tcPr>
          <w:p>
            <w:pPr>
              <w:pStyle w:val="12"/>
            </w:pPr>
            <w:r>
              <w:t>15万</w:t>
            </w:r>
          </w:p>
        </w:tc>
        <w:tc>
          <w:tcPr>
            <w:tcW w:w="1276" w:type="dxa"/>
            <w:vAlign w:val="center"/>
          </w:tcPr>
          <w:p>
            <w:pPr>
              <w:pStyle w:val="12"/>
            </w:pPr>
            <w:r>
              <w:t>控制成本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≥95%</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保障正常办公</w:t>
            </w:r>
          </w:p>
        </w:tc>
        <w:tc>
          <w:tcPr>
            <w:tcW w:w="2268" w:type="dxa"/>
            <w:vAlign w:val="center"/>
          </w:tcPr>
          <w:p>
            <w:pPr>
              <w:pStyle w:val="12"/>
            </w:pPr>
            <w:r>
              <w:t>保障正常办公</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企业满意度</w:t>
            </w:r>
          </w:p>
        </w:tc>
        <w:tc>
          <w:tcPr>
            <w:tcW w:w="2268" w:type="dxa"/>
            <w:vAlign w:val="center"/>
          </w:tcPr>
          <w:p>
            <w:pPr>
              <w:pStyle w:val="12"/>
            </w:pPr>
            <w:r>
              <w:t>满席度</w:t>
            </w:r>
          </w:p>
        </w:tc>
        <w:tc>
          <w:tcPr>
            <w:tcW w:w="1276" w:type="dxa"/>
            <w:vAlign w:val="center"/>
          </w:tcPr>
          <w:p>
            <w:pPr>
              <w:pStyle w:val="12"/>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2、各类印刷品经费绩效目标表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13010925P00000810515E</w:t>
            </w:r>
          </w:p>
        </w:tc>
        <w:tc>
          <w:tcPr>
            <w:tcW w:w="2835" w:type="dxa"/>
            <w:vAlign w:val="center"/>
          </w:tcPr>
          <w:p>
            <w:pPr>
              <w:pStyle w:val="10"/>
            </w:pPr>
            <w:r>
              <w:t>项目名称</w:t>
            </w:r>
          </w:p>
        </w:tc>
        <w:tc>
          <w:tcPr>
            <w:tcW w:w="6095" w:type="dxa"/>
            <w:gridSpan w:val="3"/>
            <w:vAlign w:val="center"/>
          </w:tcPr>
          <w:p>
            <w:pPr>
              <w:pStyle w:val="12"/>
            </w:pPr>
            <w:r>
              <w:t>各类印刷品经费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用于单位日常印刷费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2.40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1.保证局内日常办公用印刷费用。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印刷品类</w:t>
            </w:r>
          </w:p>
        </w:tc>
        <w:tc>
          <w:tcPr>
            <w:tcW w:w="5386" w:type="dxa"/>
            <w:vAlign w:val="center"/>
          </w:tcPr>
          <w:p>
            <w:pPr>
              <w:pStyle w:val="12"/>
            </w:pPr>
            <w:r>
              <w:t>涉及多部门约30种印刷品</w:t>
            </w:r>
          </w:p>
        </w:tc>
        <w:tc>
          <w:tcPr>
            <w:tcW w:w="2268" w:type="dxa"/>
            <w:vAlign w:val="center"/>
          </w:tcPr>
          <w:p>
            <w:pPr>
              <w:pStyle w:val="12"/>
            </w:pPr>
            <w:r>
              <w:t>30种</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印刷产品质量保障</w:t>
            </w:r>
          </w:p>
        </w:tc>
        <w:tc>
          <w:tcPr>
            <w:tcW w:w="5386" w:type="dxa"/>
            <w:vAlign w:val="center"/>
          </w:tcPr>
          <w:p>
            <w:pPr>
              <w:pStyle w:val="12"/>
            </w:pPr>
            <w:r>
              <w:t>按相关规定要求印刷，保障质量</w:t>
            </w:r>
          </w:p>
        </w:tc>
        <w:tc>
          <w:tcPr>
            <w:tcW w:w="2268" w:type="dxa"/>
            <w:vAlign w:val="center"/>
          </w:tcPr>
          <w:p>
            <w:pPr>
              <w:pStyle w:val="12"/>
            </w:pPr>
            <w:r>
              <w:t>保障质量</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年末核算支付</w:t>
            </w:r>
          </w:p>
        </w:tc>
        <w:tc>
          <w:tcPr>
            <w:tcW w:w="2268" w:type="dxa"/>
            <w:vAlign w:val="center"/>
          </w:tcPr>
          <w:p>
            <w:pPr>
              <w:pStyle w:val="12"/>
            </w:pPr>
            <w:r>
              <w:t>2025年12月</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控制30种品类内</w:t>
            </w:r>
          </w:p>
        </w:tc>
        <w:tc>
          <w:tcPr>
            <w:tcW w:w="2268" w:type="dxa"/>
            <w:vAlign w:val="center"/>
          </w:tcPr>
          <w:p>
            <w:pPr>
              <w:pStyle w:val="12"/>
            </w:pPr>
            <w:r>
              <w:t>30种类</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保障业务正常开展</w:t>
            </w:r>
          </w:p>
        </w:tc>
        <w:tc>
          <w:tcPr>
            <w:tcW w:w="2268" w:type="dxa"/>
            <w:vAlign w:val="center"/>
          </w:tcPr>
          <w:p>
            <w:pPr>
              <w:pStyle w:val="12"/>
            </w:pPr>
            <w:r>
              <w:t>保障正常工作开展</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办事群众满意</w:t>
            </w:r>
          </w:p>
        </w:tc>
        <w:tc>
          <w:tcPr>
            <w:tcW w:w="2268" w:type="dxa"/>
            <w:vAlign w:val="center"/>
          </w:tcPr>
          <w:p>
            <w:pPr>
              <w:pStyle w:val="12"/>
            </w:pPr>
            <w:r>
              <w:t>办事群众满意度</w:t>
            </w:r>
          </w:p>
        </w:tc>
        <w:tc>
          <w:tcPr>
            <w:tcW w:w="1276" w:type="dxa"/>
            <w:vAlign w:val="center"/>
          </w:tcPr>
          <w:p>
            <w:pPr>
              <w:pStyle w:val="12"/>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3、公共资源交易中心房租绩效目标表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13010925P000008105162</w:t>
            </w:r>
          </w:p>
        </w:tc>
        <w:tc>
          <w:tcPr>
            <w:tcW w:w="2835" w:type="dxa"/>
            <w:vAlign w:val="center"/>
          </w:tcPr>
          <w:p>
            <w:pPr>
              <w:pStyle w:val="10"/>
            </w:pPr>
            <w:r>
              <w:t>项目名称</w:t>
            </w:r>
          </w:p>
        </w:tc>
        <w:tc>
          <w:tcPr>
            <w:tcW w:w="6095" w:type="dxa"/>
            <w:gridSpan w:val="3"/>
            <w:vAlign w:val="center"/>
          </w:tcPr>
          <w:p>
            <w:pPr>
              <w:pStyle w:val="12"/>
            </w:pPr>
            <w:r>
              <w:t>公共资源交易中心房租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用于公共资源交易中心办公用房租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1.保证交易中心场所正常使用。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租赁办公用房面积</w:t>
            </w:r>
          </w:p>
        </w:tc>
        <w:tc>
          <w:tcPr>
            <w:tcW w:w="5386" w:type="dxa"/>
            <w:vAlign w:val="center"/>
          </w:tcPr>
          <w:p>
            <w:pPr>
              <w:pStyle w:val="12"/>
            </w:pPr>
            <w:r>
              <w:t>两层共2500平米</w:t>
            </w:r>
          </w:p>
        </w:tc>
        <w:tc>
          <w:tcPr>
            <w:tcW w:w="2268" w:type="dxa"/>
            <w:vAlign w:val="center"/>
          </w:tcPr>
          <w:p>
            <w:pPr>
              <w:pStyle w:val="12"/>
            </w:pPr>
            <w:r>
              <w:t>1平米</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资金支付完成率</w:t>
            </w:r>
          </w:p>
        </w:tc>
        <w:tc>
          <w:tcPr>
            <w:tcW w:w="5386" w:type="dxa"/>
            <w:vAlign w:val="center"/>
          </w:tcPr>
          <w:p>
            <w:pPr>
              <w:pStyle w:val="12"/>
            </w:pPr>
            <w:r>
              <w:t>房租支付一次性</w:t>
            </w:r>
          </w:p>
        </w:tc>
        <w:tc>
          <w:tcPr>
            <w:tcW w:w="2268" w:type="dxa"/>
            <w:vAlign w:val="center"/>
          </w:tcPr>
          <w:p>
            <w:pPr>
              <w:pStyle w:val="12"/>
            </w:pPr>
            <w:r>
              <w:t>≥95%</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w:t>
            </w:r>
          </w:p>
        </w:tc>
        <w:tc>
          <w:tcPr>
            <w:tcW w:w="5386" w:type="dxa"/>
            <w:vAlign w:val="center"/>
          </w:tcPr>
          <w:p>
            <w:pPr>
              <w:pStyle w:val="12"/>
            </w:pPr>
            <w:r>
              <w:t>资金支付时间</w:t>
            </w:r>
          </w:p>
        </w:tc>
        <w:tc>
          <w:tcPr>
            <w:tcW w:w="2268" w:type="dxa"/>
            <w:vAlign w:val="center"/>
          </w:tcPr>
          <w:p>
            <w:pPr>
              <w:pStyle w:val="12"/>
            </w:pPr>
            <w:r>
              <w:t>2025年10月</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核算单位资金成本</w:t>
            </w:r>
          </w:p>
        </w:tc>
        <w:tc>
          <w:tcPr>
            <w:tcW w:w="2268" w:type="dxa"/>
            <w:vAlign w:val="center"/>
          </w:tcPr>
          <w:p>
            <w:pPr>
              <w:pStyle w:val="12"/>
            </w:pPr>
            <w:r>
              <w:t>15万全年</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保障正常办公</w:t>
            </w:r>
          </w:p>
        </w:tc>
        <w:tc>
          <w:tcPr>
            <w:tcW w:w="2268" w:type="dxa"/>
            <w:vAlign w:val="center"/>
          </w:tcPr>
          <w:p>
            <w:pPr>
              <w:pStyle w:val="12"/>
            </w:pPr>
            <w:r>
              <w:t>保障正常办公</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工作人员对办公场所的满意程度</w:t>
            </w:r>
          </w:p>
        </w:tc>
        <w:tc>
          <w:tcPr>
            <w:tcW w:w="2268" w:type="dxa"/>
            <w:vAlign w:val="center"/>
          </w:tcPr>
          <w:p>
            <w:pPr>
              <w:pStyle w:val="12"/>
            </w:pPr>
            <w:r>
              <w:t>工作人员满意度</w:t>
            </w:r>
          </w:p>
        </w:tc>
        <w:tc>
          <w:tcPr>
            <w:tcW w:w="1276" w:type="dxa"/>
            <w:vAlign w:val="center"/>
          </w:tcPr>
          <w:p>
            <w:pPr>
              <w:pStyle w:val="12"/>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13010925P000008105208</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251.77</w:t>
            </w:r>
          </w:p>
        </w:tc>
        <w:tc>
          <w:tcPr>
            <w:tcW w:w="2835" w:type="dxa"/>
            <w:vAlign w:val="center"/>
          </w:tcPr>
          <w:p>
            <w:pPr>
              <w:pStyle w:val="10"/>
            </w:pPr>
            <w:r>
              <w:t>其中：财政    资金</w:t>
            </w:r>
          </w:p>
        </w:tc>
        <w:tc>
          <w:tcPr>
            <w:tcW w:w="2551" w:type="dxa"/>
            <w:vAlign w:val="center"/>
          </w:tcPr>
          <w:p>
            <w:pPr>
              <w:pStyle w:val="12"/>
            </w:pPr>
            <w:r>
              <w:t>251.77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用于发放单位聘用派遣人员工资。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75.53</w:t>
            </w:r>
          </w:p>
        </w:tc>
        <w:tc>
          <w:tcPr>
            <w:tcW w:w="2835" w:type="dxa"/>
            <w:vAlign w:val="center"/>
          </w:tcPr>
          <w:p>
            <w:pPr>
              <w:pStyle w:val="13"/>
            </w:pPr>
            <w:r>
              <w:t>151.10</w:t>
            </w:r>
          </w:p>
        </w:tc>
        <w:tc>
          <w:tcPr>
            <w:tcW w:w="2551" w:type="dxa"/>
            <w:vAlign w:val="center"/>
          </w:tcPr>
          <w:p>
            <w:pPr>
              <w:pStyle w:val="13"/>
            </w:pPr>
            <w:r>
              <w:t>226.60</w:t>
            </w:r>
          </w:p>
        </w:tc>
        <w:tc>
          <w:tcPr>
            <w:tcW w:w="3544" w:type="dxa"/>
            <w:gridSpan w:val="2"/>
            <w:vAlign w:val="center"/>
          </w:tcPr>
          <w:p>
            <w:pPr>
              <w:pStyle w:val="13"/>
            </w:pPr>
            <w:r>
              <w:t>251.77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1.增加劳务派遣人员，保障大厅正常办公。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单位劳务派遣人数</w:t>
            </w:r>
          </w:p>
        </w:tc>
        <w:tc>
          <w:tcPr>
            <w:tcW w:w="5386" w:type="dxa"/>
            <w:vAlign w:val="center"/>
          </w:tcPr>
          <w:p>
            <w:pPr>
              <w:pStyle w:val="12"/>
            </w:pPr>
            <w:r>
              <w:t>劳务派遣人员58名</w:t>
            </w:r>
          </w:p>
        </w:tc>
        <w:tc>
          <w:tcPr>
            <w:tcW w:w="2268" w:type="dxa"/>
            <w:vAlign w:val="center"/>
          </w:tcPr>
          <w:p>
            <w:pPr>
              <w:pStyle w:val="12"/>
            </w:pPr>
            <w:r>
              <w:t>1人</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按季度进行考核</w:t>
            </w:r>
          </w:p>
        </w:tc>
        <w:tc>
          <w:tcPr>
            <w:tcW w:w="2268" w:type="dxa"/>
            <w:vAlign w:val="center"/>
          </w:tcPr>
          <w:p>
            <w:pPr>
              <w:pStyle w:val="12"/>
            </w:pPr>
            <w:r>
              <w:t>1次</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人员在岗时间</w:t>
            </w:r>
          </w:p>
        </w:tc>
        <w:tc>
          <w:tcPr>
            <w:tcW w:w="5386" w:type="dxa"/>
            <w:vAlign w:val="center"/>
          </w:tcPr>
          <w:p>
            <w:pPr>
              <w:pStyle w:val="12"/>
            </w:pPr>
            <w:r>
              <w:t>人员在岗时间</w:t>
            </w:r>
          </w:p>
        </w:tc>
        <w:tc>
          <w:tcPr>
            <w:tcW w:w="2268" w:type="dxa"/>
            <w:vAlign w:val="center"/>
          </w:tcPr>
          <w:p>
            <w:pPr>
              <w:pStyle w:val="12"/>
            </w:pPr>
            <w:r>
              <w:t>1年度</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劳务派遣人员年度工资标准</w:t>
            </w:r>
          </w:p>
        </w:tc>
        <w:tc>
          <w:tcPr>
            <w:tcW w:w="2268" w:type="dxa"/>
            <w:vAlign w:val="center"/>
          </w:tcPr>
          <w:p>
            <w:pPr>
              <w:pStyle w:val="12"/>
            </w:pPr>
            <w:r>
              <w:t>4.34人</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保证大厅正常办公</w:t>
            </w:r>
          </w:p>
        </w:tc>
        <w:tc>
          <w:tcPr>
            <w:tcW w:w="5386" w:type="dxa"/>
            <w:vAlign w:val="center"/>
          </w:tcPr>
          <w:p>
            <w:pPr>
              <w:pStyle w:val="12"/>
            </w:pPr>
            <w:r>
              <w:t>保证大厅各项审批业务正常办公</w:t>
            </w:r>
          </w:p>
        </w:tc>
        <w:tc>
          <w:tcPr>
            <w:tcW w:w="2268" w:type="dxa"/>
            <w:vAlign w:val="center"/>
          </w:tcPr>
          <w:p>
            <w:pPr>
              <w:pStyle w:val="12"/>
            </w:pPr>
            <w:r>
              <w:t>保障正常办公</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派遣人员满意度</w:t>
            </w:r>
          </w:p>
        </w:tc>
        <w:tc>
          <w:tcPr>
            <w:tcW w:w="2268" w:type="dxa"/>
            <w:vAlign w:val="center"/>
          </w:tcPr>
          <w:p>
            <w:pPr>
              <w:pStyle w:val="12"/>
            </w:pPr>
            <w:r>
              <w:t>≥95派遣人员满意度</w:t>
            </w:r>
          </w:p>
        </w:tc>
        <w:tc>
          <w:tcPr>
            <w:tcW w:w="1276" w:type="dxa"/>
            <w:vAlign w:val="center"/>
          </w:tcPr>
          <w:p>
            <w:pPr>
              <w:pStyle w:val="12"/>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5、政务服务中心运行维护费绩效目标表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13010925P00000810517M</w:t>
            </w:r>
          </w:p>
        </w:tc>
        <w:tc>
          <w:tcPr>
            <w:tcW w:w="2835" w:type="dxa"/>
            <w:vAlign w:val="center"/>
          </w:tcPr>
          <w:p>
            <w:pPr>
              <w:pStyle w:val="10"/>
            </w:pPr>
            <w:r>
              <w:t>项目名称</w:t>
            </w:r>
          </w:p>
        </w:tc>
        <w:tc>
          <w:tcPr>
            <w:tcW w:w="6095" w:type="dxa"/>
            <w:gridSpan w:val="3"/>
            <w:vAlign w:val="center"/>
          </w:tcPr>
          <w:p>
            <w:pPr>
              <w:pStyle w:val="12"/>
            </w:pPr>
            <w:r>
              <w:t>政务服务中心运行维护费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9.25</w:t>
            </w:r>
          </w:p>
        </w:tc>
        <w:tc>
          <w:tcPr>
            <w:tcW w:w="2835" w:type="dxa"/>
            <w:vAlign w:val="center"/>
          </w:tcPr>
          <w:p>
            <w:pPr>
              <w:pStyle w:val="10"/>
            </w:pPr>
            <w:r>
              <w:t>其中：财政    资金</w:t>
            </w:r>
          </w:p>
        </w:tc>
        <w:tc>
          <w:tcPr>
            <w:tcW w:w="2551" w:type="dxa"/>
            <w:vAlign w:val="center"/>
          </w:tcPr>
          <w:p>
            <w:pPr>
              <w:pStyle w:val="12"/>
            </w:pPr>
            <w:r>
              <w:t>9.25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用于保障单位正常运转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 xml:space="preserve"> </w:t>
            </w:r>
          </w:p>
        </w:tc>
        <w:tc>
          <w:tcPr>
            <w:tcW w:w="3544" w:type="dxa"/>
            <w:gridSpan w:val="2"/>
            <w:vAlign w:val="center"/>
          </w:tcPr>
          <w:p>
            <w:pPr>
              <w:pStyle w:val="13"/>
            </w:pPr>
            <w:r>
              <w:t>9.25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1.保证大厅日常正常办公秩序。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支付单位正常运转项目费用</w:t>
            </w:r>
          </w:p>
        </w:tc>
        <w:tc>
          <w:tcPr>
            <w:tcW w:w="5386" w:type="dxa"/>
            <w:vAlign w:val="center"/>
          </w:tcPr>
          <w:p>
            <w:pPr>
              <w:pStyle w:val="12"/>
            </w:pPr>
            <w:r>
              <w:t>各项正常支出</w:t>
            </w:r>
          </w:p>
        </w:tc>
        <w:tc>
          <w:tcPr>
            <w:tcW w:w="2268" w:type="dxa"/>
            <w:vAlign w:val="center"/>
          </w:tcPr>
          <w:p>
            <w:pPr>
              <w:pStyle w:val="12"/>
            </w:pPr>
            <w:r>
              <w:t>9.25万</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各项支付工作完成率</w:t>
            </w:r>
          </w:p>
        </w:tc>
        <w:tc>
          <w:tcPr>
            <w:tcW w:w="5386" w:type="dxa"/>
            <w:vAlign w:val="center"/>
          </w:tcPr>
          <w:p>
            <w:pPr>
              <w:pStyle w:val="12"/>
            </w:pPr>
            <w:r>
              <w:t>支付时间</w:t>
            </w:r>
          </w:p>
        </w:tc>
        <w:tc>
          <w:tcPr>
            <w:tcW w:w="2268" w:type="dxa"/>
            <w:vAlign w:val="center"/>
          </w:tcPr>
          <w:p>
            <w:pPr>
              <w:pStyle w:val="12"/>
            </w:pPr>
            <w:r>
              <w:t>25年1月-12月</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计划完成时间</w:t>
            </w:r>
          </w:p>
        </w:tc>
        <w:tc>
          <w:tcPr>
            <w:tcW w:w="5386" w:type="dxa"/>
            <w:vAlign w:val="center"/>
          </w:tcPr>
          <w:p>
            <w:pPr>
              <w:pStyle w:val="12"/>
            </w:pPr>
            <w:r>
              <w:t>2025年全年</w:t>
            </w:r>
          </w:p>
        </w:tc>
        <w:tc>
          <w:tcPr>
            <w:tcW w:w="2268" w:type="dxa"/>
            <w:vAlign w:val="center"/>
          </w:tcPr>
          <w:p>
            <w:pPr>
              <w:pStyle w:val="12"/>
            </w:pPr>
            <w:r>
              <w:t>25年1月-12月</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年度维护成本增长率</w:t>
            </w:r>
          </w:p>
        </w:tc>
        <w:tc>
          <w:tcPr>
            <w:tcW w:w="5386" w:type="dxa"/>
            <w:vAlign w:val="center"/>
          </w:tcPr>
          <w:p>
            <w:pPr>
              <w:pStyle w:val="12"/>
            </w:pPr>
            <w:r>
              <w:t>年度同期增长率不加</w:t>
            </w:r>
          </w:p>
        </w:tc>
        <w:tc>
          <w:tcPr>
            <w:tcW w:w="2268" w:type="dxa"/>
            <w:vAlign w:val="center"/>
          </w:tcPr>
          <w:p>
            <w:pPr>
              <w:pStyle w:val="12"/>
            </w:pPr>
            <w:r>
              <w:t>≥1%</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单位正常运行维护</w:t>
            </w:r>
          </w:p>
        </w:tc>
        <w:tc>
          <w:tcPr>
            <w:tcW w:w="5386" w:type="dxa"/>
            <w:vAlign w:val="center"/>
          </w:tcPr>
          <w:p>
            <w:pPr>
              <w:pStyle w:val="12"/>
            </w:pPr>
            <w:r>
              <w:t>保障单位正常运转</w:t>
            </w:r>
          </w:p>
        </w:tc>
        <w:tc>
          <w:tcPr>
            <w:tcW w:w="2268" w:type="dxa"/>
            <w:vAlign w:val="center"/>
          </w:tcPr>
          <w:p>
            <w:pPr>
              <w:pStyle w:val="12"/>
            </w:pPr>
            <w:r>
              <w:t>保障正常运转</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职工满意情况</w:t>
            </w:r>
          </w:p>
        </w:tc>
        <w:tc>
          <w:tcPr>
            <w:tcW w:w="2268" w:type="dxa"/>
            <w:vAlign w:val="center"/>
          </w:tcPr>
          <w:p>
            <w:pPr>
              <w:pStyle w:val="12"/>
            </w:pPr>
            <w:r>
              <w:t>职工满意度</w:t>
            </w:r>
          </w:p>
        </w:tc>
        <w:tc>
          <w:tcPr>
            <w:tcW w:w="1276" w:type="dxa"/>
            <w:vAlign w:val="center"/>
          </w:tcPr>
          <w:p>
            <w:pPr>
              <w:pStyle w:val="12"/>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6、智慧城市项目运营维护绩效目标表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13010925P000008105427</w:t>
            </w:r>
          </w:p>
        </w:tc>
        <w:tc>
          <w:tcPr>
            <w:tcW w:w="2835" w:type="dxa"/>
            <w:vAlign w:val="center"/>
          </w:tcPr>
          <w:p>
            <w:pPr>
              <w:pStyle w:val="10"/>
            </w:pPr>
            <w:r>
              <w:t>项目名称</w:t>
            </w:r>
          </w:p>
        </w:tc>
        <w:tc>
          <w:tcPr>
            <w:tcW w:w="6095" w:type="dxa"/>
            <w:gridSpan w:val="3"/>
            <w:vAlign w:val="center"/>
          </w:tcPr>
          <w:p>
            <w:pPr>
              <w:pStyle w:val="12"/>
            </w:pPr>
            <w:r>
              <w:t>智慧城市项目运营维护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用于智慧城市项目运营维护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1.保证藁城智慧城市项目正常运营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智慧城市维护项目数量</w:t>
            </w:r>
          </w:p>
        </w:tc>
        <w:tc>
          <w:tcPr>
            <w:tcW w:w="5386" w:type="dxa"/>
            <w:vAlign w:val="center"/>
          </w:tcPr>
          <w:p>
            <w:pPr>
              <w:pStyle w:val="12"/>
            </w:pPr>
            <w:r>
              <w:t>7项维护费用</w:t>
            </w:r>
          </w:p>
        </w:tc>
        <w:tc>
          <w:tcPr>
            <w:tcW w:w="2268" w:type="dxa"/>
            <w:vAlign w:val="center"/>
          </w:tcPr>
          <w:p>
            <w:pPr>
              <w:pStyle w:val="12"/>
            </w:pPr>
            <w:r>
              <w:t>1全年7项</w:t>
            </w:r>
          </w:p>
        </w:tc>
        <w:tc>
          <w:tcPr>
            <w:tcW w:w="1276" w:type="dxa"/>
            <w:vAlign w:val="center"/>
          </w:tcPr>
          <w:p>
            <w:pPr>
              <w:pStyle w:val="12"/>
            </w:pPr>
            <w:r>
              <w:t>资金支付率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实际支付维护费用</w:t>
            </w:r>
          </w:p>
        </w:tc>
        <w:tc>
          <w:tcPr>
            <w:tcW w:w="2268" w:type="dxa"/>
            <w:vAlign w:val="center"/>
          </w:tcPr>
          <w:p>
            <w:pPr>
              <w:pStyle w:val="12"/>
            </w:pPr>
            <w:r>
              <w:t>100%</w:t>
            </w:r>
          </w:p>
        </w:tc>
        <w:tc>
          <w:tcPr>
            <w:tcW w:w="1276" w:type="dxa"/>
            <w:vAlign w:val="center"/>
          </w:tcPr>
          <w:p>
            <w:pPr>
              <w:pStyle w:val="12"/>
            </w:pPr>
            <w:r>
              <w:t>资金到位率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资金及时支出</w:t>
            </w:r>
          </w:p>
        </w:tc>
        <w:tc>
          <w:tcPr>
            <w:tcW w:w="5386" w:type="dxa"/>
            <w:vAlign w:val="center"/>
          </w:tcPr>
          <w:p>
            <w:pPr>
              <w:pStyle w:val="12"/>
            </w:pPr>
            <w:r>
              <w:t>资金支出时间</w:t>
            </w:r>
          </w:p>
        </w:tc>
        <w:tc>
          <w:tcPr>
            <w:tcW w:w="2268" w:type="dxa"/>
            <w:vAlign w:val="center"/>
          </w:tcPr>
          <w:p>
            <w:pPr>
              <w:pStyle w:val="12"/>
            </w:pPr>
            <w:r>
              <w:t>2025年12月</w:t>
            </w:r>
          </w:p>
        </w:tc>
        <w:tc>
          <w:tcPr>
            <w:tcW w:w="1276" w:type="dxa"/>
            <w:vAlign w:val="center"/>
          </w:tcPr>
          <w:p>
            <w:pPr>
              <w:pStyle w:val="12"/>
            </w:pPr>
            <w:r>
              <w:t>支付及时率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≤100全年成本</w:t>
            </w:r>
          </w:p>
        </w:tc>
        <w:tc>
          <w:tcPr>
            <w:tcW w:w="1276" w:type="dxa"/>
            <w:vAlign w:val="center"/>
          </w:tcPr>
          <w:p>
            <w:pPr>
              <w:pStyle w:val="12"/>
            </w:pPr>
            <w:r>
              <w:t>资金成本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保障正常办公</w:t>
            </w:r>
          </w:p>
        </w:tc>
        <w:tc>
          <w:tcPr>
            <w:tcW w:w="2268" w:type="dxa"/>
            <w:vAlign w:val="center"/>
          </w:tcPr>
          <w:p>
            <w:pPr>
              <w:pStyle w:val="12"/>
            </w:pPr>
            <w:r>
              <w:t>保障正常办公</w:t>
            </w:r>
          </w:p>
        </w:tc>
        <w:tc>
          <w:tcPr>
            <w:tcW w:w="1276" w:type="dxa"/>
            <w:vAlign w:val="center"/>
          </w:tcPr>
          <w:p>
            <w:pPr>
              <w:pStyle w:val="12"/>
            </w:pPr>
            <w:r>
              <w:t>保障正常办公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 xml:space="preserve">满意程度 </w:t>
            </w:r>
          </w:p>
        </w:tc>
        <w:tc>
          <w:tcPr>
            <w:tcW w:w="2268" w:type="dxa"/>
            <w:vAlign w:val="center"/>
          </w:tcPr>
          <w:p>
            <w:pPr>
              <w:pStyle w:val="12"/>
            </w:pPr>
            <w:r>
              <w:t>≥95藁城满意度</w:t>
            </w:r>
          </w:p>
        </w:tc>
        <w:tc>
          <w:tcPr>
            <w:tcW w:w="1276" w:type="dxa"/>
            <w:vAlign w:val="center"/>
          </w:tcPr>
          <w:p>
            <w:pPr>
              <w:pStyle w:val="12"/>
            </w:pPr>
            <w:r>
              <w:t xml:space="preserve">满意程度 </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7、租赁办公用房费用绩效目标表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13010925P00000810519W</w:t>
            </w:r>
          </w:p>
        </w:tc>
        <w:tc>
          <w:tcPr>
            <w:tcW w:w="2835" w:type="dxa"/>
            <w:vAlign w:val="center"/>
          </w:tcPr>
          <w:p>
            <w:pPr>
              <w:pStyle w:val="10"/>
            </w:pPr>
            <w:r>
              <w:t>项目名称</w:t>
            </w:r>
          </w:p>
        </w:tc>
        <w:tc>
          <w:tcPr>
            <w:tcW w:w="6095" w:type="dxa"/>
            <w:gridSpan w:val="3"/>
            <w:vAlign w:val="center"/>
          </w:tcPr>
          <w:p>
            <w:pPr>
              <w:pStyle w:val="12"/>
            </w:pPr>
            <w:r>
              <w:t>租赁办公用房费用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用于办公场所租赁费用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28.00</w:t>
            </w:r>
          </w:p>
        </w:tc>
        <w:tc>
          <w:tcPr>
            <w:tcW w:w="2551" w:type="dxa"/>
            <w:vAlign w:val="center"/>
          </w:tcPr>
          <w:p>
            <w:pPr>
              <w:pStyle w:val="13"/>
            </w:pPr>
            <w:r>
              <w:t xml:space="preserve"> </w:t>
            </w:r>
          </w:p>
        </w:tc>
        <w:tc>
          <w:tcPr>
            <w:tcW w:w="3544" w:type="dxa"/>
            <w:gridSpan w:val="2"/>
            <w:vAlign w:val="center"/>
          </w:tcPr>
          <w:p>
            <w:pPr>
              <w:pStyle w:val="13"/>
            </w:pPr>
            <w:r>
              <w:t>56.00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1.保证大厅场所正常办公。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2200平米</w:t>
            </w:r>
          </w:p>
        </w:tc>
        <w:tc>
          <w:tcPr>
            <w:tcW w:w="2268" w:type="dxa"/>
            <w:vAlign w:val="center"/>
          </w:tcPr>
          <w:p>
            <w:pPr>
              <w:pStyle w:val="12"/>
            </w:pPr>
            <w:r>
              <w:t>2200平米</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办公用房租赁</w:t>
            </w:r>
          </w:p>
        </w:tc>
        <w:tc>
          <w:tcPr>
            <w:tcW w:w="5386" w:type="dxa"/>
            <w:vAlign w:val="center"/>
          </w:tcPr>
          <w:p>
            <w:pPr>
              <w:pStyle w:val="12"/>
            </w:pPr>
            <w:r>
              <w:t>大厅一层二层办公用房</w:t>
            </w:r>
          </w:p>
        </w:tc>
        <w:tc>
          <w:tcPr>
            <w:tcW w:w="2268" w:type="dxa"/>
            <w:vAlign w:val="center"/>
          </w:tcPr>
          <w:p>
            <w:pPr>
              <w:pStyle w:val="12"/>
            </w:pPr>
            <w:r>
              <w:t>办公用房</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租赁费支付</w:t>
            </w:r>
          </w:p>
        </w:tc>
        <w:tc>
          <w:tcPr>
            <w:tcW w:w="5386" w:type="dxa"/>
            <w:vAlign w:val="center"/>
          </w:tcPr>
          <w:p>
            <w:pPr>
              <w:pStyle w:val="12"/>
            </w:pPr>
            <w:r>
              <w:t>上半年28万，下半年支付28万</w:t>
            </w:r>
          </w:p>
        </w:tc>
        <w:tc>
          <w:tcPr>
            <w:tcW w:w="2268" w:type="dxa"/>
            <w:vAlign w:val="center"/>
          </w:tcPr>
          <w:p>
            <w:pPr>
              <w:pStyle w:val="12"/>
            </w:pPr>
            <w:r>
              <w:t>半年支付一次</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房租成本</w:t>
            </w:r>
          </w:p>
        </w:tc>
        <w:tc>
          <w:tcPr>
            <w:tcW w:w="5386" w:type="dxa"/>
            <w:vAlign w:val="center"/>
          </w:tcPr>
          <w:p>
            <w:pPr>
              <w:pStyle w:val="12"/>
            </w:pPr>
            <w:r>
              <w:t>房租成本不再增加</w:t>
            </w:r>
          </w:p>
        </w:tc>
        <w:tc>
          <w:tcPr>
            <w:tcW w:w="2268" w:type="dxa"/>
            <w:vAlign w:val="center"/>
          </w:tcPr>
          <w:p>
            <w:pPr>
              <w:pStyle w:val="12"/>
            </w:pPr>
            <w:r>
              <w:t>节约成本</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租赁办公用房，保障正常办公</w:t>
            </w:r>
          </w:p>
        </w:tc>
        <w:tc>
          <w:tcPr>
            <w:tcW w:w="2268" w:type="dxa"/>
            <w:vAlign w:val="center"/>
          </w:tcPr>
          <w:p>
            <w:pPr>
              <w:pStyle w:val="12"/>
            </w:pPr>
            <w:r>
              <w:t>保障正常办公</w:t>
            </w:r>
          </w:p>
        </w:tc>
        <w:tc>
          <w:tcPr>
            <w:tcW w:w="1276" w:type="dxa"/>
            <w:vAlign w:val="center"/>
          </w:tcPr>
          <w:p>
            <w:pPr>
              <w:pStyle w:val="12"/>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房屋使用者满意度</w:t>
            </w:r>
          </w:p>
        </w:tc>
        <w:tc>
          <w:tcPr>
            <w:tcW w:w="5386" w:type="dxa"/>
            <w:vAlign w:val="center"/>
          </w:tcPr>
          <w:p>
            <w:pPr>
              <w:pStyle w:val="12"/>
            </w:pPr>
            <w:r>
              <w:t>工作人员满意度</w:t>
            </w:r>
          </w:p>
        </w:tc>
        <w:tc>
          <w:tcPr>
            <w:tcW w:w="2268" w:type="dxa"/>
            <w:vAlign w:val="center"/>
          </w:tcPr>
          <w:p>
            <w:pPr>
              <w:pStyle w:val="12"/>
            </w:pPr>
            <w:r>
              <w:t>工作人员满意度</w:t>
            </w:r>
          </w:p>
        </w:tc>
        <w:tc>
          <w:tcPr>
            <w:tcW w:w="1276" w:type="dxa"/>
            <w:vAlign w:val="center"/>
          </w:tcPr>
          <w:p>
            <w:pPr>
              <w:pStyle w:val="12"/>
            </w:pPr>
            <w:r>
              <w:t>领导批示</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112.20</w:t>
            </w:r>
          </w:p>
        </w:tc>
        <w:tc>
          <w:tcPr>
            <w:tcW w:w="964" w:type="dxa"/>
            <w:vAlign w:val="center"/>
          </w:tcPr>
          <w:p>
            <w:pPr>
              <w:pStyle w:val="15"/>
            </w:pPr>
            <w:r>
              <w:t>12.20</w:t>
            </w:r>
          </w:p>
        </w:tc>
        <w:tc>
          <w:tcPr>
            <w:tcW w:w="964" w:type="dxa"/>
            <w:vAlign w:val="center"/>
          </w:tcPr>
          <w:p>
            <w:pPr>
              <w:pStyle w:val="15"/>
            </w:pPr>
            <w:r>
              <w:t>100.00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石家庄市藁城区数据和政务服务局本级小计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112.20</w:t>
            </w:r>
          </w:p>
        </w:tc>
        <w:tc>
          <w:tcPr>
            <w:tcW w:w="964" w:type="dxa"/>
            <w:vAlign w:val="center"/>
          </w:tcPr>
          <w:p>
            <w:pPr>
              <w:pStyle w:val="15"/>
            </w:pPr>
            <w:r>
              <w:t>12.20</w:t>
            </w:r>
          </w:p>
        </w:tc>
        <w:tc>
          <w:tcPr>
            <w:tcW w:w="964" w:type="dxa"/>
            <w:vAlign w:val="center"/>
          </w:tcPr>
          <w:p>
            <w:pPr>
              <w:pStyle w:val="15"/>
            </w:pPr>
            <w:r>
              <w:t>100.00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2025年公用经费[三保]</w:t>
            </w:r>
          </w:p>
        </w:tc>
        <w:tc>
          <w:tcPr>
            <w:tcW w:w="964" w:type="dxa"/>
            <w:vAlign w:val="center"/>
          </w:tcPr>
          <w:p>
            <w:pPr>
              <w:pStyle w:val="11"/>
            </w:pPr>
            <w:r>
              <w:t>38.72</w:t>
            </w:r>
          </w:p>
        </w:tc>
        <w:tc>
          <w:tcPr>
            <w:tcW w:w="1134" w:type="dxa"/>
            <w:vAlign w:val="center"/>
          </w:tcPr>
          <w:p>
            <w:pPr>
              <w:pStyle w:val="12"/>
            </w:pPr>
            <w:r>
              <w:t>其他纸制文具</w:t>
            </w:r>
          </w:p>
        </w:tc>
        <w:tc>
          <w:tcPr>
            <w:tcW w:w="1134" w:type="dxa"/>
            <w:vAlign w:val="center"/>
          </w:tcPr>
          <w:p>
            <w:pPr>
              <w:pStyle w:val="12"/>
            </w:pPr>
            <w:r>
              <w:t>A05040199</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2025年公用经费[三保]</w:t>
            </w:r>
          </w:p>
        </w:tc>
        <w:tc>
          <w:tcPr>
            <w:tcW w:w="964" w:type="dxa"/>
            <w:vAlign w:val="center"/>
          </w:tcPr>
          <w:p>
            <w:pPr>
              <w:pStyle w:val="11"/>
            </w:pPr>
            <w:r>
              <w:t>38.72</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9.20</w:t>
            </w:r>
          </w:p>
        </w:tc>
        <w:tc>
          <w:tcPr>
            <w:tcW w:w="964" w:type="dxa"/>
            <w:vAlign w:val="center"/>
          </w:tcPr>
          <w:p>
            <w:pPr>
              <w:pStyle w:val="11"/>
            </w:pPr>
            <w:r>
              <w:t>9.20</w:t>
            </w:r>
          </w:p>
        </w:tc>
        <w:tc>
          <w:tcPr>
            <w:tcW w:w="964" w:type="dxa"/>
            <w:vAlign w:val="center"/>
          </w:tcPr>
          <w:p>
            <w:pPr>
              <w:pStyle w:val="11"/>
            </w:pPr>
            <w:r>
              <w:t>9.20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智慧城市项目运营维护</w:t>
            </w:r>
          </w:p>
        </w:tc>
        <w:tc>
          <w:tcPr>
            <w:tcW w:w="964" w:type="dxa"/>
            <w:vAlign w:val="center"/>
          </w:tcPr>
          <w:p>
            <w:pPr>
              <w:pStyle w:val="11"/>
            </w:pPr>
            <w:r>
              <w:t>100.00</w:t>
            </w:r>
          </w:p>
        </w:tc>
        <w:tc>
          <w:tcPr>
            <w:tcW w:w="1134" w:type="dxa"/>
            <w:vAlign w:val="center"/>
          </w:tcPr>
          <w:p>
            <w:pPr>
              <w:pStyle w:val="12"/>
            </w:pPr>
            <w:r>
              <w:t>公共设施类合作服务</w:t>
            </w:r>
          </w:p>
        </w:tc>
        <w:tc>
          <w:tcPr>
            <w:tcW w:w="1134" w:type="dxa"/>
            <w:vAlign w:val="center"/>
          </w:tcPr>
          <w:p>
            <w:pPr>
              <w:pStyle w:val="12"/>
            </w:pPr>
            <w:r>
              <w:t>C24010000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石家庄市藁城区数据和政务服务局本级上年末固定资产金额为254.49万元（详见下表）。本年度拟购置固定资产总额为0.00万元，已按要求列入政府采购预算，详见政府采购预算表。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302001石家庄市藁城区数据和政务服务局本级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56</w:t>
            </w:r>
          </w:p>
        </w:tc>
        <w:tc>
          <w:tcPr>
            <w:tcW w:w="2835" w:type="dxa"/>
            <w:vAlign w:val="center"/>
          </w:tcPr>
          <w:p>
            <w:pPr>
              <w:pStyle w:val="11"/>
            </w:pPr>
            <w:r>
              <w:t>254.49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汉仪中黑 197">
    <w:panose1 w:val="00020600040101010101"/>
    <w:charset w:val="86"/>
    <w:family w:val="auto"/>
    <w:pitch w:val="default"/>
    <w:sig w:usb0="A00002BF" w:usb1="18EF7CFA" w:usb2="00000016" w:usb3="00000000" w:csb0="0004009F" w:csb1="00000000"/>
  </w:font>
  <w:font w:name="等线 Light">
    <w:panose1 w:val="02010600030101010101"/>
    <w:charset w:val="86"/>
    <w:family w:val="auto"/>
    <w:pitch w:val="default"/>
    <w:sig w:usb0="A00002BF" w:usb1="38CF7CFA" w:usb2="00000016" w:usb3="00000000" w:csb0="0004000F" w:csb1="00000000"/>
  </w:font>
  <w:font w:name="Microsoft JhengHei">
    <w:panose1 w:val="020B0604030504040204"/>
    <w:charset w:val="88"/>
    <w:family w:val="auto"/>
    <w:pitch w:val="default"/>
    <w:sig w:usb0="000002A7" w:usb1="28CF4400" w:usb2="00000016" w:usb3="00000000" w:csb0="00100009" w:csb1="00000000"/>
  </w:font>
  <w:font w:name="Cambria">
    <w:panose1 w:val="02040503050406030204"/>
    <w:charset w:val="00"/>
    <w:family w:val="auto"/>
    <w:pitch w:val="default"/>
    <w:sig w:usb0="E00006FF" w:usb1="420024FF" w:usb2="02000000" w:usb3="00000000" w:csb0="2000019F" w:csb1="00000000"/>
  </w:font>
  <w:font w:name="新宋体">
    <w:panose1 w:val="02010609030101010101"/>
    <w:charset w:val="86"/>
    <w:family w:val="auto"/>
    <w:pitch w:val="default"/>
    <w:sig w:usb0="00000203" w:usb1="288F0000" w:usb2="00000006"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Microsoft JhengHei UI">
    <w:panose1 w:val="020B0604030504040204"/>
    <w:charset w:val="88"/>
    <w:family w:val="auto"/>
    <w:pitch w:val="default"/>
    <w:sig w:usb0="000002A7" w:usb1="28CF4400" w:usb2="00000016" w:usb3="00000000" w:csb0="00100009" w:csb1="00000000"/>
  </w:font>
  <w:font w:name="Bahnschrift Light SemiCondensed">
    <w:panose1 w:val="020B0502040204020203"/>
    <w:charset w:val="00"/>
    <w:family w:val="auto"/>
    <w:pitch w:val="default"/>
    <w:sig w:usb0="A00002C7" w:usb1="00000002" w:usb2="00000000" w:usb3="00000000" w:csb0="2000019F" w:csb1="00000000"/>
  </w:font>
  <w:font w:name="Segoe Print">
    <w:panose1 w:val="02000600000000000000"/>
    <w:charset w:val="00"/>
    <w:family w:val="auto"/>
    <w:pitch w:val="default"/>
    <w:sig w:usb0="0000028F" w:usb1="00000000" w:usb2="00000000" w:usb3="00000000" w:csb0="2000009F" w:csb1="47010000"/>
  </w:font>
  <w:font w:name="Segoe UI Emoji">
    <w:panose1 w:val="020B0502040204020203"/>
    <w:charset w:val="00"/>
    <w:family w:val="auto"/>
    <w:pitch w:val="default"/>
    <w:sig w:usb0="00000001" w:usb1="02000000" w:usb2="00000000" w:usb3="00000000" w:csb0="00000001" w:csb1="00000000"/>
  </w:font>
  <w:font w:name="Segoe UI Light">
    <w:panose1 w:val="020B0502040204020203"/>
    <w:charset w:val="00"/>
    <w:family w:val="auto"/>
    <w:pitch w:val="default"/>
    <w:sig w:usb0="E4002EFF" w:usb1="C000E47F" w:usb2="00000009" w:usb3="00000000" w:csb0="200001FF" w:csb1="00000000"/>
  </w:font>
  <w:font w:name="Palatino Linotype">
    <w:panose1 w:val="02040502050505030304"/>
    <w:charset w:val="00"/>
    <w:family w:val="auto"/>
    <w:pitch w:val="default"/>
    <w:sig w:usb0="E0000287" w:usb1="40000013" w:usb2="00000000" w:usb3="00000000" w:csb0="2000019F" w:csb1="00000000"/>
  </w:font>
  <w:font w:name="微软雅黑 Light">
    <w:panose1 w:val="020B0502040204020203"/>
    <w:charset w:val="86"/>
    <w:family w:val="auto"/>
    <w:pitch w:val="default"/>
    <w:sig w:usb0="80000287" w:usb1="2ACF001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EB9D20"/>
    <w:multiLevelType w:val="singleLevel"/>
    <w:tmpl w:val="B2EB9D2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2D516F2"/>
    <w:rsid w:val="6E1C6ED7"/>
    <w:rsid w:val="7D936F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TotalTime>18</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2025-02-11T15:38:00Z</dcterms:created>
  <dc:creator>Administrator</dc:creator>
  <cp:lastModifiedBy>通透</cp:lastModifiedBy>
  <dcterms:modified xsi:type="dcterms:W3CDTF">2025-02-14T03:38:59Z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