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4290.39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6793.49</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8613.07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4448.98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11083.88</w:t>
            </w:r>
          </w:p>
        </w:tc>
        <w:tc>
          <w:tcPr>
            <w:tcW w:w="4535" w:type="dxa"/>
            <w:vAlign w:val="center"/>
          </w:tcPr>
          <w:p>
            <w:pPr>
              <w:pStyle w:val="15"/>
            </w:pPr>
            <w:r>
              <w:t>本年支出合计</w:t>
            </w:r>
          </w:p>
        </w:tc>
        <w:tc>
          <w:tcPr>
            <w:tcW w:w="2126" w:type="dxa"/>
            <w:vAlign w:val="center"/>
          </w:tcPr>
          <w:p>
            <w:pPr>
              <w:pStyle w:val="16"/>
            </w:pPr>
            <w:r>
              <w:t>13327.46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2243.58</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13327.46</w:t>
            </w:r>
          </w:p>
        </w:tc>
        <w:tc>
          <w:tcPr>
            <w:tcW w:w="4535" w:type="dxa"/>
            <w:vAlign w:val="center"/>
          </w:tcPr>
          <w:p>
            <w:pPr>
              <w:pStyle w:val="15"/>
            </w:pPr>
            <w:r>
              <w:t>支出总计</w:t>
            </w:r>
          </w:p>
        </w:tc>
        <w:tc>
          <w:tcPr>
            <w:tcW w:w="2126" w:type="dxa"/>
            <w:vAlign w:val="center"/>
          </w:tcPr>
          <w:p>
            <w:pPr>
              <w:pStyle w:val="16"/>
            </w:pPr>
            <w:r>
              <w:t>13327.46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13327.46</w:t>
            </w:r>
          </w:p>
        </w:tc>
        <w:tc>
          <w:tcPr>
            <w:tcW w:w="1134" w:type="dxa"/>
            <w:vAlign w:val="center"/>
          </w:tcPr>
          <w:p>
            <w:pPr>
              <w:pStyle w:val="16"/>
            </w:pPr>
            <w:r>
              <w:t>11083.88</w:t>
            </w:r>
          </w:p>
        </w:tc>
        <w:tc>
          <w:tcPr>
            <w:tcW w:w="1134" w:type="dxa"/>
            <w:vAlign w:val="center"/>
          </w:tcPr>
          <w:p>
            <w:pPr>
              <w:pStyle w:val="16"/>
            </w:pPr>
            <w:r>
              <w:t>11083.88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2243.58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8613.07</w:t>
            </w:r>
          </w:p>
        </w:tc>
        <w:tc>
          <w:tcPr>
            <w:tcW w:w="1134" w:type="dxa"/>
            <w:vAlign w:val="center"/>
          </w:tcPr>
          <w:p>
            <w:pPr>
              <w:pStyle w:val="12"/>
            </w:pPr>
            <w:r>
              <w:t>6563.49</w:t>
            </w:r>
          </w:p>
        </w:tc>
        <w:tc>
          <w:tcPr>
            <w:tcW w:w="1134" w:type="dxa"/>
            <w:vAlign w:val="center"/>
          </w:tcPr>
          <w:p>
            <w:pPr>
              <w:pStyle w:val="12"/>
            </w:pPr>
            <w:r>
              <w:t>6563.49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2049.58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8613.07</w:t>
            </w:r>
          </w:p>
        </w:tc>
        <w:tc>
          <w:tcPr>
            <w:tcW w:w="1134" w:type="dxa"/>
            <w:vAlign w:val="center"/>
          </w:tcPr>
          <w:p>
            <w:pPr>
              <w:pStyle w:val="12"/>
            </w:pPr>
            <w:r>
              <w:t>6563.49</w:t>
            </w:r>
          </w:p>
        </w:tc>
        <w:tc>
          <w:tcPr>
            <w:tcW w:w="1134" w:type="dxa"/>
            <w:vAlign w:val="center"/>
          </w:tcPr>
          <w:p>
            <w:pPr>
              <w:pStyle w:val="12"/>
            </w:pPr>
            <w:r>
              <w:t>6563.49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2049.58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2120806</w:t>
            </w:r>
          </w:p>
        </w:tc>
        <w:tc>
          <w:tcPr>
            <w:tcW w:w="1559" w:type="dxa"/>
            <w:vAlign w:val="center"/>
          </w:tcPr>
          <w:p>
            <w:pPr>
              <w:pStyle w:val="13"/>
            </w:pPr>
            <w:r>
              <w:t>土地出让业务支出</w:t>
            </w:r>
          </w:p>
        </w:tc>
        <w:tc>
          <w:tcPr>
            <w:tcW w:w="1134" w:type="dxa"/>
            <w:vAlign w:val="center"/>
          </w:tcPr>
          <w:p>
            <w:pPr>
              <w:pStyle w:val="12"/>
            </w:pPr>
            <w:r>
              <w:t>44.60</w:t>
            </w:r>
          </w:p>
        </w:tc>
        <w:tc>
          <w:tcPr>
            <w:tcW w:w="1134" w:type="dxa"/>
            <w:vAlign w:val="center"/>
          </w:tcPr>
          <w:p>
            <w:pPr>
              <w:pStyle w:val="12"/>
            </w:pPr>
            <w:r>
              <w:t>44.60</w:t>
            </w:r>
          </w:p>
        </w:tc>
        <w:tc>
          <w:tcPr>
            <w:tcW w:w="1134" w:type="dxa"/>
            <w:vAlign w:val="center"/>
          </w:tcPr>
          <w:p>
            <w:pPr>
              <w:pStyle w:val="12"/>
            </w:pPr>
            <w:r>
              <w:t>44.60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8568.47</w:t>
            </w:r>
          </w:p>
        </w:tc>
        <w:tc>
          <w:tcPr>
            <w:tcW w:w="1134" w:type="dxa"/>
            <w:vAlign w:val="center"/>
          </w:tcPr>
          <w:p>
            <w:pPr>
              <w:pStyle w:val="12"/>
            </w:pPr>
            <w:r>
              <w:t>6518.89</w:t>
            </w:r>
          </w:p>
        </w:tc>
        <w:tc>
          <w:tcPr>
            <w:tcW w:w="1134" w:type="dxa"/>
            <w:vAlign w:val="center"/>
          </w:tcPr>
          <w:p>
            <w:pPr>
              <w:pStyle w:val="12"/>
            </w:pPr>
            <w:r>
              <w:t>6518.89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2049.58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35.41</w:t>
            </w:r>
          </w:p>
        </w:tc>
        <w:tc>
          <w:tcPr>
            <w:tcW w:w="1134" w:type="dxa"/>
            <w:vAlign w:val="center"/>
          </w:tcPr>
          <w:p>
            <w:pPr>
              <w:pStyle w:val="12"/>
            </w:pPr>
            <w:r>
              <w:t>35.41</w:t>
            </w:r>
          </w:p>
        </w:tc>
        <w:tc>
          <w:tcPr>
            <w:tcW w:w="1134" w:type="dxa"/>
            <w:vAlign w:val="center"/>
          </w:tcPr>
          <w:p>
            <w:pPr>
              <w:pStyle w:val="12"/>
            </w:pPr>
            <w:r>
              <w:t>35.41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35.41</w:t>
            </w:r>
          </w:p>
        </w:tc>
        <w:tc>
          <w:tcPr>
            <w:tcW w:w="1134" w:type="dxa"/>
            <w:vAlign w:val="center"/>
          </w:tcPr>
          <w:p>
            <w:pPr>
              <w:pStyle w:val="12"/>
            </w:pPr>
            <w:r>
              <w:t>35.41</w:t>
            </w:r>
          </w:p>
        </w:tc>
        <w:tc>
          <w:tcPr>
            <w:tcW w:w="1134" w:type="dxa"/>
            <w:vAlign w:val="center"/>
          </w:tcPr>
          <w:p>
            <w:pPr>
              <w:pStyle w:val="12"/>
            </w:pPr>
            <w:r>
              <w:t>35.41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2130205</w:t>
            </w:r>
          </w:p>
        </w:tc>
        <w:tc>
          <w:tcPr>
            <w:tcW w:w="1559" w:type="dxa"/>
            <w:vAlign w:val="center"/>
          </w:tcPr>
          <w:p>
            <w:pPr>
              <w:pStyle w:val="13"/>
            </w:pPr>
            <w:r>
              <w:t>森林资源培育</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2130299</w:t>
            </w:r>
          </w:p>
        </w:tc>
        <w:tc>
          <w:tcPr>
            <w:tcW w:w="1559" w:type="dxa"/>
            <w:vAlign w:val="center"/>
          </w:tcPr>
          <w:p>
            <w:pPr>
              <w:pStyle w:val="13"/>
            </w:pPr>
            <w:r>
              <w:t>其他林业和草原支出</w:t>
            </w:r>
          </w:p>
        </w:tc>
        <w:tc>
          <w:tcPr>
            <w:tcW w:w="1134" w:type="dxa"/>
            <w:vAlign w:val="center"/>
          </w:tcPr>
          <w:p>
            <w:pPr>
              <w:pStyle w:val="12"/>
            </w:pPr>
            <w:r>
              <w:t>3.41</w:t>
            </w:r>
          </w:p>
        </w:tc>
        <w:tc>
          <w:tcPr>
            <w:tcW w:w="1134" w:type="dxa"/>
            <w:vAlign w:val="center"/>
          </w:tcPr>
          <w:p>
            <w:pPr>
              <w:pStyle w:val="12"/>
            </w:pPr>
            <w:r>
              <w:t>3.41</w:t>
            </w:r>
          </w:p>
        </w:tc>
        <w:tc>
          <w:tcPr>
            <w:tcW w:w="1134" w:type="dxa"/>
            <w:vAlign w:val="center"/>
          </w:tcPr>
          <w:p>
            <w:pPr>
              <w:pStyle w:val="12"/>
            </w:pPr>
            <w:r>
              <w:t>3.41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4448.98</w:t>
            </w:r>
          </w:p>
        </w:tc>
        <w:tc>
          <w:tcPr>
            <w:tcW w:w="1134" w:type="dxa"/>
            <w:vAlign w:val="center"/>
          </w:tcPr>
          <w:p>
            <w:pPr>
              <w:pStyle w:val="12"/>
            </w:pPr>
            <w:r>
              <w:t>4254.98</w:t>
            </w:r>
          </w:p>
        </w:tc>
        <w:tc>
          <w:tcPr>
            <w:tcW w:w="1134" w:type="dxa"/>
            <w:vAlign w:val="center"/>
          </w:tcPr>
          <w:p>
            <w:pPr>
              <w:pStyle w:val="12"/>
            </w:pPr>
            <w:r>
              <w:t>4254.98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22001</w:t>
            </w:r>
          </w:p>
        </w:tc>
        <w:tc>
          <w:tcPr>
            <w:tcW w:w="1559" w:type="dxa"/>
            <w:vAlign w:val="center"/>
          </w:tcPr>
          <w:p>
            <w:pPr>
              <w:pStyle w:val="13"/>
            </w:pPr>
            <w:r>
              <w:t>自然资源事务</w:t>
            </w:r>
          </w:p>
        </w:tc>
        <w:tc>
          <w:tcPr>
            <w:tcW w:w="1134" w:type="dxa"/>
            <w:vAlign w:val="center"/>
          </w:tcPr>
          <w:p>
            <w:pPr>
              <w:pStyle w:val="12"/>
            </w:pPr>
            <w:r>
              <w:t>4448.98</w:t>
            </w:r>
          </w:p>
        </w:tc>
        <w:tc>
          <w:tcPr>
            <w:tcW w:w="1134" w:type="dxa"/>
            <w:vAlign w:val="center"/>
          </w:tcPr>
          <w:p>
            <w:pPr>
              <w:pStyle w:val="12"/>
            </w:pPr>
            <w:r>
              <w:t>4254.98</w:t>
            </w:r>
          </w:p>
        </w:tc>
        <w:tc>
          <w:tcPr>
            <w:tcW w:w="1134" w:type="dxa"/>
            <w:vAlign w:val="center"/>
          </w:tcPr>
          <w:p>
            <w:pPr>
              <w:pStyle w:val="12"/>
            </w:pPr>
            <w:r>
              <w:t>4254.98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2200102</w:t>
            </w:r>
          </w:p>
        </w:tc>
        <w:tc>
          <w:tcPr>
            <w:tcW w:w="1559" w:type="dxa"/>
            <w:vAlign w:val="center"/>
          </w:tcPr>
          <w:p>
            <w:pPr>
              <w:pStyle w:val="13"/>
            </w:pPr>
            <w:r>
              <w:t>一般行政管理事务</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r>
              <w:t>240.00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2200106</w:t>
            </w:r>
          </w:p>
        </w:tc>
        <w:tc>
          <w:tcPr>
            <w:tcW w:w="1559" w:type="dxa"/>
            <w:vAlign w:val="center"/>
          </w:tcPr>
          <w:p>
            <w:pPr>
              <w:pStyle w:val="13"/>
            </w:pPr>
            <w:r>
              <w:t>自然资源利用与保护</w:t>
            </w:r>
          </w:p>
        </w:tc>
        <w:tc>
          <w:tcPr>
            <w:tcW w:w="1134" w:type="dxa"/>
            <w:vAlign w:val="center"/>
          </w:tcPr>
          <w:p>
            <w:pPr>
              <w:pStyle w:val="12"/>
            </w:pPr>
            <w:r>
              <w:t>4128.98</w:t>
            </w:r>
          </w:p>
        </w:tc>
        <w:tc>
          <w:tcPr>
            <w:tcW w:w="1134" w:type="dxa"/>
            <w:vAlign w:val="center"/>
          </w:tcPr>
          <w:p>
            <w:pPr>
              <w:pStyle w:val="12"/>
            </w:pPr>
            <w:r>
              <w:t>3934.98</w:t>
            </w:r>
          </w:p>
        </w:tc>
        <w:tc>
          <w:tcPr>
            <w:tcW w:w="1134" w:type="dxa"/>
            <w:vAlign w:val="center"/>
          </w:tcPr>
          <w:p>
            <w:pPr>
              <w:pStyle w:val="12"/>
            </w:pPr>
            <w:r>
              <w:t>3934.98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2200108</w:t>
            </w:r>
          </w:p>
        </w:tc>
        <w:tc>
          <w:tcPr>
            <w:tcW w:w="1559" w:type="dxa"/>
            <w:vAlign w:val="center"/>
          </w:tcPr>
          <w:p>
            <w:pPr>
              <w:pStyle w:val="13"/>
            </w:pPr>
            <w:r>
              <w:t>自然资源行业业务管理</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232</w:t>
            </w:r>
          </w:p>
        </w:tc>
        <w:tc>
          <w:tcPr>
            <w:tcW w:w="1559" w:type="dxa"/>
            <w:vAlign w:val="center"/>
          </w:tcPr>
          <w:p>
            <w:pPr>
              <w:pStyle w:val="13"/>
            </w:pPr>
            <w:r>
              <w:t>债务付息支出</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23204</w:t>
            </w:r>
          </w:p>
        </w:tc>
        <w:tc>
          <w:tcPr>
            <w:tcW w:w="1559" w:type="dxa"/>
            <w:vAlign w:val="center"/>
          </w:tcPr>
          <w:p>
            <w:pPr>
              <w:pStyle w:val="13"/>
            </w:pPr>
            <w:r>
              <w:t>地方政府专项债务付息支出</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2320431</w:t>
            </w:r>
          </w:p>
        </w:tc>
        <w:tc>
          <w:tcPr>
            <w:tcW w:w="1559" w:type="dxa"/>
            <w:vAlign w:val="center"/>
          </w:tcPr>
          <w:p>
            <w:pPr>
              <w:pStyle w:val="13"/>
            </w:pPr>
            <w:r>
              <w:t>土地储备专项债券付息支出</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r>
              <w:t>230.00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13327.46</w:t>
            </w:r>
          </w:p>
        </w:tc>
        <w:tc>
          <w:tcPr>
            <w:tcW w:w="1361" w:type="dxa"/>
            <w:vAlign w:val="center"/>
          </w:tcPr>
          <w:p>
            <w:pPr>
              <w:pStyle w:val="16"/>
            </w:pPr>
          </w:p>
        </w:tc>
        <w:tc>
          <w:tcPr>
            <w:tcW w:w="1361" w:type="dxa"/>
            <w:vAlign w:val="center"/>
          </w:tcPr>
          <w:p>
            <w:pPr>
              <w:pStyle w:val="16"/>
            </w:pPr>
            <w:r>
              <w:t>13327.46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8613.07</w:t>
            </w:r>
          </w:p>
        </w:tc>
        <w:tc>
          <w:tcPr>
            <w:tcW w:w="1361" w:type="dxa"/>
            <w:vAlign w:val="center"/>
          </w:tcPr>
          <w:p>
            <w:pPr>
              <w:pStyle w:val="12"/>
            </w:pPr>
          </w:p>
        </w:tc>
        <w:tc>
          <w:tcPr>
            <w:tcW w:w="1361" w:type="dxa"/>
            <w:vAlign w:val="center"/>
          </w:tcPr>
          <w:p>
            <w:pPr>
              <w:pStyle w:val="12"/>
            </w:pPr>
            <w:r>
              <w:t>8613.07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8613.07</w:t>
            </w:r>
          </w:p>
        </w:tc>
        <w:tc>
          <w:tcPr>
            <w:tcW w:w="1361" w:type="dxa"/>
            <w:vAlign w:val="center"/>
          </w:tcPr>
          <w:p>
            <w:pPr>
              <w:pStyle w:val="12"/>
            </w:pPr>
          </w:p>
        </w:tc>
        <w:tc>
          <w:tcPr>
            <w:tcW w:w="1361" w:type="dxa"/>
            <w:vAlign w:val="center"/>
          </w:tcPr>
          <w:p>
            <w:pPr>
              <w:pStyle w:val="12"/>
            </w:pPr>
            <w:r>
              <w:t>8613.07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2120806</w:t>
            </w:r>
          </w:p>
        </w:tc>
        <w:tc>
          <w:tcPr>
            <w:tcW w:w="4535" w:type="dxa"/>
            <w:vAlign w:val="center"/>
          </w:tcPr>
          <w:p>
            <w:pPr>
              <w:pStyle w:val="13"/>
            </w:pPr>
            <w:r>
              <w:t>土地出让业务支出</w:t>
            </w:r>
          </w:p>
        </w:tc>
        <w:tc>
          <w:tcPr>
            <w:tcW w:w="1361" w:type="dxa"/>
            <w:vAlign w:val="center"/>
          </w:tcPr>
          <w:p>
            <w:pPr>
              <w:pStyle w:val="12"/>
            </w:pPr>
            <w:r>
              <w:t>44.60</w:t>
            </w:r>
          </w:p>
        </w:tc>
        <w:tc>
          <w:tcPr>
            <w:tcW w:w="1361" w:type="dxa"/>
            <w:vAlign w:val="center"/>
          </w:tcPr>
          <w:p>
            <w:pPr>
              <w:pStyle w:val="12"/>
            </w:pPr>
          </w:p>
        </w:tc>
        <w:tc>
          <w:tcPr>
            <w:tcW w:w="1361" w:type="dxa"/>
            <w:vAlign w:val="center"/>
          </w:tcPr>
          <w:p>
            <w:pPr>
              <w:pStyle w:val="12"/>
            </w:pPr>
            <w:r>
              <w:t>44.60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8568.47</w:t>
            </w:r>
          </w:p>
        </w:tc>
        <w:tc>
          <w:tcPr>
            <w:tcW w:w="1361" w:type="dxa"/>
            <w:vAlign w:val="center"/>
          </w:tcPr>
          <w:p>
            <w:pPr>
              <w:pStyle w:val="12"/>
            </w:pPr>
          </w:p>
        </w:tc>
        <w:tc>
          <w:tcPr>
            <w:tcW w:w="1361" w:type="dxa"/>
            <w:vAlign w:val="center"/>
          </w:tcPr>
          <w:p>
            <w:pPr>
              <w:pStyle w:val="12"/>
            </w:pPr>
            <w:r>
              <w:t>8568.47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35.41</w:t>
            </w:r>
          </w:p>
        </w:tc>
        <w:tc>
          <w:tcPr>
            <w:tcW w:w="1361" w:type="dxa"/>
            <w:vAlign w:val="center"/>
          </w:tcPr>
          <w:p>
            <w:pPr>
              <w:pStyle w:val="12"/>
            </w:pPr>
          </w:p>
        </w:tc>
        <w:tc>
          <w:tcPr>
            <w:tcW w:w="1361" w:type="dxa"/>
            <w:vAlign w:val="center"/>
          </w:tcPr>
          <w:p>
            <w:pPr>
              <w:pStyle w:val="12"/>
            </w:pPr>
            <w:r>
              <w:t>35.41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35.41</w:t>
            </w:r>
          </w:p>
        </w:tc>
        <w:tc>
          <w:tcPr>
            <w:tcW w:w="1361" w:type="dxa"/>
            <w:vAlign w:val="center"/>
          </w:tcPr>
          <w:p>
            <w:pPr>
              <w:pStyle w:val="12"/>
            </w:pPr>
          </w:p>
        </w:tc>
        <w:tc>
          <w:tcPr>
            <w:tcW w:w="1361" w:type="dxa"/>
            <w:vAlign w:val="center"/>
          </w:tcPr>
          <w:p>
            <w:pPr>
              <w:pStyle w:val="12"/>
            </w:pPr>
            <w:r>
              <w:t>35.41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2130205</w:t>
            </w:r>
          </w:p>
        </w:tc>
        <w:tc>
          <w:tcPr>
            <w:tcW w:w="4535" w:type="dxa"/>
            <w:vAlign w:val="center"/>
          </w:tcPr>
          <w:p>
            <w:pPr>
              <w:pStyle w:val="13"/>
            </w:pPr>
            <w:r>
              <w:t>森林资源培育</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2130299</w:t>
            </w:r>
          </w:p>
        </w:tc>
        <w:tc>
          <w:tcPr>
            <w:tcW w:w="4535" w:type="dxa"/>
            <w:vAlign w:val="center"/>
          </w:tcPr>
          <w:p>
            <w:pPr>
              <w:pStyle w:val="13"/>
            </w:pPr>
            <w:r>
              <w:t>其他林业和草原支出</w:t>
            </w:r>
          </w:p>
        </w:tc>
        <w:tc>
          <w:tcPr>
            <w:tcW w:w="1361" w:type="dxa"/>
            <w:vAlign w:val="center"/>
          </w:tcPr>
          <w:p>
            <w:pPr>
              <w:pStyle w:val="12"/>
            </w:pPr>
            <w:r>
              <w:t>3.41</w:t>
            </w:r>
          </w:p>
        </w:tc>
        <w:tc>
          <w:tcPr>
            <w:tcW w:w="1361" w:type="dxa"/>
            <w:vAlign w:val="center"/>
          </w:tcPr>
          <w:p>
            <w:pPr>
              <w:pStyle w:val="12"/>
            </w:pPr>
          </w:p>
        </w:tc>
        <w:tc>
          <w:tcPr>
            <w:tcW w:w="1361" w:type="dxa"/>
            <w:vAlign w:val="center"/>
          </w:tcPr>
          <w:p>
            <w:pPr>
              <w:pStyle w:val="12"/>
            </w:pPr>
            <w:r>
              <w:t>3.41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4448.98</w:t>
            </w:r>
          </w:p>
        </w:tc>
        <w:tc>
          <w:tcPr>
            <w:tcW w:w="1361" w:type="dxa"/>
            <w:vAlign w:val="center"/>
          </w:tcPr>
          <w:p>
            <w:pPr>
              <w:pStyle w:val="12"/>
            </w:pPr>
          </w:p>
        </w:tc>
        <w:tc>
          <w:tcPr>
            <w:tcW w:w="1361" w:type="dxa"/>
            <w:vAlign w:val="center"/>
          </w:tcPr>
          <w:p>
            <w:pPr>
              <w:pStyle w:val="12"/>
            </w:pPr>
            <w:r>
              <w:t>4448.98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4448.98</w:t>
            </w:r>
          </w:p>
        </w:tc>
        <w:tc>
          <w:tcPr>
            <w:tcW w:w="1361" w:type="dxa"/>
            <w:vAlign w:val="center"/>
          </w:tcPr>
          <w:p>
            <w:pPr>
              <w:pStyle w:val="12"/>
            </w:pPr>
          </w:p>
        </w:tc>
        <w:tc>
          <w:tcPr>
            <w:tcW w:w="1361" w:type="dxa"/>
            <w:vAlign w:val="center"/>
          </w:tcPr>
          <w:p>
            <w:pPr>
              <w:pStyle w:val="12"/>
            </w:pPr>
            <w:r>
              <w:t>4448.98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2200102</w:t>
            </w:r>
          </w:p>
        </w:tc>
        <w:tc>
          <w:tcPr>
            <w:tcW w:w="4535" w:type="dxa"/>
            <w:vAlign w:val="center"/>
          </w:tcPr>
          <w:p>
            <w:pPr>
              <w:pStyle w:val="13"/>
            </w:pPr>
            <w:r>
              <w:t>一般行政管理事务</w:t>
            </w: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r>
              <w:t>240.00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2200106</w:t>
            </w:r>
          </w:p>
        </w:tc>
        <w:tc>
          <w:tcPr>
            <w:tcW w:w="4535" w:type="dxa"/>
            <w:vAlign w:val="center"/>
          </w:tcPr>
          <w:p>
            <w:pPr>
              <w:pStyle w:val="13"/>
            </w:pPr>
            <w:r>
              <w:t>自然资源利用与保护</w:t>
            </w:r>
          </w:p>
        </w:tc>
        <w:tc>
          <w:tcPr>
            <w:tcW w:w="1361" w:type="dxa"/>
            <w:vAlign w:val="center"/>
          </w:tcPr>
          <w:p>
            <w:pPr>
              <w:pStyle w:val="12"/>
            </w:pPr>
            <w:r>
              <w:t>4128.98</w:t>
            </w:r>
          </w:p>
        </w:tc>
        <w:tc>
          <w:tcPr>
            <w:tcW w:w="1361" w:type="dxa"/>
            <w:vAlign w:val="center"/>
          </w:tcPr>
          <w:p>
            <w:pPr>
              <w:pStyle w:val="12"/>
            </w:pPr>
          </w:p>
        </w:tc>
        <w:tc>
          <w:tcPr>
            <w:tcW w:w="1361" w:type="dxa"/>
            <w:vAlign w:val="center"/>
          </w:tcPr>
          <w:p>
            <w:pPr>
              <w:pStyle w:val="12"/>
            </w:pPr>
            <w:r>
              <w:t>4128.98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2200108</w:t>
            </w:r>
          </w:p>
        </w:tc>
        <w:tc>
          <w:tcPr>
            <w:tcW w:w="4535" w:type="dxa"/>
            <w:vAlign w:val="center"/>
          </w:tcPr>
          <w:p>
            <w:pPr>
              <w:pStyle w:val="13"/>
            </w:pPr>
            <w:r>
              <w:t>自然资源行业业务管理</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232</w:t>
            </w:r>
          </w:p>
        </w:tc>
        <w:tc>
          <w:tcPr>
            <w:tcW w:w="4535" w:type="dxa"/>
            <w:vAlign w:val="center"/>
          </w:tcPr>
          <w:p>
            <w:pPr>
              <w:pStyle w:val="13"/>
            </w:pPr>
            <w:r>
              <w:t>债务付息支出</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23204</w:t>
            </w:r>
          </w:p>
        </w:tc>
        <w:tc>
          <w:tcPr>
            <w:tcW w:w="4535" w:type="dxa"/>
            <w:vAlign w:val="center"/>
          </w:tcPr>
          <w:p>
            <w:pPr>
              <w:pStyle w:val="13"/>
            </w:pPr>
            <w:r>
              <w:t>地方政府专项债务付息支出</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2320431</w:t>
            </w:r>
          </w:p>
        </w:tc>
        <w:tc>
          <w:tcPr>
            <w:tcW w:w="4535" w:type="dxa"/>
            <w:vAlign w:val="center"/>
          </w:tcPr>
          <w:p>
            <w:pPr>
              <w:pStyle w:val="13"/>
            </w:pPr>
            <w:r>
              <w:t>土地储备专项债券付息支出</w:t>
            </w: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r>
              <w:t>230.00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4290.39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6793.49</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8613.07</w:t>
            </w:r>
          </w:p>
        </w:tc>
        <w:tc>
          <w:tcPr>
            <w:tcW w:w="1474" w:type="dxa"/>
            <w:vAlign w:val="center"/>
          </w:tcPr>
          <w:p>
            <w:pPr>
              <w:pStyle w:val="12"/>
            </w:pPr>
          </w:p>
        </w:tc>
        <w:tc>
          <w:tcPr>
            <w:tcW w:w="1474" w:type="dxa"/>
            <w:vAlign w:val="center"/>
          </w:tcPr>
          <w:p>
            <w:pPr>
              <w:pStyle w:val="12"/>
            </w:pPr>
            <w:r>
              <w:t>8613.07</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35.41</w:t>
            </w:r>
          </w:p>
        </w:tc>
        <w:tc>
          <w:tcPr>
            <w:tcW w:w="1474" w:type="dxa"/>
            <w:vAlign w:val="center"/>
          </w:tcPr>
          <w:p>
            <w:pPr>
              <w:pStyle w:val="12"/>
            </w:pPr>
            <w:r>
              <w:t>35.41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4448.98</w:t>
            </w:r>
          </w:p>
        </w:tc>
        <w:tc>
          <w:tcPr>
            <w:tcW w:w="1474" w:type="dxa"/>
            <w:vAlign w:val="center"/>
          </w:tcPr>
          <w:p>
            <w:pPr>
              <w:pStyle w:val="12"/>
            </w:pPr>
            <w:r>
              <w:t>4448.98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r>
              <w:t>230.00</w:t>
            </w:r>
          </w:p>
        </w:tc>
        <w:tc>
          <w:tcPr>
            <w:tcW w:w="1474" w:type="dxa"/>
            <w:vAlign w:val="center"/>
          </w:tcPr>
          <w:p>
            <w:pPr>
              <w:pStyle w:val="12"/>
            </w:pPr>
          </w:p>
        </w:tc>
        <w:tc>
          <w:tcPr>
            <w:tcW w:w="1474" w:type="dxa"/>
            <w:vAlign w:val="center"/>
          </w:tcPr>
          <w:p>
            <w:pPr>
              <w:pStyle w:val="12"/>
            </w:pPr>
            <w:r>
              <w:t>230.00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11083.88</w:t>
            </w:r>
          </w:p>
        </w:tc>
        <w:tc>
          <w:tcPr>
            <w:tcW w:w="3402" w:type="dxa"/>
            <w:vAlign w:val="center"/>
          </w:tcPr>
          <w:p>
            <w:pPr>
              <w:pStyle w:val="15"/>
            </w:pPr>
            <w:r>
              <w:t>本年支出合计</w:t>
            </w:r>
          </w:p>
        </w:tc>
        <w:tc>
          <w:tcPr>
            <w:tcW w:w="1474" w:type="dxa"/>
            <w:vAlign w:val="center"/>
          </w:tcPr>
          <w:p>
            <w:pPr>
              <w:pStyle w:val="16"/>
            </w:pPr>
            <w:r>
              <w:t>13327.46</w:t>
            </w:r>
          </w:p>
        </w:tc>
        <w:tc>
          <w:tcPr>
            <w:tcW w:w="1474" w:type="dxa"/>
            <w:vAlign w:val="center"/>
          </w:tcPr>
          <w:p>
            <w:pPr>
              <w:pStyle w:val="16"/>
            </w:pPr>
            <w:r>
              <w:t>4484.39</w:t>
            </w:r>
          </w:p>
        </w:tc>
        <w:tc>
          <w:tcPr>
            <w:tcW w:w="1474" w:type="dxa"/>
            <w:vAlign w:val="center"/>
          </w:tcPr>
          <w:p>
            <w:pPr>
              <w:pStyle w:val="16"/>
            </w:pPr>
            <w:r>
              <w:t>8843.07</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2243.58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194.00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2049.58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13327.46</w:t>
            </w:r>
          </w:p>
        </w:tc>
        <w:tc>
          <w:tcPr>
            <w:tcW w:w="3402" w:type="dxa"/>
            <w:vAlign w:val="center"/>
          </w:tcPr>
          <w:p>
            <w:pPr>
              <w:pStyle w:val="15"/>
            </w:pPr>
            <w:r>
              <w:t>支出总计</w:t>
            </w:r>
          </w:p>
        </w:tc>
        <w:tc>
          <w:tcPr>
            <w:tcW w:w="1474" w:type="dxa"/>
            <w:vAlign w:val="center"/>
          </w:tcPr>
          <w:p>
            <w:pPr>
              <w:pStyle w:val="16"/>
            </w:pPr>
            <w:r>
              <w:t>13327.46</w:t>
            </w:r>
          </w:p>
        </w:tc>
        <w:tc>
          <w:tcPr>
            <w:tcW w:w="1474" w:type="dxa"/>
            <w:vAlign w:val="center"/>
          </w:tcPr>
          <w:p>
            <w:pPr>
              <w:pStyle w:val="16"/>
            </w:pPr>
            <w:r>
              <w:t>4484.39</w:t>
            </w:r>
          </w:p>
        </w:tc>
        <w:tc>
          <w:tcPr>
            <w:tcW w:w="1474" w:type="dxa"/>
            <w:vAlign w:val="center"/>
          </w:tcPr>
          <w:p>
            <w:pPr>
              <w:pStyle w:val="16"/>
            </w:pPr>
            <w:r>
              <w:t>8843.07</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4484.39</w:t>
            </w:r>
          </w:p>
        </w:tc>
        <w:tc>
          <w:tcPr>
            <w:tcW w:w="2551" w:type="dxa"/>
            <w:vAlign w:val="center"/>
          </w:tcPr>
          <w:p>
            <w:pPr>
              <w:pStyle w:val="16"/>
            </w:pPr>
          </w:p>
        </w:tc>
        <w:tc>
          <w:tcPr>
            <w:tcW w:w="2551" w:type="dxa"/>
            <w:vAlign w:val="center"/>
          </w:tcPr>
          <w:p>
            <w:pPr>
              <w:pStyle w:val="16"/>
            </w:pPr>
            <w:r>
              <w:t>4484.39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35.41</w:t>
            </w:r>
          </w:p>
        </w:tc>
        <w:tc>
          <w:tcPr>
            <w:tcW w:w="2551" w:type="dxa"/>
            <w:vAlign w:val="center"/>
          </w:tcPr>
          <w:p>
            <w:pPr>
              <w:pStyle w:val="12"/>
            </w:pPr>
          </w:p>
        </w:tc>
        <w:tc>
          <w:tcPr>
            <w:tcW w:w="2551" w:type="dxa"/>
            <w:vAlign w:val="center"/>
          </w:tcPr>
          <w:p>
            <w:pPr>
              <w:pStyle w:val="12"/>
            </w:pPr>
            <w:r>
              <w:t>35.41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35.41</w:t>
            </w:r>
          </w:p>
        </w:tc>
        <w:tc>
          <w:tcPr>
            <w:tcW w:w="2551" w:type="dxa"/>
            <w:vAlign w:val="center"/>
          </w:tcPr>
          <w:p>
            <w:pPr>
              <w:pStyle w:val="12"/>
            </w:pPr>
          </w:p>
        </w:tc>
        <w:tc>
          <w:tcPr>
            <w:tcW w:w="2551" w:type="dxa"/>
            <w:vAlign w:val="center"/>
          </w:tcPr>
          <w:p>
            <w:pPr>
              <w:pStyle w:val="12"/>
            </w:pPr>
            <w:r>
              <w:t>35.41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2130205</w:t>
            </w:r>
          </w:p>
        </w:tc>
        <w:tc>
          <w:tcPr>
            <w:tcW w:w="4535" w:type="dxa"/>
            <w:vAlign w:val="center"/>
          </w:tcPr>
          <w:p>
            <w:pPr>
              <w:pStyle w:val="13"/>
            </w:pPr>
            <w:r>
              <w:t>森林资源培育</w:t>
            </w:r>
          </w:p>
        </w:tc>
        <w:tc>
          <w:tcPr>
            <w:tcW w:w="2551" w:type="dxa"/>
            <w:vAlign w:val="center"/>
          </w:tcPr>
          <w:p>
            <w:pPr>
              <w:pStyle w:val="12"/>
            </w:pPr>
            <w:r>
              <w:t>22.00</w:t>
            </w:r>
          </w:p>
        </w:tc>
        <w:tc>
          <w:tcPr>
            <w:tcW w:w="2551" w:type="dxa"/>
            <w:vAlign w:val="center"/>
          </w:tcPr>
          <w:p>
            <w:pPr>
              <w:pStyle w:val="12"/>
            </w:pPr>
          </w:p>
        </w:tc>
        <w:tc>
          <w:tcPr>
            <w:tcW w:w="2551" w:type="dxa"/>
            <w:vAlign w:val="center"/>
          </w:tcPr>
          <w:p>
            <w:pPr>
              <w:pStyle w:val="12"/>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2130299</w:t>
            </w:r>
          </w:p>
        </w:tc>
        <w:tc>
          <w:tcPr>
            <w:tcW w:w="4535" w:type="dxa"/>
            <w:vAlign w:val="center"/>
          </w:tcPr>
          <w:p>
            <w:pPr>
              <w:pStyle w:val="13"/>
            </w:pPr>
            <w:r>
              <w:t>其他林业和草原支出</w:t>
            </w:r>
          </w:p>
        </w:tc>
        <w:tc>
          <w:tcPr>
            <w:tcW w:w="2551" w:type="dxa"/>
            <w:vAlign w:val="center"/>
          </w:tcPr>
          <w:p>
            <w:pPr>
              <w:pStyle w:val="12"/>
            </w:pPr>
            <w:r>
              <w:t>3.41</w:t>
            </w:r>
          </w:p>
        </w:tc>
        <w:tc>
          <w:tcPr>
            <w:tcW w:w="2551" w:type="dxa"/>
            <w:vAlign w:val="center"/>
          </w:tcPr>
          <w:p>
            <w:pPr>
              <w:pStyle w:val="12"/>
            </w:pPr>
          </w:p>
        </w:tc>
        <w:tc>
          <w:tcPr>
            <w:tcW w:w="2551" w:type="dxa"/>
            <w:vAlign w:val="center"/>
          </w:tcPr>
          <w:p>
            <w:pPr>
              <w:pStyle w:val="12"/>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4448.98</w:t>
            </w:r>
          </w:p>
        </w:tc>
        <w:tc>
          <w:tcPr>
            <w:tcW w:w="2551" w:type="dxa"/>
            <w:vAlign w:val="center"/>
          </w:tcPr>
          <w:p>
            <w:pPr>
              <w:pStyle w:val="12"/>
            </w:pPr>
          </w:p>
        </w:tc>
        <w:tc>
          <w:tcPr>
            <w:tcW w:w="2551" w:type="dxa"/>
            <w:vAlign w:val="center"/>
          </w:tcPr>
          <w:p>
            <w:pPr>
              <w:pStyle w:val="12"/>
            </w:pPr>
            <w:r>
              <w:t>4448.98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4448.98</w:t>
            </w:r>
          </w:p>
        </w:tc>
        <w:tc>
          <w:tcPr>
            <w:tcW w:w="2551" w:type="dxa"/>
            <w:vAlign w:val="center"/>
          </w:tcPr>
          <w:p>
            <w:pPr>
              <w:pStyle w:val="12"/>
            </w:pPr>
          </w:p>
        </w:tc>
        <w:tc>
          <w:tcPr>
            <w:tcW w:w="2551" w:type="dxa"/>
            <w:vAlign w:val="center"/>
          </w:tcPr>
          <w:p>
            <w:pPr>
              <w:pStyle w:val="12"/>
            </w:pPr>
            <w:r>
              <w:t>4448.98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2200102</w:t>
            </w:r>
          </w:p>
        </w:tc>
        <w:tc>
          <w:tcPr>
            <w:tcW w:w="4535" w:type="dxa"/>
            <w:vAlign w:val="center"/>
          </w:tcPr>
          <w:p>
            <w:pPr>
              <w:pStyle w:val="13"/>
            </w:pPr>
            <w:r>
              <w:t>一般行政管理事务</w:t>
            </w:r>
          </w:p>
        </w:tc>
        <w:tc>
          <w:tcPr>
            <w:tcW w:w="2551" w:type="dxa"/>
            <w:vAlign w:val="center"/>
          </w:tcPr>
          <w:p>
            <w:pPr>
              <w:pStyle w:val="12"/>
            </w:pPr>
            <w:r>
              <w:t>240.00</w:t>
            </w:r>
          </w:p>
        </w:tc>
        <w:tc>
          <w:tcPr>
            <w:tcW w:w="2551" w:type="dxa"/>
            <w:vAlign w:val="center"/>
          </w:tcPr>
          <w:p>
            <w:pPr>
              <w:pStyle w:val="12"/>
            </w:pPr>
          </w:p>
        </w:tc>
        <w:tc>
          <w:tcPr>
            <w:tcW w:w="2551" w:type="dxa"/>
            <w:vAlign w:val="center"/>
          </w:tcPr>
          <w:p>
            <w:pPr>
              <w:pStyle w:val="12"/>
            </w:pPr>
            <w:r>
              <w:t>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2200106</w:t>
            </w:r>
          </w:p>
        </w:tc>
        <w:tc>
          <w:tcPr>
            <w:tcW w:w="4535" w:type="dxa"/>
            <w:vAlign w:val="center"/>
          </w:tcPr>
          <w:p>
            <w:pPr>
              <w:pStyle w:val="13"/>
            </w:pPr>
            <w:r>
              <w:t>自然资源利用与保护</w:t>
            </w:r>
          </w:p>
        </w:tc>
        <w:tc>
          <w:tcPr>
            <w:tcW w:w="2551" w:type="dxa"/>
            <w:vAlign w:val="center"/>
          </w:tcPr>
          <w:p>
            <w:pPr>
              <w:pStyle w:val="12"/>
            </w:pPr>
            <w:r>
              <w:t>4128.98</w:t>
            </w:r>
          </w:p>
        </w:tc>
        <w:tc>
          <w:tcPr>
            <w:tcW w:w="2551" w:type="dxa"/>
            <w:vAlign w:val="center"/>
          </w:tcPr>
          <w:p>
            <w:pPr>
              <w:pStyle w:val="12"/>
            </w:pPr>
          </w:p>
        </w:tc>
        <w:tc>
          <w:tcPr>
            <w:tcW w:w="2551" w:type="dxa"/>
            <w:vAlign w:val="center"/>
          </w:tcPr>
          <w:p>
            <w:pPr>
              <w:pStyle w:val="12"/>
            </w:pPr>
            <w:r>
              <w:t>4128.98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2200108</w:t>
            </w:r>
          </w:p>
        </w:tc>
        <w:tc>
          <w:tcPr>
            <w:tcW w:w="4535" w:type="dxa"/>
            <w:vAlign w:val="center"/>
          </w:tcPr>
          <w:p>
            <w:pPr>
              <w:pStyle w:val="13"/>
            </w:pPr>
            <w:r>
              <w:t>自然资源行业业务管理</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8843.07</w:t>
            </w:r>
          </w:p>
        </w:tc>
        <w:tc>
          <w:tcPr>
            <w:tcW w:w="2551" w:type="dxa"/>
            <w:vAlign w:val="center"/>
          </w:tcPr>
          <w:p>
            <w:pPr>
              <w:pStyle w:val="16"/>
            </w:pPr>
          </w:p>
        </w:tc>
        <w:tc>
          <w:tcPr>
            <w:tcW w:w="2551" w:type="dxa"/>
            <w:vAlign w:val="center"/>
          </w:tcPr>
          <w:p>
            <w:pPr>
              <w:pStyle w:val="16"/>
            </w:pPr>
            <w:r>
              <w:t>8843.07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8613.07</w:t>
            </w:r>
          </w:p>
        </w:tc>
        <w:tc>
          <w:tcPr>
            <w:tcW w:w="2551" w:type="dxa"/>
            <w:vAlign w:val="center"/>
          </w:tcPr>
          <w:p>
            <w:pPr>
              <w:pStyle w:val="12"/>
            </w:pPr>
          </w:p>
        </w:tc>
        <w:tc>
          <w:tcPr>
            <w:tcW w:w="2551" w:type="dxa"/>
            <w:vAlign w:val="center"/>
          </w:tcPr>
          <w:p>
            <w:pPr>
              <w:pStyle w:val="12"/>
            </w:pPr>
            <w:r>
              <w:t>8613.07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8613.07</w:t>
            </w:r>
          </w:p>
        </w:tc>
        <w:tc>
          <w:tcPr>
            <w:tcW w:w="2551" w:type="dxa"/>
            <w:vAlign w:val="center"/>
          </w:tcPr>
          <w:p>
            <w:pPr>
              <w:pStyle w:val="12"/>
            </w:pPr>
          </w:p>
        </w:tc>
        <w:tc>
          <w:tcPr>
            <w:tcW w:w="2551" w:type="dxa"/>
            <w:vAlign w:val="center"/>
          </w:tcPr>
          <w:p>
            <w:pPr>
              <w:pStyle w:val="12"/>
            </w:pPr>
            <w:r>
              <w:t>8613.07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2120806</w:t>
            </w:r>
          </w:p>
        </w:tc>
        <w:tc>
          <w:tcPr>
            <w:tcW w:w="4535" w:type="dxa"/>
            <w:vAlign w:val="center"/>
          </w:tcPr>
          <w:p>
            <w:pPr>
              <w:pStyle w:val="13"/>
            </w:pPr>
            <w:r>
              <w:t>土地出让业务支出</w:t>
            </w:r>
          </w:p>
        </w:tc>
        <w:tc>
          <w:tcPr>
            <w:tcW w:w="2551" w:type="dxa"/>
            <w:vAlign w:val="center"/>
          </w:tcPr>
          <w:p>
            <w:pPr>
              <w:pStyle w:val="12"/>
            </w:pPr>
            <w:r>
              <w:t>44.60</w:t>
            </w:r>
          </w:p>
        </w:tc>
        <w:tc>
          <w:tcPr>
            <w:tcW w:w="2551" w:type="dxa"/>
            <w:vAlign w:val="center"/>
          </w:tcPr>
          <w:p>
            <w:pPr>
              <w:pStyle w:val="12"/>
            </w:pPr>
          </w:p>
        </w:tc>
        <w:tc>
          <w:tcPr>
            <w:tcW w:w="2551" w:type="dxa"/>
            <w:vAlign w:val="center"/>
          </w:tcPr>
          <w:p>
            <w:pPr>
              <w:pStyle w:val="12"/>
            </w:pPr>
            <w:r>
              <w:t>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8568.47</w:t>
            </w:r>
          </w:p>
        </w:tc>
        <w:tc>
          <w:tcPr>
            <w:tcW w:w="2551" w:type="dxa"/>
            <w:vAlign w:val="center"/>
          </w:tcPr>
          <w:p>
            <w:pPr>
              <w:pStyle w:val="12"/>
            </w:pPr>
          </w:p>
        </w:tc>
        <w:tc>
          <w:tcPr>
            <w:tcW w:w="2551" w:type="dxa"/>
            <w:vAlign w:val="center"/>
          </w:tcPr>
          <w:p>
            <w:pPr>
              <w:pStyle w:val="12"/>
            </w:pPr>
            <w:r>
              <w:t>8568.47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232</w:t>
            </w:r>
          </w:p>
        </w:tc>
        <w:tc>
          <w:tcPr>
            <w:tcW w:w="4535" w:type="dxa"/>
            <w:vAlign w:val="center"/>
          </w:tcPr>
          <w:p>
            <w:pPr>
              <w:pStyle w:val="13"/>
            </w:pPr>
            <w:r>
              <w:t>债务付息支出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23204</w:t>
            </w:r>
          </w:p>
        </w:tc>
        <w:tc>
          <w:tcPr>
            <w:tcW w:w="4535" w:type="dxa"/>
            <w:vAlign w:val="center"/>
          </w:tcPr>
          <w:p>
            <w:pPr>
              <w:pStyle w:val="13"/>
            </w:pPr>
            <w:r>
              <w:t>地方政府专项债务付息支出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2320431</w:t>
            </w:r>
          </w:p>
        </w:tc>
        <w:tc>
          <w:tcPr>
            <w:tcW w:w="4535" w:type="dxa"/>
            <w:vAlign w:val="center"/>
          </w:tcPr>
          <w:p>
            <w:pPr>
              <w:pStyle w:val="13"/>
            </w:pPr>
            <w:r>
              <w:t>土地储备专项债券付息支出</w:t>
            </w:r>
          </w:p>
        </w:tc>
        <w:tc>
          <w:tcPr>
            <w:tcW w:w="2551" w:type="dxa"/>
            <w:vAlign w:val="center"/>
          </w:tcPr>
          <w:p>
            <w:pPr>
              <w:pStyle w:val="12"/>
            </w:pPr>
            <w:r>
              <w:t>230.00</w:t>
            </w:r>
          </w:p>
        </w:tc>
        <w:tc>
          <w:tcPr>
            <w:tcW w:w="2551" w:type="dxa"/>
            <w:vAlign w:val="center"/>
          </w:tcPr>
          <w:p>
            <w:pPr>
              <w:pStyle w:val="12"/>
            </w:pPr>
          </w:p>
        </w:tc>
        <w:tc>
          <w:tcPr>
            <w:tcW w:w="2551" w:type="dxa"/>
            <w:vAlign w:val="center"/>
          </w:tcPr>
          <w:p>
            <w:pPr>
              <w:pStyle w:val="12"/>
            </w:pPr>
            <w:r>
              <w:t>230.00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石家庄市自然资源和规划局藁城分局2025年部门预算信息公开情况说明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石家庄市自然资源和规划局藁城分局2025年部门预算信息公开情况说明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按照《中华人民共和国预算法》、《地方预决算公开操作规程》和《关于进一步推进预算公开工作的实施意见》规定，现将石家庄市自然资源和规划局藁城分局2025年部门预算公开如下：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1、加紧对全区农村宅基地和农村集体建设用地的调查、确权及数据入库工作。</w:t>
      </w:r>
    </w:p>
    <w:p>
      <w:pPr>
        <w:pStyle w:val="18"/>
      </w:pPr>
      <w:r>
        <w:t>2、完成高标准基本农田建设任务，提高耕地质量等级增加产能，满足占补平衡的需要。</w:t>
      </w:r>
    </w:p>
    <w:p>
      <w:pPr>
        <w:pStyle w:val="18"/>
      </w:pPr>
      <w:r>
        <w:t>3、按省厅、市局要求的时限上报、盯办，为项目的早日开工建设提供保障。</w:t>
      </w:r>
    </w:p>
    <w:p>
      <w:pPr>
        <w:pStyle w:val="18"/>
      </w:pPr>
      <w:r>
        <w:t>4、编制年度土地收储计划，严格按计划收储土地，盘活城区存量土地，促进城市健康发展。</w:t>
      </w:r>
    </w:p>
    <w:p>
      <w:pPr>
        <w:pStyle w:val="18"/>
      </w:pPr>
      <w:r>
        <w:t>5、科学编制年度供地计划加快国有建设用地供地力度。</w:t>
      </w:r>
    </w:p>
    <w:p>
      <w:pPr>
        <w:pStyle w:val="18"/>
      </w:pPr>
      <w:r>
        <w:t>6、对违法用地，严格按照“六个到位”的要求，坚决查处到位。</w:t>
      </w:r>
    </w:p>
    <w:p>
      <w:pPr>
        <w:pStyle w:val="18"/>
      </w:pPr>
      <w:r>
        <w:t>7、力争做到卫片执法监督检查“零约谈”、“零问责”的目标。</w:t>
      </w:r>
    </w:p>
    <w:p>
      <w:pPr>
        <w:pStyle w:val="18"/>
      </w:pPr>
      <w:r>
        <w:t>8、严格执行关于维稳工作的各项规定，确保不发生各类非正常信访案件。</w:t>
      </w:r>
    </w:p>
    <w:p>
      <w:pPr>
        <w:pStyle w:val="18"/>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pStyle w:val="18"/>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pStyle w:val="18"/>
      </w:pPr>
      <w:r>
        <w:t>11、负责林业及其生态环境建设、森林资源保护、国土绿化和林业产业发展的规定和方法，并组织实施监督和检查。</w:t>
      </w:r>
    </w:p>
    <w:p>
      <w:pPr>
        <w:pStyle w:val="18"/>
      </w:pPr>
      <w:r>
        <w:t>12、负责组织指导全市林业及其生态建设的科技创新和技术示范推广，为林业生态发展和林产品生产提供公共支撑。</w:t>
      </w:r>
    </w:p>
    <w:p>
      <w:pPr>
        <w:pStyle w:val="18"/>
      </w:pPr>
      <w:r>
        <w:t>13、负责苗木的标准化生产和基地建设。</w:t>
      </w:r>
    </w:p>
    <w:p>
      <w:pPr>
        <w:pStyle w:val="18"/>
      </w:pPr>
      <w:r>
        <w:t>14、负责林业政务管理，依法依规履行机关日常管理工作。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石家庄市自然资源和规划局藁城分局本级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按照预算管理有关规定，目前部门预算的编制实行综合预算管理，即全部收入和支出都反映在预算中。石家庄市自然资源和规划局藁城分局机关及所属事业单位的收支包含在部门预算中。</w:t>
      </w:r>
    </w:p>
    <w:p>
      <w:pPr>
        <w:pStyle w:val="19"/>
      </w:pPr>
      <w:r>
        <w:t>1、收入说明</w:t>
      </w:r>
    </w:p>
    <w:p>
      <w:pPr>
        <w:pStyle w:val="19"/>
      </w:pPr>
      <w:r>
        <w:t>反映本部门当年全部收入。2025年预算收入13327.46万元，其中：一般公共预算收入4290.39万元，基金预算收入6793.49万元，国有资本经营预算收入0.00万元，财政专户核拨收入0.00万元，单位资金收入0.00万元，上年结转结余2243.58万元。</w:t>
      </w:r>
    </w:p>
    <w:p>
      <w:pPr>
        <w:pStyle w:val="19"/>
      </w:pPr>
      <w:r>
        <w:t>2、支出说明</w:t>
      </w:r>
    </w:p>
    <w:p>
      <w:pPr>
        <w:pStyle w:val="19"/>
      </w:pPr>
      <w:r>
        <w:t>收支预算总表支出栏、基本支出表、项目支出表按经济分类和支出功能分类科目编制，反映石家庄市自然资源和规划局藁城分局年度部门预算中支出预算的总体情况。2025年支出预算13327.46万元，其中基本支出0.00万元，包括人员经费0.00万元和日常公用经费0.00万元；项目支出13327.46万元，主要为占地补资金支出、新增费返还项目支出、上级林业</w:t>
      </w:r>
      <w:r>
        <w:rPr>
          <w:rFonts w:hint="eastAsia"/>
          <w:lang w:eastAsia="zh-CN"/>
        </w:rPr>
        <w:t>发展改革资金</w:t>
      </w:r>
      <w:r>
        <w:t>项目支出及聘请第三方服务经费</w:t>
      </w:r>
      <w:r>
        <w:rPr>
          <w:rFonts w:hint="eastAsia"/>
          <w:lang w:eastAsia="zh-CN"/>
        </w:rPr>
        <w:t>、专项债券付息</w:t>
      </w:r>
      <w:r>
        <w:t>等项目支出</w:t>
      </w:r>
    </w:p>
    <w:p>
      <w:pPr>
        <w:pStyle w:val="19"/>
      </w:pPr>
      <w:r>
        <w:t>3、比上年增减情况</w:t>
      </w:r>
    </w:p>
    <w:p>
      <w:pPr>
        <w:pStyle w:val="19"/>
        <w:rPr>
          <w:rFonts w:hint="eastAsia" w:eastAsia="方正仿宋_GBK"/>
          <w:lang w:eastAsia="zh-CN"/>
        </w:rPr>
      </w:pPr>
      <w:r>
        <w:t>2025年预算收支安排13327.46万元，较2024年预算减少10245.15万元，其中：基本支出增加0.00万元，主要为无基本支出</w:t>
      </w:r>
      <w:r>
        <w:rPr>
          <w:rFonts w:hint="eastAsia"/>
          <w:lang w:eastAsia="zh-CN"/>
        </w:rPr>
        <w:t>。</w:t>
      </w:r>
      <w:r>
        <w:t>项目支出减少10245.15万元，主要为占地补资金支出、新增费返还项目支出、上级林业项目支出及聘请第三方服务经费等项目支出有所减少</w:t>
      </w:r>
      <w:r>
        <w:rPr>
          <w:rFonts w:hint="eastAsia"/>
          <w:lang w:eastAsia="zh-CN"/>
        </w:rP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2025年，我部门机关运行经费共计安排0.00万元。</w:t>
      </w:r>
    </w:p>
    <w:p>
      <w:pPr>
        <w:numPr>
          <w:ilvl w:val="0"/>
          <w:numId w:val="2"/>
        </w:num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bookmarkStart w:id="12" w:name="_Toc_3_3_0000000013"/>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w:t>
      </w:r>
      <w:r>
        <w:rPr>
          <w:rFonts w:hint="eastAsia"/>
          <w:lang w:eastAsia="zh-CN"/>
        </w:rPr>
        <w:t>部门</w:t>
      </w:r>
      <w:r>
        <w:t>围绕藁城区域发展，强化规划编制工作，落实重大民生工程、公益性设施等项目指标的分配。聚集保障发展，优化土地供应，完成编制《年</w:t>
      </w:r>
      <w:r>
        <w:rPr>
          <w:rFonts w:hint="eastAsia"/>
          <w:lang w:eastAsia="zh-CN"/>
        </w:rPr>
        <w:t>度</w:t>
      </w:r>
      <w:r>
        <w:t>土地供应计划》，完成基本农田调查摸底和基本农田储备区划定工作的数据收集、整理、上报工作。管建并举，保护自然资源，提升土地执法规范化水平，加大动态巡查力度，严肃查处违法用地案件。以民为本，服务民生，全面提高办事效率和服务水平，实行首问首办负责制，一次性告知制度，实现“一个窗口”服务和管理。加强林业管理，高标准、高质量完成全年绿化任务，抓好林政资源保护。承担法律规定的其他职责，以及上级自然资源部门交办的其他工作任务。加强作风建设，积极进取，奋发有为，为我区经济社会发展作出应有的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一、完成国土空间规划编制，实现国土空间规划全覆盖</w:t>
      </w:r>
    </w:p>
    <w:p>
      <w:pPr>
        <w:pStyle w:val="23"/>
      </w:pPr>
      <w:r>
        <w:t>绩效目标:完成全域国土空间编制、乡镇国土空间编制、村庄布局专项规划、高铁高速沿线村庄规划编制，完成藁城区土地利用总体规划调整，做好东部片区城市设计、北部中心镇发展规划、中心城区整体城市设计，把藁城区的发展纳入到石家庄市国土空间规划中落实实施。</w:t>
      </w:r>
    </w:p>
    <w:p>
      <w:pPr>
        <w:pStyle w:val="23"/>
      </w:pPr>
      <w:r>
        <w:t>绩效指标:规划编制实际完成数量占全年计划完成量的 90%以上，通过专家评审率达到 90%以上。</w:t>
      </w:r>
    </w:p>
    <w:p>
      <w:pPr>
        <w:pStyle w:val="23"/>
      </w:pPr>
      <w:r>
        <w:t>二、强化更新土地调查工作，不断夯实“以图管地”工作基础，推进城乡一体化管理。</w:t>
      </w:r>
    </w:p>
    <w:p>
      <w:pPr>
        <w:pStyle w:val="23"/>
      </w:pPr>
      <w:r>
        <w:t>绩效目标:完成对我区土地调查数据的更新汇总工作，对宅基地、集体建设用地进行土地确权，完成农村所有权补充调查项目，继续做好变更调查。</w:t>
      </w:r>
    </w:p>
    <w:p>
      <w:pPr>
        <w:pStyle w:val="23"/>
      </w:pPr>
      <w:r>
        <w:t>绩效指标:土地变更调查成果，按要求上报省厅备案，农村宅基地、集体建设用地使用权发证占年度工作比率为90%以上，农村所有权补充项目要数据完整规范，满足不动产发证的需要，将最新的耕地质量分等定级调查评价成果落实到土地利用现状图上。</w:t>
      </w:r>
    </w:p>
    <w:p>
      <w:pPr>
        <w:pStyle w:val="23"/>
      </w:pPr>
      <w:r>
        <w:t>三、掌握全区永久基本农田利用现状，规范有序划定永久基本农田储备区。</w:t>
      </w:r>
    </w:p>
    <w:p>
      <w:pPr>
        <w:pStyle w:val="23"/>
      </w:pPr>
      <w:r>
        <w:t>绩效目标:以土地变更调查、耕地质量调查监测与评价等成果为基础，结合第三次土地调查，对本区永久基本农田划定成果进行汇总，对本区永久基本农田划定成果进行储备区划定。</w:t>
      </w:r>
    </w:p>
    <w:p>
      <w:pPr>
        <w:pStyle w:val="23"/>
      </w:pPr>
      <w:r>
        <w:t>绩效指标:通过省厅验收的比率为100%，坚持最严格的耕地保护制度和最严格的节约用地制度，确保永久基本农田数量不减少，质量提升，布局稳定。</w:t>
      </w:r>
    </w:p>
    <w:p>
      <w:pPr>
        <w:pStyle w:val="23"/>
      </w:pPr>
      <w:r>
        <w:t>四、建设不动产交易互联网平台，完善更新不动产登记数据成果</w:t>
      </w:r>
    </w:p>
    <w:p>
      <w:pPr>
        <w:pStyle w:val="23"/>
      </w:pPr>
      <w:r>
        <w:t>绩效目标:将房产交易、税收、不动产登记窗口合并为“一窗受理”的综合窗口，实现信息共享，对不动产数据成果，系统安全运行进行维护更新。</w:t>
      </w:r>
    </w:p>
    <w:p>
      <w:pPr>
        <w:pStyle w:val="23"/>
      </w:pPr>
      <w:r>
        <w:t>绩效指标:减少房产交易、税收、不动产登记办事环节，优化办事程序，办事效率提高到90%以上，不动产数据系统高水平、高性能运行，便民服务进一步加强，受益群众满意度达到90%。</w:t>
      </w:r>
    </w:p>
    <w:p>
      <w:pPr>
        <w:pStyle w:val="23"/>
      </w:pPr>
      <w:r>
        <w:t>五、提升土地规划执法水平，加大动态巡查力度</w:t>
      </w:r>
    </w:p>
    <w:p>
      <w:pPr>
        <w:pStyle w:val="23"/>
      </w:pPr>
      <w:r>
        <w:t>绩效目标:保障执法人员的正常开展工作，提升执法素质和水平，依法严肃查处违法用地案件。</w:t>
      </w:r>
    </w:p>
    <w:p>
      <w:pPr>
        <w:pStyle w:val="23"/>
      </w:pPr>
      <w:r>
        <w:t>绩效指标:强化批后管理，加大执法力度，明确职责，加大动态力度，坚持以横向到边，纵向到底的工作标准，遏制违法建设的发生，办结案件数量占立案案件总数的 90%以上。</w:t>
      </w:r>
    </w:p>
    <w:p>
      <w:pPr>
        <w:pStyle w:val="23"/>
      </w:pPr>
      <w:r>
        <w:t>六、加强林业管理，高标准完成绿化任务</w:t>
      </w:r>
    </w:p>
    <w:p>
      <w:pPr>
        <w:pStyle w:val="23"/>
      </w:pPr>
      <w:r>
        <w:t>绩效目标:对石黄高速、京港澳、国省道、三环路、高铁、汪洋沟、周汉河两侧进行林带建设，打造绿色通行廊道</w:t>
      </w:r>
    </w:p>
    <w:p>
      <w:pPr>
        <w:pStyle w:val="23"/>
      </w:pPr>
      <w:r>
        <w:t>绩效指标:完成造林绿化占地补贴面积82178亩，造林面积合格率在95%以上，改善全区生态环境，提高全区绿化水平，保障全区林业事业健康科学持续发展。</w:t>
      </w:r>
    </w:p>
    <w:p>
      <w:pPr>
        <w:pStyle w:val="23"/>
      </w:pPr>
      <w:r>
        <w:t>七、抓好林政资源保护，做好义务植树及农村绿化工作。</w:t>
      </w:r>
    </w:p>
    <w:p>
      <w:pPr>
        <w:pStyle w:val="23"/>
      </w:pPr>
      <w:r>
        <w:t>绩效目标:集中参加义务植树活动，对京港澳高速景观林带进行全面管护，确保景观林带完整，提升景观效果。</w:t>
      </w:r>
    </w:p>
    <w:p>
      <w:pPr>
        <w:pStyle w:val="23"/>
      </w:pPr>
      <w:r>
        <w:t>绩效指标:完成义务植树面积200余亩，京港澳高速景观林管护面积1518 亩,种植树木的成活率在90%以上,森林合格抚育面积占完成面积的95%以上。</w:t>
      </w:r>
    </w:p>
    <w:p>
      <w:pPr>
        <w:pStyle w:val="23"/>
      </w:pPr>
      <w:r>
        <w:t>八、加强政务管理，提高服务水平</w:t>
      </w:r>
    </w:p>
    <w:p>
      <w:pPr>
        <w:pStyle w:val="23"/>
      </w:pPr>
      <w:r>
        <w:t>绩效目标:加强机关和下属事业单位的自身建设和综合管理水平，确保机关工作高效正常运转，有力保障各项工作的顺利开展。</w:t>
      </w:r>
    </w:p>
    <w:p>
      <w:pPr>
        <w:pStyle w:val="23"/>
      </w:pPr>
      <w:r>
        <w:t>绩效指标:保障机关及下属事业单位的工作正常运行，综合业务管理工作和事务管理工作完成率均达到 90%以上，进一步增强国土资源管理能力。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（一）完善制度建设。制定完善预算绩效管理制度、资金管理办法、工作保障制度等，为全年预算绩效目标的实现奠定制度基础。</w:t>
      </w:r>
    </w:p>
    <w:p>
      <w:pPr>
        <w:pStyle w:val="24"/>
      </w:pPr>
      <w:r>
        <w:t>（二）加强支出管理。通过优化支出结构、编细编实预算、加快履行政府采购手续、尽快启动项目、及时支付资金、确保支出进度达标。</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4"/>
      </w:pPr>
      <w:r>
        <w:t>（八）巩固查处违法用地成果。将违法用地发现在初始，解决在萌芽机制常态化、制度化。遏制增量、解决存量。出台管理办法，报区委、区政府通过后落实，组织乡镇综合执法，合力打击违法用地行为。</w:t>
      </w:r>
    </w:p>
    <w:p>
      <w:pPr>
        <w:pStyle w:val="24"/>
        <w:sectPr>
          <w:pgSz w:w="16840" w:h="11900" w:orient="landscape"/>
          <w:pgMar w:top="1361" w:right="1020" w:bottom="1361" w:left="1020" w:header="720" w:footer="720" w:gutter="0"/>
        </w:sectPr>
      </w:pPr>
    </w:p>
    <w:p>
      <w:pPr>
        <w:numPr>
          <w:numId w:val="0"/>
        </w:numPr>
        <w:spacing w:before="10" w:after="10" w:line="360" w:lineRule="auto"/>
        <w:ind w:left="640" w:leftChars="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400" w:firstLineChars="5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uk-UA" w:bidi="ar-SA"/>
        </w:rPr>
        <w:t>我部门2025年无专项资金</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1、不动产登记中心租金及办公经费绩效目标表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13010925P00000810052L</w:t>
            </w:r>
          </w:p>
        </w:tc>
        <w:tc>
          <w:tcPr>
            <w:tcW w:w="2835" w:type="dxa"/>
            <w:vAlign w:val="center"/>
          </w:tcPr>
          <w:p>
            <w:pPr>
              <w:pStyle w:val="11"/>
            </w:pPr>
            <w:r>
              <w:t>项目名称</w:t>
            </w:r>
          </w:p>
        </w:tc>
        <w:tc>
          <w:tcPr>
            <w:tcW w:w="6095" w:type="dxa"/>
            <w:gridSpan w:val="3"/>
            <w:vAlign w:val="center"/>
          </w:tcPr>
          <w:p>
            <w:pPr>
              <w:pStyle w:val="13"/>
            </w:pPr>
            <w:r>
              <w:t>不动产登记中心租金及办公经费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用于支付不动产相关费用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3</w:t>
            </w:r>
            <w:r>
              <w:t>0.00</w:t>
            </w:r>
          </w:p>
        </w:tc>
        <w:tc>
          <w:tcPr>
            <w:tcW w:w="2835" w:type="dxa"/>
            <w:vAlign w:val="center"/>
          </w:tcPr>
          <w:p>
            <w:pPr>
              <w:pStyle w:val="14"/>
            </w:pPr>
            <w:r>
              <w:rPr>
                <w:rFonts w:hint="eastAsia"/>
                <w:lang w:val="en-US" w:eastAsia="zh-CN"/>
              </w:rPr>
              <w:t>6</w:t>
            </w:r>
            <w:r>
              <w:t>0.00</w:t>
            </w:r>
          </w:p>
        </w:tc>
        <w:tc>
          <w:tcPr>
            <w:tcW w:w="2551" w:type="dxa"/>
            <w:vAlign w:val="center"/>
          </w:tcPr>
          <w:p>
            <w:pPr>
              <w:pStyle w:val="14"/>
            </w:pPr>
            <w:r>
              <w:rPr>
                <w:rFonts w:hint="eastAsia"/>
                <w:lang w:val="en-US" w:eastAsia="zh-CN"/>
              </w:rPr>
              <w:t>9</w:t>
            </w:r>
            <w:r>
              <w:t>0.00</w:t>
            </w:r>
          </w:p>
        </w:tc>
        <w:tc>
          <w:tcPr>
            <w:tcW w:w="3544" w:type="dxa"/>
            <w:gridSpan w:val="2"/>
            <w:vAlign w:val="center"/>
          </w:tcPr>
          <w:p>
            <w:pPr>
              <w:pStyle w:val="14"/>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1.为不动产租用办公场所，并支付相关费用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办公用房面积</w:t>
            </w:r>
          </w:p>
        </w:tc>
        <w:tc>
          <w:tcPr>
            <w:tcW w:w="5386" w:type="dxa"/>
            <w:vAlign w:val="center"/>
          </w:tcPr>
          <w:p>
            <w:pPr>
              <w:pStyle w:val="13"/>
            </w:pPr>
            <w:r>
              <w:t>租用房屋所解决的办公用房面积</w:t>
            </w:r>
          </w:p>
        </w:tc>
        <w:tc>
          <w:tcPr>
            <w:tcW w:w="2268" w:type="dxa"/>
            <w:vAlign w:val="center"/>
          </w:tcPr>
          <w:p>
            <w:pPr>
              <w:pStyle w:val="13"/>
            </w:pPr>
            <w:r>
              <w:t>≤1200平方米</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业务办结率</w:t>
            </w:r>
          </w:p>
        </w:tc>
        <w:tc>
          <w:tcPr>
            <w:tcW w:w="5386" w:type="dxa"/>
            <w:vAlign w:val="center"/>
          </w:tcPr>
          <w:p>
            <w:pPr>
              <w:pStyle w:val="13"/>
            </w:pPr>
            <w:r>
              <w:t>完成业务数量占全部数量的比率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业务及时办理情况</w:t>
            </w:r>
          </w:p>
        </w:tc>
        <w:tc>
          <w:tcPr>
            <w:tcW w:w="5386" w:type="dxa"/>
            <w:vAlign w:val="center"/>
          </w:tcPr>
          <w:p>
            <w:pPr>
              <w:pStyle w:val="13"/>
            </w:pPr>
            <w:r>
              <w:t>在规定工作日内完成业务办理</w:t>
            </w:r>
          </w:p>
        </w:tc>
        <w:tc>
          <w:tcPr>
            <w:tcW w:w="2268" w:type="dxa"/>
            <w:vAlign w:val="center"/>
          </w:tcPr>
          <w:p>
            <w:pPr>
              <w:pStyle w:val="13"/>
            </w:pPr>
            <w:r>
              <w:t>≤3工作日</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每平米所需费用</w:t>
            </w:r>
          </w:p>
        </w:tc>
        <w:tc>
          <w:tcPr>
            <w:tcW w:w="2268" w:type="dxa"/>
            <w:vAlign w:val="center"/>
          </w:tcPr>
          <w:p>
            <w:pPr>
              <w:pStyle w:val="13"/>
            </w:pPr>
            <w:r>
              <w:t>≥27元/平方米/月</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对藁城区社会发展起到积极影响</w:t>
            </w:r>
          </w:p>
        </w:tc>
        <w:tc>
          <w:tcPr>
            <w:tcW w:w="5386" w:type="dxa"/>
            <w:vAlign w:val="center"/>
          </w:tcPr>
          <w:p>
            <w:pPr>
              <w:pStyle w:val="13"/>
            </w:pPr>
            <w:r>
              <w:t>项目的实施为藁城区创造一定的效益，便民服务进一步加强。</w:t>
            </w:r>
          </w:p>
        </w:tc>
        <w:tc>
          <w:tcPr>
            <w:tcW w:w="2268" w:type="dxa"/>
            <w:vAlign w:val="center"/>
          </w:tcPr>
          <w:p>
            <w:pPr>
              <w:pStyle w:val="13"/>
            </w:pPr>
            <w:r>
              <w:t>服务能力得到提升</w:t>
            </w:r>
          </w:p>
          <w:p>
            <w:pPr>
              <w:pStyle w:val="13"/>
            </w:pP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办事人员满意度</w:t>
            </w:r>
          </w:p>
        </w:tc>
        <w:tc>
          <w:tcPr>
            <w:tcW w:w="5386" w:type="dxa"/>
            <w:vAlign w:val="center"/>
          </w:tcPr>
          <w:p>
            <w:pPr>
              <w:pStyle w:val="13"/>
            </w:pPr>
            <w:r>
              <w:t>满意和较满意的受益对象占全部调研对象比例</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2、不动产数据成果更新完善及登记系统维护费用绩效目标表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13010925P00000810061W</w:t>
            </w:r>
          </w:p>
        </w:tc>
        <w:tc>
          <w:tcPr>
            <w:tcW w:w="2835" w:type="dxa"/>
            <w:vAlign w:val="center"/>
          </w:tcPr>
          <w:p>
            <w:pPr>
              <w:pStyle w:val="11"/>
            </w:pPr>
            <w:r>
              <w:t>项目名称</w:t>
            </w:r>
          </w:p>
        </w:tc>
        <w:tc>
          <w:tcPr>
            <w:tcW w:w="6095" w:type="dxa"/>
            <w:gridSpan w:val="3"/>
            <w:vAlign w:val="center"/>
          </w:tcPr>
          <w:p>
            <w:pPr>
              <w:pStyle w:val="13"/>
            </w:pPr>
            <w:r>
              <w:t>不动产数据成果更新完善及登记系统维护费用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44.60</w:t>
            </w:r>
          </w:p>
        </w:tc>
        <w:tc>
          <w:tcPr>
            <w:tcW w:w="2835" w:type="dxa"/>
            <w:vAlign w:val="center"/>
          </w:tcPr>
          <w:p>
            <w:pPr>
              <w:pStyle w:val="11"/>
            </w:pPr>
            <w:r>
              <w:t>其中：财政    资金</w:t>
            </w:r>
          </w:p>
        </w:tc>
        <w:tc>
          <w:tcPr>
            <w:tcW w:w="2551" w:type="dxa"/>
            <w:vAlign w:val="center"/>
          </w:tcPr>
          <w:p>
            <w:pPr>
              <w:pStyle w:val="13"/>
            </w:pPr>
            <w:r>
              <w:t>44.60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及时完成不动产数据的更新完善与维护，保障不动产登记工作的开展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1.及时完成不动产数据的更新完善与维护，保障不动产登记工作的开展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维护系统数量</w:t>
            </w:r>
          </w:p>
        </w:tc>
        <w:tc>
          <w:tcPr>
            <w:tcW w:w="5386" w:type="dxa"/>
            <w:vAlign w:val="center"/>
          </w:tcPr>
          <w:p>
            <w:pPr>
              <w:pStyle w:val="13"/>
            </w:pPr>
            <w:r>
              <w:t>需维护系统数量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故障排除率</w:t>
            </w:r>
          </w:p>
        </w:tc>
        <w:tc>
          <w:tcPr>
            <w:tcW w:w="5386" w:type="dxa"/>
            <w:vAlign w:val="center"/>
          </w:tcPr>
          <w:p>
            <w:pPr>
              <w:pStyle w:val="13"/>
            </w:pPr>
            <w:r>
              <w:t>排除故障次数/发生故障次数*100%</w:t>
            </w:r>
          </w:p>
        </w:tc>
        <w:tc>
          <w:tcPr>
            <w:tcW w:w="2268" w:type="dxa"/>
            <w:vAlign w:val="center"/>
          </w:tcPr>
          <w:p>
            <w:pPr>
              <w:pStyle w:val="13"/>
            </w:pPr>
            <w:r>
              <w:t>&gt;90%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故障维护及时性</w:t>
            </w:r>
          </w:p>
        </w:tc>
        <w:tc>
          <w:tcPr>
            <w:tcW w:w="5386" w:type="dxa"/>
            <w:vAlign w:val="center"/>
          </w:tcPr>
          <w:p>
            <w:pPr>
              <w:pStyle w:val="13"/>
            </w:pPr>
            <w:r>
              <w:t>几日之内修复</w:t>
            </w:r>
          </w:p>
        </w:tc>
        <w:tc>
          <w:tcPr>
            <w:tcW w:w="2268" w:type="dxa"/>
            <w:vAlign w:val="center"/>
          </w:tcPr>
          <w:p>
            <w:pPr>
              <w:pStyle w:val="13"/>
            </w:pPr>
            <w:r>
              <w:t>≤3工作日</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预算资金成本</w:t>
            </w:r>
          </w:p>
        </w:tc>
        <w:tc>
          <w:tcPr>
            <w:tcW w:w="5386" w:type="dxa"/>
            <w:vAlign w:val="center"/>
          </w:tcPr>
          <w:p>
            <w:pPr>
              <w:pStyle w:val="13"/>
            </w:pPr>
            <w:r>
              <w:t>委托第三方所需要成本</w:t>
            </w:r>
          </w:p>
        </w:tc>
        <w:tc>
          <w:tcPr>
            <w:tcW w:w="2268" w:type="dxa"/>
            <w:vAlign w:val="center"/>
          </w:tcPr>
          <w:p>
            <w:pPr>
              <w:pStyle w:val="13"/>
            </w:pPr>
            <w:r>
              <w:t>≤44.6万元/年</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投诉率</w:t>
            </w:r>
          </w:p>
        </w:tc>
        <w:tc>
          <w:tcPr>
            <w:tcW w:w="5386" w:type="dxa"/>
            <w:vAlign w:val="center"/>
          </w:tcPr>
          <w:p>
            <w:pPr>
              <w:pStyle w:val="13"/>
            </w:pPr>
            <w:r>
              <w:t>服务投诉率</w:t>
            </w:r>
          </w:p>
        </w:tc>
        <w:tc>
          <w:tcPr>
            <w:tcW w:w="2268" w:type="dxa"/>
            <w:vAlign w:val="center"/>
          </w:tcPr>
          <w:p>
            <w:pPr>
              <w:pStyle w:val="13"/>
            </w:pPr>
            <w:r>
              <w:t>≤5%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不动产登记中心满意度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3、高速、高铁、国省公路两侧500米绿化带建设工程占地补绩效目标表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13010925P00000810045K</w:t>
            </w:r>
          </w:p>
        </w:tc>
        <w:tc>
          <w:tcPr>
            <w:tcW w:w="2835" w:type="dxa"/>
            <w:vAlign w:val="center"/>
          </w:tcPr>
          <w:p>
            <w:pPr>
              <w:pStyle w:val="11"/>
            </w:pPr>
            <w:r>
              <w:t>项目名称</w:t>
            </w:r>
          </w:p>
        </w:tc>
        <w:tc>
          <w:tcPr>
            <w:tcW w:w="6095" w:type="dxa"/>
            <w:gridSpan w:val="3"/>
            <w:vAlign w:val="center"/>
          </w:tcPr>
          <w:p>
            <w:pPr>
              <w:pStyle w:val="13"/>
            </w:pPr>
            <w:r>
              <w:t>高速、高铁、国省公路两侧500米绿化带建设工程占地补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1588.50</w:t>
            </w:r>
          </w:p>
        </w:tc>
        <w:tc>
          <w:tcPr>
            <w:tcW w:w="2835" w:type="dxa"/>
            <w:vAlign w:val="center"/>
          </w:tcPr>
          <w:p>
            <w:pPr>
              <w:pStyle w:val="11"/>
            </w:pPr>
            <w:r>
              <w:t>其中：财政    资金</w:t>
            </w:r>
          </w:p>
        </w:tc>
        <w:tc>
          <w:tcPr>
            <w:tcW w:w="2551" w:type="dxa"/>
            <w:vAlign w:val="center"/>
          </w:tcPr>
          <w:p>
            <w:pPr>
              <w:pStyle w:val="13"/>
            </w:pPr>
            <w:r>
              <w:t>1588.50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1.通过对高速、高铁、国省公路两侧进行绿化带建设，改善了两侧的生态环境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造林绿化面积</w:t>
            </w:r>
          </w:p>
        </w:tc>
        <w:tc>
          <w:tcPr>
            <w:tcW w:w="5386" w:type="dxa"/>
            <w:vAlign w:val="center"/>
          </w:tcPr>
          <w:p>
            <w:pPr>
              <w:pStyle w:val="13"/>
            </w:pPr>
            <w:r>
              <w:t>京石、石济高铁、黄石高速、定魏线两侧造林面积</w:t>
            </w:r>
          </w:p>
        </w:tc>
        <w:tc>
          <w:tcPr>
            <w:tcW w:w="2268" w:type="dxa"/>
            <w:vAlign w:val="center"/>
          </w:tcPr>
          <w:p>
            <w:pPr>
              <w:pStyle w:val="13"/>
            </w:pPr>
            <w:r>
              <w:t>≤3.32万亩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绿化带占地补贴兑现时间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≤900元/亩</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4、京港澳高速公路两侧绿化带及环城林带建设项目占地补绩效目标表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13010925P00000810047T</w:t>
            </w:r>
          </w:p>
        </w:tc>
        <w:tc>
          <w:tcPr>
            <w:tcW w:w="2835" w:type="dxa"/>
            <w:vAlign w:val="center"/>
          </w:tcPr>
          <w:p>
            <w:pPr>
              <w:pStyle w:val="11"/>
            </w:pPr>
            <w:r>
              <w:t>项目名称</w:t>
            </w:r>
          </w:p>
        </w:tc>
        <w:tc>
          <w:tcPr>
            <w:tcW w:w="6095" w:type="dxa"/>
            <w:gridSpan w:val="3"/>
            <w:vAlign w:val="center"/>
          </w:tcPr>
          <w:p>
            <w:pPr>
              <w:pStyle w:val="13"/>
            </w:pPr>
            <w:r>
              <w:t>京港澳高速公路两侧绿化带及环城林带建设项目占地补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1.通过对京港澳高速公路两侧进行林带建设，改善生态环境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环城林带造林面积</w:t>
            </w:r>
          </w:p>
        </w:tc>
        <w:tc>
          <w:tcPr>
            <w:tcW w:w="2268" w:type="dxa"/>
            <w:vAlign w:val="center"/>
          </w:tcPr>
          <w:p>
            <w:pPr>
              <w:pStyle w:val="13"/>
            </w:pPr>
            <w:r>
              <w:t>≤32000亩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环城绿化带占地补贴兑现时间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≤600元/亩/年</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5、京港澳高速景观林带管护费绩效目标表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13010925P000008100511</w:t>
            </w:r>
          </w:p>
        </w:tc>
        <w:tc>
          <w:tcPr>
            <w:tcW w:w="2835" w:type="dxa"/>
            <w:vAlign w:val="center"/>
          </w:tcPr>
          <w:p>
            <w:pPr>
              <w:pStyle w:val="11"/>
            </w:pPr>
            <w:r>
              <w:t>项目名称</w:t>
            </w:r>
          </w:p>
        </w:tc>
        <w:tc>
          <w:tcPr>
            <w:tcW w:w="6095" w:type="dxa"/>
            <w:gridSpan w:val="3"/>
            <w:vAlign w:val="center"/>
          </w:tcPr>
          <w:p>
            <w:pPr>
              <w:pStyle w:val="13"/>
            </w:pPr>
            <w:r>
              <w:t>京港澳高速景观林带管护费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用于对京港澳高速景观林带的管护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1.对京港澳高速的景观林带进行管护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管护面积</w:t>
            </w:r>
          </w:p>
        </w:tc>
        <w:tc>
          <w:tcPr>
            <w:tcW w:w="5386" w:type="dxa"/>
            <w:vAlign w:val="center"/>
          </w:tcPr>
          <w:p>
            <w:pPr>
              <w:pStyle w:val="13"/>
            </w:pPr>
            <w:r>
              <w:t>京港澳高速景观林带管护面积</w:t>
            </w:r>
          </w:p>
        </w:tc>
        <w:tc>
          <w:tcPr>
            <w:tcW w:w="2268" w:type="dxa"/>
            <w:vAlign w:val="center"/>
          </w:tcPr>
          <w:p>
            <w:pPr>
              <w:pStyle w:val="13"/>
            </w:pPr>
            <w:r>
              <w:t>≥1168亩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森林抚育质量合格率</w:t>
            </w:r>
          </w:p>
        </w:tc>
        <w:tc>
          <w:tcPr>
            <w:tcW w:w="5386" w:type="dxa"/>
            <w:vAlign w:val="center"/>
          </w:tcPr>
          <w:p>
            <w:pPr>
              <w:pStyle w:val="13"/>
            </w:pPr>
            <w:r>
              <w:t>森林合格抚育面积占森防抚育完成面积的比率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费用兑现时间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养护成本</w:t>
            </w:r>
          </w:p>
        </w:tc>
        <w:tc>
          <w:tcPr>
            <w:tcW w:w="5386" w:type="dxa"/>
            <w:vAlign w:val="center"/>
          </w:tcPr>
          <w:p>
            <w:pPr>
              <w:pStyle w:val="13"/>
            </w:pPr>
            <w:r>
              <w:t>景观林养护成本</w:t>
            </w:r>
          </w:p>
        </w:tc>
        <w:tc>
          <w:tcPr>
            <w:tcW w:w="2268" w:type="dxa"/>
            <w:vAlign w:val="center"/>
          </w:tcPr>
          <w:p>
            <w:pPr>
              <w:pStyle w:val="13"/>
            </w:pPr>
            <w:r>
              <w:t>≥550元/亩/年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6、京石高铁、石黄及307国道、京港澳高速绿化带占地补绩效目标表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13010925P00000810042Q</w:t>
            </w:r>
          </w:p>
        </w:tc>
        <w:tc>
          <w:tcPr>
            <w:tcW w:w="2835" w:type="dxa"/>
            <w:vAlign w:val="center"/>
          </w:tcPr>
          <w:p>
            <w:pPr>
              <w:pStyle w:val="11"/>
            </w:pPr>
            <w:r>
              <w:t>项目名称</w:t>
            </w:r>
          </w:p>
        </w:tc>
        <w:tc>
          <w:tcPr>
            <w:tcW w:w="6095" w:type="dxa"/>
            <w:gridSpan w:val="3"/>
            <w:vAlign w:val="center"/>
          </w:tcPr>
          <w:p>
            <w:pPr>
              <w:pStyle w:val="13"/>
            </w:pPr>
            <w:r>
              <w:t>京石高铁、石黄及307国道、京港澳高速绿化带占地补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1.通过对高铁高速两侧进行林带建设，改善生态环境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京石高铁、石黄、京港澳高速两侧造林面积</w:t>
            </w:r>
          </w:p>
        </w:tc>
        <w:tc>
          <w:tcPr>
            <w:tcW w:w="2268" w:type="dxa"/>
            <w:vAlign w:val="center"/>
          </w:tcPr>
          <w:p>
            <w:pPr>
              <w:pStyle w:val="13"/>
            </w:pPr>
            <w:r>
              <w:t>≤12980亩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京石高铁、石黄、京港澳高速两侧绿化带占地补贴兑现时间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≤1126元/亩/年</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7、劳务派遣和保安保洁人员工资绩效目标表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13010925P000008100492</w:t>
            </w:r>
          </w:p>
        </w:tc>
        <w:tc>
          <w:tcPr>
            <w:tcW w:w="2835" w:type="dxa"/>
            <w:vAlign w:val="center"/>
          </w:tcPr>
          <w:p>
            <w:pPr>
              <w:pStyle w:val="11"/>
            </w:pPr>
            <w:r>
              <w:t>项目名称</w:t>
            </w:r>
          </w:p>
        </w:tc>
        <w:tc>
          <w:tcPr>
            <w:tcW w:w="6095" w:type="dxa"/>
            <w:gridSpan w:val="3"/>
            <w:vAlign w:val="center"/>
          </w:tcPr>
          <w:p>
            <w:pPr>
              <w:pStyle w:val="13"/>
            </w:pPr>
            <w:r>
              <w:t>劳务派遣和保安保洁人员工资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用于发放劳务派遣人员工资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1.通过发放劳务派遣人员工资，保障工作顺利开展，增强自然资源工作水平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本单位劳务派遣人员数量</w:t>
            </w:r>
          </w:p>
        </w:tc>
        <w:tc>
          <w:tcPr>
            <w:tcW w:w="5386" w:type="dxa"/>
            <w:vAlign w:val="center"/>
          </w:tcPr>
          <w:p>
            <w:pPr>
              <w:pStyle w:val="13"/>
            </w:pPr>
            <w:r>
              <w:t>共有劳务派遣和保安保洁人员人数</w:t>
            </w:r>
          </w:p>
        </w:tc>
        <w:tc>
          <w:tcPr>
            <w:tcW w:w="2268" w:type="dxa"/>
            <w:vAlign w:val="center"/>
          </w:tcPr>
          <w:p>
            <w:pPr>
              <w:pStyle w:val="13"/>
            </w:pPr>
            <w:r>
              <w:t>≤48人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已发放数占应发数的比率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发放工资的及时性</w:t>
            </w:r>
          </w:p>
        </w:tc>
        <w:tc>
          <w:tcPr>
            <w:tcW w:w="5386" w:type="dxa"/>
            <w:vAlign w:val="center"/>
          </w:tcPr>
          <w:p>
            <w:pPr>
              <w:pStyle w:val="13"/>
            </w:pPr>
            <w:r>
              <w:t>及时足额为职工发放工资、缴纳保险</w:t>
            </w:r>
          </w:p>
        </w:tc>
        <w:tc>
          <w:tcPr>
            <w:tcW w:w="2268" w:type="dxa"/>
            <w:vAlign w:val="center"/>
          </w:tcPr>
          <w:p>
            <w:pPr>
              <w:pStyle w:val="13"/>
            </w:pPr>
            <w:r>
              <w:t>2025年1月-12月进行发放</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派遣、保洁人员工资标准</w:t>
            </w:r>
          </w:p>
        </w:tc>
        <w:tc>
          <w:tcPr>
            <w:tcW w:w="5386" w:type="dxa"/>
            <w:vAlign w:val="center"/>
          </w:tcPr>
          <w:p>
            <w:pPr>
              <w:pStyle w:val="13"/>
            </w:pPr>
            <w:r>
              <w:t>单位资金成本</w:t>
            </w:r>
          </w:p>
        </w:tc>
        <w:tc>
          <w:tcPr>
            <w:tcW w:w="2268" w:type="dxa"/>
            <w:vAlign w:val="center"/>
          </w:tcPr>
          <w:p>
            <w:pPr>
              <w:pStyle w:val="13"/>
            </w:pPr>
            <w:r>
              <w:t>≥2.4万元/人/年</w:t>
            </w:r>
          </w:p>
        </w:tc>
        <w:tc>
          <w:tcPr>
            <w:tcW w:w="1276" w:type="dxa"/>
            <w:vAlign w:val="center"/>
          </w:tcPr>
          <w:p>
            <w:pPr>
              <w:pStyle w:val="13"/>
            </w:pPr>
            <w:r>
              <w:t>预算成本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w:t>
            </w:r>
          </w:p>
        </w:tc>
        <w:tc>
          <w:tcPr>
            <w:tcW w:w="5386" w:type="dxa"/>
            <w:vAlign w:val="center"/>
          </w:tcPr>
          <w:p>
            <w:pPr>
              <w:pStyle w:val="13"/>
            </w:pPr>
            <w:r>
              <w:t>单位工作顺利开展</w:t>
            </w:r>
          </w:p>
        </w:tc>
        <w:tc>
          <w:tcPr>
            <w:tcW w:w="2268" w:type="dxa"/>
            <w:vAlign w:val="center"/>
          </w:tcPr>
          <w:p>
            <w:pPr>
              <w:pStyle w:val="13"/>
            </w:pPr>
            <w:r>
              <w:t>保障业务能力提升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调查中满意和较满意的劳务派遣人员数占全部调查劳务派遣人员数的比率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8、林业有害生物生物防控、义务植树资金绩效目标表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13010925P00000810076T</w:t>
            </w:r>
          </w:p>
        </w:tc>
        <w:tc>
          <w:tcPr>
            <w:tcW w:w="2835" w:type="dxa"/>
            <w:vAlign w:val="center"/>
          </w:tcPr>
          <w:p>
            <w:pPr>
              <w:pStyle w:val="11"/>
            </w:pPr>
            <w:r>
              <w:t>项目名称</w:t>
            </w:r>
          </w:p>
        </w:tc>
        <w:tc>
          <w:tcPr>
            <w:tcW w:w="6095" w:type="dxa"/>
            <w:gridSpan w:val="3"/>
            <w:vAlign w:val="center"/>
          </w:tcPr>
          <w:p>
            <w:pPr>
              <w:pStyle w:val="13"/>
            </w:pPr>
            <w:r>
              <w:t>林业有害生物生物防控、义务植树资金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用于对林业进行有害生物防控，和植树活动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1.对林业进行有害生物防控和增加植树面积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防控面积</w:t>
            </w:r>
          </w:p>
        </w:tc>
        <w:tc>
          <w:tcPr>
            <w:tcW w:w="5386" w:type="dxa"/>
            <w:vAlign w:val="center"/>
          </w:tcPr>
          <w:p>
            <w:pPr>
              <w:pStyle w:val="13"/>
            </w:pPr>
            <w:r>
              <w:t>林业有害生物防控面积</w:t>
            </w:r>
          </w:p>
        </w:tc>
        <w:tc>
          <w:tcPr>
            <w:tcW w:w="2268" w:type="dxa"/>
            <w:vAlign w:val="center"/>
          </w:tcPr>
          <w:p>
            <w:pPr>
              <w:pStyle w:val="13"/>
            </w:pPr>
            <w:r>
              <w:t>≤6000亩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林业有害生物预测预报准确率</w:t>
            </w:r>
          </w:p>
        </w:tc>
        <w:tc>
          <w:tcPr>
            <w:tcW w:w="5386" w:type="dxa"/>
            <w:vAlign w:val="center"/>
          </w:tcPr>
          <w:p>
            <w:pPr>
              <w:pStyle w:val="13"/>
            </w:pPr>
            <w:r>
              <w:t>林业有害生物预测发生面积与实际发生面积比例</w:t>
            </w:r>
          </w:p>
        </w:tc>
        <w:tc>
          <w:tcPr>
            <w:tcW w:w="2268" w:type="dxa"/>
            <w:vAlign w:val="center"/>
          </w:tcPr>
          <w:p>
            <w:pPr>
              <w:pStyle w:val="13"/>
            </w:pPr>
            <w:r>
              <w:t>≥85%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费用支出时间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防控和植树所需资金</w:t>
            </w:r>
          </w:p>
        </w:tc>
        <w:tc>
          <w:tcPr>
            <w:tcW w:w="2268" w:type="dxa"/>
            <w:vAlign w:val="center"/>
          </w:tcPr>
          <w:p>
            <w:pPr>
              <w:pStyle w:val="13"/>
            </w:pPr>
            <w:r>
              <w:t>≤15万元/年</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林业有害生物成灾控制率</w:t>
            </w:r>
          </w:p>
        </w:tc>
        <w:tc>
          <w:tcPr>
            <w:tcW w:w="5386" w:type="dxa"/>
            <w:vAlign w:val="center"/>
          </w:tcPr>
          <w:p>
            <w:pPr>
              <w:pStyle w:val="13"/>
            </w:pPr>
            <w:r>
              <w:t>全区林业有害生物灾害发生面积与全市森林面积的比率</w:t>
            </w:r>
          </w:p>
        </w:tc>
        <w:tc>
          <w:tcPr>
            <w:tcW w:w="2268" w:type="dxa"/>
            <w:vAlign w:val="center"/>
          </w:tcPr>
          <w:p>
            <w:pPr>
              <w:pStyle w:val="13"/>
            </w:pPr>
            <w:r>
              <w:t>≤4‰</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9、聘请第三方服务经费绩效目标表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13010925P00000810043C</w:t>
            </w:r>
          </w:p>
        </w:tc>
        <w:tc>
          <w:tcPr>
            <w:tcW w:w="2835" w:type="dxa"/>
            <w:vAlign w:val="center"/>
          </w:tcPr>
          <w:p>
            <w:pPr>
              <w:pStyle w:val="11"/>
            </w:pPr>
            <w:r>
              <w:t>项目名称</w:t>
            </w:r>
          </w:p>
        </w:tc>
        <w:tc>
          <w:tcPr>
            <w:tcW w:w="6095" w:type="dxa"/>
            <w:gridSpan w:val="3"/>
            <w:vAlign w:val="center"/>
          </w:tcPr>
          <w:p>
            <w:pPr>
              <w:pStyle w:val="13"/>
            </w:pPr>
            <w:r>
              <w:t>聘请第三方服务经费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955.40</w:t>
            </w:r>
          </w:p>
        </w:tc>
        <w:tc>
          <w:tcPr>
            <w:tcW w:w="2835" w:type="dxa"/>
            <w:vAlign w:val="center"/>
          </w:tcPr>
          <w:p>
            <w:pPr>
              <w:pStyle w:val="11"/>
            </w:pPr>
            <w:r>
              <w:t>其中：财政    资金</w:t>
            </w:r>
          </w:p>
        </w:tc>
        <w:tc>
          <w:tcPr>
            <w:tcW w:w="2551" w:type="dxa"/>
            <w:vAlign w:val="center"/>
          </w:tcPr>
          <w:p>
            <w:pPr>
              <w:pStyle w:val="13"/>
            </w:pPr>
            <w:r>
              <w:t>955.40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用于支付聘请第三方服务经费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1.用于支付单位聘请第三方服务经费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单位项目数量</w:t>
            </w:r>
          </w:p>
        </w:tc>
        <w:tc>
          <w:tcPr>
            <w:tcW w:w="5386" w:type="dxa"/>
            <w:vAlign w:val="center"/>
          </w:tcPr>
          <w:p>
            <w:pPr>
              <w:pStyle w:val="13"/>
            </w:pPr>
            <w:r>
              <w:t>需要第三方机构来提供服务的项目数</w:t>
            </w:r>
          </w:p>
        </w:tc>
        <w:tc>
          <w:tcPr>
            <w:tcW w:w="2268" w:type="dxa"/>
            <w:vAlign w:val="center"/>
          </w:tcPr>
          <w:p>
            <w:pPr>
              <w:pStyle w:val="13"/>
            </w:pPr>
            <w:r>
              <w:t>≤50个</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项目形成报告率</w:t>
            </w:r>
          </w:p>
        </w:tc>
        <w:tc>
          <w:tcPr>
            <w:tcW w:w="5386" w:type="dxa"/>
            <w:vAlign w:val="center"/>
          </w:tcPr>
          <w:p>
            <w:pPr>
              <w:pStyle w:val="13"/>
            </w:pPr>
            <w:r>
              <w:t>形成成果或报告的数量占所有项目的比率</w:t>
            </w:r>
          </w:p>
        </w:tc>
        <w:tc>
          <w:tcPr>
            <w:tcW w:w="2268" w:type="dxa"/>
            <w:vAlign w:val="center"/>
          </w:tcPr>
          <w:p>
            <w:pPr>
              <w:pStyle w:val="13"/>
            </w:pPr>
            <w:r>
              <w:t>100%</w:t>
            </w:r>
          </w:p>
        </w:tc>
        <w:tc>
          <w:tcPr>
            <w:tcW w:w="1276" w:type="dxa"/>
            <w:vAlign w:val="center"/>
          </w:tcPr>
          <w:p>
            <w:pPr>
              <w:pStyle w:val="13"/>
            </w:pPr>
            <w:r>
              <w:t>验收报告或成果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未按时完成项目比率</w:t>
            </w:r>
          </w:p>
        </w:tc>
        <w:tc>
          <w:tcPr>
            <w:tcW w:w="5386" w:type="dxa"/>
            <w:vAlign w:val="center"/>
          </w:tcPr>
          <w:p>
            <w:pPr>
              <w:pStyle w:val="13"/>
            </w:pPr>
            <w:r>
              <w:t>未按时完成项目数量占全部项目的比率</w:t>
            </w:r>
          </w:p>
        </w:tc>
        <w:tc>
          <w:tcPr>
            <w:tcW w:w="2268" w:type="dxa"/>
            <w:vAlign w:val="center"/>
          </w:tcPr>
          <w:p>
            <w:pPr>
              <w:pStyle w:val="13"/>
            </w:pPr>
            <w:r>
              <w:t>≤5%</w:t>
            </w:r>
          </w:p>
        </w:tc>
        <w:tc>
          <w:tcPr>
            <w:tcW w:w="1276" w:type="dxa"/>
            <w:vAlign w:val="center"/>
          </w:tcPr>
          <w:p>
            <w:pPr>
              <w:pStyle w:val="13"/>
            </w:pPr>
            <w:r>
              <w:t>合同约定实施进度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单一项目成本</w:t>
            </w:r>
          </w:p>
        </w:tc>
        <w:tc>
          <w:tcPr>
            <w:tcW w:w="5386" w:type="dxa"/>
            <w:vAlign w:val="center"/>
          </w:tcPr>
          <w:p>
            <w:pPr>
              <w:pStyle w:val="13"/>
            </w:pPr>
            <w:r>
              <w:t>平均每个项目成本</w:t>
            </w:r>
          </w:p>
        </w:tc>
        <w:tc>
          <w:tcPr>
            <w:tcW w:w="2268" w:type="dxa"/>
            <w:vAlign w:val="center"/>
          </w:tcPr>
          <w:p>
            <w:pPr>
              <w:pStyle w:val="13"/>
            </w:pPr>
            <w:r>
              <w:t>≤19.1万元/个</w:t>
            </w:r>
          </w:p>
        </w:tc>
        <w:tc>
          <w:tcPr>
            <w:tcW w:w="1276" w:type="dxa"/>
            <w:vAlign w:val="center"/>
          </w:tcPr>
          <w:p>
            <w:pPr>
              <w:pStyle w:val="13"/>
            </w:pPr>
            <w:r>
              <w:t>合同规定及领导批示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第三方提供专业服务</w:t>
            </w:r>
          </w:p>
        </w:tc>
        <w:tc>
          <w:tcPr>
            <w:tcW w:w="5386" w:type="dxa"/>
            <w:vAlign w:val="center"/>
          </w:tcPr>
          <w:p>
            <w:pPr>
              <w:pStyle w:val="13"/>
            </w:pPr>
            <w:r>
              <w:t>第三方提供专业服务对项目所带来的经济效益</w:t>
            </w:r>
          </w:p>
        </w:tc>
        <w:tc>
          <w:tcPr>
            <w:tcW w:w="2268" w:type="dxa"/>
            <w:vAlign w:val="center"/>
          </w:tcPr>
          <w:p>
            <w:pPr>
              <w:pStyle w:val="13"/>
            </w:pPr>
            <w:r>
              <w:t>提供专业服务</w:t>
            </w:r>
          </w:p>
        </w:tc>
        <w:tc>
          <w:tcPr>
            <w:tcW w:w="1276" w:type="dxa"/>
            <w:vAlign w:val="center"/>
          </w:tcPr>
          <w:p>
            <w:pPr>
              <w:pStyle w:val="13"/>
            </w:pPr>
            <w:r>
              <w:t>签订合同约定的服务内容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对机构服务的满意度</w:t>
            </w:r>
          </w:p>
        </w:tc>
        <w:tc>
          <w:tcPr>
            <w:tcW w:w="5386" w:type="dxa"/>
            <w:vAlign w:val="center"/>
          </w:tcPr>
          <w:p>
            <w:pPr>
              <w:pStyle w:val="13"/>
            </w:pPr>
            <w:r>
              <w:t>第三方开展工作的满意数量占所开展项目数量的比率</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10、三环路绿化地占地补绩效目标表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13010925P00000810059X</w:t>
            </w:r>
          </w:p>
        </w:tc>
        <w:tc>
          <w:tcPr>
            <w:tcW w:w="2835" w:type="dxa"/>
            <w:vAlign w:val="center"/>
          </w:tcPr>
          <w:p>
            <w:pPr>
              <w:pStyle w:val="11"/>
            </w:pPr>
            <w:r>
              <w:t>项目名称</w:t>
            </w:r>
          </w:p>
        </w:tc>
        <w:tc>
          <w:tcPr>
            <w:tcW w:w="6095" w:type="dxa"/>
            <w:gridSpan w:val="3"/>
            <w:vAlign w:val="center"/>
          </w:tcPr>
          <w:p>
            <w:pPr>
              <w:pStyle w:val="13"/>
            </w:pPr>
            <w:r>
              <w:t>三环路绿化地占地补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1.通过对三环路两侧进行绿化带建设，改善生态环境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三环路绿化造林面积</w:t>
            </w:r>
          </w:p>
        </w:tc>
        <w:tc>
          <w:tcPr>
            <w:tcW w:w="2268" w:type="dxa"/>
            <w:vAlign w:val="center"/>
          </w:tcPr>
          <w:p>
            <w:pPr>
              <w:pStyle w:val="13"/>
            </w:pPr>
            <w:r>
              <w:t>375亩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三环路绿化带占地补贴兑现时间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≤200元/亩</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11、省县道绿化带占地补绩效目标表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13010925P00000810035P</w:t>
            </w:r>
          </w:p>
        </w:tc>
        <w:tc>
          <w:tcPr>
            <w:tcW w:w="2835" w:type="dxa"/>
            <w:vAlign w:val="center"/>
          </w:tcPr>
          <w:p>
            <w:pPr>
              <w:pStyle w:val="11"/>
            </w:pPr>
            <w:r>
              <w:t>项目名称</w:t>
            </w:r>
          </w:p>
        </w:tc>
        <w:tc>
          <w:tcPr>
            <w:tcW w:w="6095" w:type="dxa"/>
            <w:gridSpan w:val="3"/>
            <w:vAlign w:val="center"/>
          </w:tcPr>
          <w:p>
            <w:pPr>
              <w:pStyle w:val="13"/>
            </w:pPr>
            <w:r>
              <w:t>省县道绿化带占地补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1.通过对省县道两侧进行造林绿化，改善两侧环境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造林绿化面积</w:t>
            </w:r>
          </w:p>
        </w:tc>
        <w:tc>
          <w:tcPr>
            <w:tcW w:w="5386" w:type="dxa"/>
            <w:vAlign w:val="center"/>
          </w:tcPr>
          <w:p>
            <w:pPr>
              <w:pStyle w:val="13"/>
            </w:pPr>
            <w:r>
              <w:t>省县道绿化面积</w:t>
            </w:r>
          </w:p>
        </w:tc>
        <w:tc>
          <w:tcPr>
            <w:tcW w:w="2268" w:type="dxa"/>
            <w:vAlign w:val="center"/>
          </w:tcPr>
          <w:p>
            <w:pPr>
              <w:pStyle w:val="13"/>
            </w:pPr>
            <w:r>
              <w:t>≤4138亩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发放占地补贴标准</w:t>
            </w:r>
          </w:p>
        </w:tc>
        <w:tc>
          <w:tcPr>
            <w:tcW w:w="2268" w:type="dxa"/>
            <w:vAlign w:val="center"/>
          </w:tcPr>
          <w:p>
            <w:pPr>
              <w:pStyle w:val="13"/>
            </w:pPr>
            <w:r>
              <w:t>≤600元/亩/年</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12、石财城[2022]66号土地整治专项资金绩效目标表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13010925P00000510001L</w:t>
            </w:r>
          </w:p>
        </w:tc>
        <w:tc>
          <w:tcPr>
            <w:tcW w:w="2835" w:type="dxa"/>
            <w:vAlign w:val="center"/>
          </w:tcPr>
          <w:p>
            <w:pPr>
              <w:pStyle w:val="11"/>
            </w:pPr>
            <w:r>
              <w:t>项目名称</w:t>
            </w:r>
          </w:p>
        </w:tc>
        <w:tc>
          <w:tcPr>
            <w:tcW w:w="6095" w:type="dxa"/>
            <w:gridSpan w:val="3"/>
            <w:vAlign w:val="center"/>
          </w:tcPr>
          <w:p>
            <w:pPr>
              <w:pStyle w:val="13"/>
            </w:pPr>
            <w:r>
              <w:t>石财城[2022]66号土地整治专项资金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697.17</w:t>
            </w:r>
          </w:p>
        </w:tc>
        <w:tc>
          <w:tcPr>
            <w:tcW w:w="2835" w:type="dxa"/>
            <w:vAlign w:val="center"/>
          </w:tcPr>
          <w:p>
            <w:pPr>
              <w:pStyle w:val="11"/>
            </w:pPr>
            <w:r>
              <w:t>其中：财政    资金</w:t>
            </w:r>
          </w:p>
        </w:tc>
        <w:tc>
          <w:tcPr>
            <w:tcW w:w="2551" w:type="dxa"/>
            <w:vAlign w:val="center"/>
          </w:tcPr>
          <w:p>
            <w:pPr>
              <w:pStyle w:val="13"/>
            </w:pPr>
            <w:r>
              <w:t>697.17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用于支付新增建设用地有偿使用费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返还比例</w:t>
            </w:r>
          </w:p>
        </w:tc>
        <w:tc>
          <w:tcPr>
            <w:tcW w:w="5386" w:type="dxa"/>
            <w:vAlign w:val="center"/>
          </w:tcPr>
          <w:p>
            <w:pPr>
              <w:pStyle w:val="13"/>
            </w:pPr>
            <w:r>
              <w:t>新增建设用地土地有偿使用费返还比例</w:t>
            </w:r>
          </w:p>
        </w:tc>
        <w:tc>
          <w:tcPr>
            <w:tcW w:w="2268" w:type="dxa"/>
            <w:vAlign w:val="center"/>
          </w:tcPr>
          <w:p>
            <w:pPr>
              <w:pStyle w:val="13"/>
            </w:pPr>
            <w:r>
              <w:t>25%</w:t>
            </w:r>
          </w:p>
        </w:tc>
        <w:tc>
          <w:tcPr>
            <w:tcW w:w="1276" w:type="dxa"/>
            <w:vAlign w:val="center"/>
          </w:tcPr>
          <w:p>
            <w:pPr>
              <w:pStyle w:val="13"/>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资金返还完成比例</w:t>
            </w:r>
          </w:p>
        </w:tc>
        <w:tc>
          <w:tcPr>
            <w:tcW w:w="5386" w:type="dxa"/>
            <w:vAlign w:val="center"/>
          </w:tcPr>
          <w:p>
            <w:pPr>
              <w:pStyle w:val="13"/>
            </w:pPr>
            <w:r>
              <w:t>资金返还完成比例</w:t>
            </w:r>
          </w:p>
        </w:tc>
        <w:tc>
          <w:tcPr>
            <w:tcW w:w="2268" w:type="dxa"/>
            <w:vAlign w:val="center"/>
          </w:tcPr>
          <w:p>
            <w:pPr>
              <w:pStyle w:val="13"/>
            </w:pPr>
            <w:r>
              <w:t>≥90%</w:t>
            </w:r>
          </w:p>
        </w:tc>
        <w:tc>
          <w:tcPr>
            <w:tcW w:w="1276" w:type="dxa"/>
            <w:vAlign w:val="center"/>
          </w:tcPr>
          <w:p>
            <w:pPr>
              <w:pStyle w:val="13"/>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及时返还</w:t>
            </w:r>
          </w:p>
        </w:tc>
        <w:tc>
          <w:tcPr>
            <w:tcW w:w="5386" w:type="dxa"/>
            <w:vAlign w:val="center"/>
          </w:tcPr>
          <w:p>
            <w:pPr>
              <w:pStyle w:val="13"/>
            </w:pPr>
            <w:r>
              <w:t>资金及时返还到位</w:t>
            </w:r>
          </w:p>
        </w:tc>
        <w:tc>
          <w:tcPr>
            <w:tcW w:w="2268" w:type="dxa"/>
            <w:vAlign w:val="center"/>
          </w:tcPr>
          <w:p>
            <w:pPr>
              <w:pStyle w:val="13"/>
            </w:pPr>
            <w:r>
              <w:t>2024年12月兑现</w:t>
            </w:r>
          </w:p>
        </w:tc>
        <w:tc>
          <w:tcPr>
            <w:tcW w:w="1276" w:type="dxa"/>
            <w:vAlign w:val="center"/>
          </w:tcPr>
          <w:p>
            <w:pPr>
              <w:pStyle w:val="13"/>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每次返还土地有偿使用费数额</w:t>
            </w:r>
          </w:p>
        </w:tc>
        <w:tc>
          <w:tcPr>
            <w:tcW w:w="2268" w:type="dxa"/>
            <w:vAlign w:val="center"/>
          </w:tcPr>
          <w:p>
            <w:pPr>
              <w:pStyle w:val="13"/>
            </w:pPr>
            <w:r>
              <w:t>≤697.16万元/次</w:t>
            </w:r>
          </w:p>
        </w:tc>
        <w:tc>
          <w:tcPr>
            <w:tcW w:w="1276" w:type="dxa"/>
            <w:vAlign w:val="center"/>
          </w:tcPr>
          <w:p>
            <w:pPr>
              <w:pStyle w:val="13"/>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保障全区重点建设项目顺利实施</w:t>
            </w:r>
          </w:p>
        </w:tc>
        <w:tc>
          <w:tcPr>
            <w:tcW w:w="2268" w:type="dxa"/>
            <w:vAlign w:val="center"/>
          </w:tcPr>
          <w:p>
            <w:pPr>
              <w:pStyle w:val="13"/>
            </w:pPr>
            <w:r>
              <w:t>顺利实施项目</w:t>
            </w:r>
          </w:p>
        </w:tc>
        <w:tc>
          <w:tcPr>
            <w:tcW w:w="1276" w:type="dxa"/>
            <w:vAlign w:val="center"/>
          </w:tcPr>
          <w:p>
            <w:pPr>
              <w:pStyle w:val="13"/>
            </w:pPr>
            <w:r>
              <w:t>石财城【2022】66号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资金使用对象满意度</w:t>
            </w:r>
          </w:p>
        </w:tc>
        <w:tc>
          <w:tcPr>
            <w:tcW w:w="5386" w:type="dxa"/>
            <w:vAlign w:val="center"/>
          </w:tcPr>
          <w:p>
            <w:pPr>
              <w:pStyle w:val="13"/>
            </w:pPr>
            <w:r>
              <w:t>调查中满意和较满意对象占全部调查对象的比例</w:t>
            </w:r>
          </w:p>
        </w:tc>
        <w:tc>
          <w:tcPr>
            <w:tcW w:w="2268" w:type="dxa"/>
            <w:vAlign w:val="center"/>
          </w:tcPr>
          <w:p>
            <w:pPr>
              <w:pStyle w:val="13"/>
            </w:pPr>
            <w:r>
              <w:t>≥95%</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13、石财城[2023]42号下达2023年新增建设用地土地有偿使用费绩效目标表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13010925P00000510004F</w:t>
            </w:r>
          </w:p>
        </w:tc>
        <w:tc>
          <w:tcPr>
            <w:tcW w:w="2835" w:type="dxa"/>
            <w:vAlign w:val="center"/>
          </w:tcPr>
          <w:p>
            <w:pPr>
              <w:pStyle w:val="11"/>
            </w:pPr>
            <w:r>
              <w:t>项目名称</w:t>
            </w:r>
          </w:p>
        </w:tc>
        <w:tc>
          <w:tcPr>
            <w:tcW w:w="6095" w:type="dxa"/>
            <w:gridSpan w:val="3"/>
            <w:vAlign w:val="center"/>
          </w:tcPr>
          <w:p>
            <w:pPr>
              <w:pStyle w:val="13"/>
            </w:pPr>
            <w:r>
              <w:t>石财城[2023]42号下达2023年新增建设用地土地有偿使用费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120.40</w:t>
            </w:r>
          </w:p>
        </w:tc>
        <w:tc>
          <w:tcPr>
            <w:tcW w:w="2835" w:type="dxa"/>
            <w:vAlign w:val="center"/>
          </w:tcPr>
          <w:p>
            <w:pPr>
              <w:pStyle w:val="11"/>
            </w:pPr>
            <w:r>
              <w:t>其中：财政    资金</w:t>
            </w:r>
          </w:p>
        </w:tc>
        <w:tc>
          <w:tcPr>
            <w:tcW w:w="2551" w:type="dxa"/>
            <w:vAlign w:val="center"/>
          </w:tcPr>
          <w:p>
            <w:pPr>
              <w:pStyle w:val="13"/>
            </w:pPr>
            <w:r>
              <w:t>120.40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用于下达建设用地有偿使用费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1.及时下达新增建设用地有偿使用费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返还比例</w:t>
            </w:r>
          </w:p>
        </w:tc>
        <w:tc>
          <w:tcPr>
            <w:tcW w:w="5386" w:type="dxa"/>
            <w:vAlign w:val="center"/>
          </w:tcPr>
          <w:p>
            <w:pPr>
              <w:pStyle w:val="13"/>
            </w:pPr>
            <w:r>
              <w:t>新增建设用地土地有偿使用费返还比例</w:t>
            </w:r>
          </w:p>
        </w:tc>
        <w:tc>
          <w:tcPr>
            <w:tcW w:w="2268" w:type="dxa"/>
            <w:vAlign w:val="center"/>
          </w:tcPr>
          <w:p>
            <w:pPr>
              <w:pStyle w:val="13"/>
            </w:pPr>
            <w:r>
              <w:t>25%</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资金返还完成比例</w:t>
            </w:r>
          </w:p>
        </w:tc>
        <w:tc>
          <w:tcPr>
            <w:tcW w:w="5386" w:type="dxa"/>
            <w:vAlign w:val="center"/>
          </w:tcPr>
          <w:p>
            <w:pPr>
              <w:pStyle w:val="13"/>
            </w:pPr>
            <w:r>
              <w:t>资金返还完成比例</w:t>
            </w:r>
          </w:p>
        </w:tc>
        <w:tc>
          <w:tcPr>
            <w:tcW w:w="2268" w:type="dxa"/>
            <w:vAlign w:val="center"/>
          </w:tcPr>
          <w:p>
            <w:pPr>
              <w:pStyle w:val="13"/>
            </w:pPr>
            <w:r>
              <w:t>≥90%</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及时返还</w:t>
            </w:r>
          </w:p>
        </w:tc>
        <w:tc>
          <w:tcPr>
            <w:tcW w:w="5386" w:type="dxa"/>
            <w:vAlign w:val="center"/>
          </w:tcPr>
          <w:p>
            <w:pPr>
              <w:pStyle w:val="13"/>
            </w:pPr>
            <w:r>
              <w:t>资金及时到位</w:t>
            </w:r>
          </w:p>
        </w:tc>
        <w:tc>
          <w:tcPr>
            <w:tcW w:w="2268" w:type="dxa"/>
            <w:vAlign w:val="center"/>
          </w:tcPr>
          <w:p>
            <w:pPr>
              <w:pStyle w:val="13"/>
            </w:pPr>
            <w:r>
              <w:t>2025年12月完成</w:t>
            </w:r>
          </w:p>
        </w:tc>
        <w:tc>
          <w:tcPr>
            <w:tcW w:w="1276" w:type="dxa"/>
            <w:vAlign w:val="center"/>
          </w:tcPr>
          <w:p>
            <w:pPr>
              <w:pStyle w:val="13"/>
            </w:pPr>
            <w:r>
              <w:t>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土地有偿使用费数额</w:t>
            </w:r>
          </w:p>
        </w:tc>
        <w:tc>
          <w:tcPr>
            <w:tcW w:w="2268" w:type="dxa"/>
            <w:vAlign w:val="center"/>
          </w:tcPr>
          <w:p>
            <w:pPr>
              <w:pStyle w:val="13"/>
            </w:pPr>
            <w:r>
              <w:t>120.4万元</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保障全区重点建设项目顺利实施</w:t>
            </w:r>
          </w:p>
        </w:tc>
        <w:tc>
          <w:tcPr>
            <w:tcW w:w="2268" w:type="dxa"/>
            <w:vAlign w:val="center"/>
          </w:tcPr>
          <w:p>
            <w:pPr>
              <w:pStyle w:val="13"/>
            </w:pPr>
            <w:r>
              <w:t>顺利实施项目</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资金使用对象满意度</w:t>
            </w:r>
          </w:p>
        </w:tc>
        <w:tc>
          <w:tcPr>
            <w:tcW w:w="5386" w:type="dxa"/>
            <w:vAlign w:val="center"/>
          </w:tcPr>
          <w:p>
            <w:pPr>
              <w:pStyle w:val="13"/>
            </w:pPr>
            <w:r>
              <w:t>调查中满意和较满意对象占全部调查对象的比例</w:t>
            </w:r>
          </w:p>
        </w:tc>
        <w:tc>
          <w:tcPr>
            <w:tcW w:w="2268" w:type="dxa"/>
            <w:vAlign w:val="center"/>
          </w:tcPr>
          <w:p>
            <w:pPr>
              <w:pStyle w:val="13"/>
            </w:pPr>
            <w:r>
              <w:t>≥95%</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14、石财城[2023]42号下达2023年新增建设用地有偿使用费绩效目标表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13010925P000005100053</w:t>
            </w:r>
          </w:p>
        </w:tc>
        <w:tc>
          <w:tcPr>
            <w:tcW w:w="2835" w:type="dxa"/>
            <w:vAlign w:val="center"/>
          </w:tcPr>
          <w:p>
            <w:pPr>
              <w:pStyle w:val="11"/>
            </w:pPr>
            <w:r>
              <w:t>项目名称</w:t>
            </w:r>
          </w:p>
        </w:tc>
        <w:tc>
          <w:tcPr>
            <w:tcW w:w="6095" w:type="dxa"/>
            <w:gridSpan w:val="3"/>
            <w:vAlign w:val="center"/>
          </w:tcPr>
          <w:p>
            <w:pPr>
              <w:pStyle w:val="13"/>
            </w:pPr>
            <w:r>
              <w:t>石财城[2023]42号下达2023年新增建设用地有偿使用费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693.60</w:t>
            </w:r>
          </w:p>
        </w:tc>
        <w:tc>
          <w:tcPr>
            <w:tcW w:w="2835" w:type="dxa"/>
            <w:vAlign w:val="center"/>
          </w:tcPr>
          <w:p>
            <w:pPr>
              <w:pStyle w:val="11"/>
            </w:pPr>
            <w:r>
              <w:t>其中：财政    资金</w:t>
            </w:r>
          </w:p>
        </w:tc>
        <w:tc>
          <w:tcPr>
            <w:tcW w:w="2551" w:type="dxa"/>
            <w:vAlign w:val="center"/>
          </w:tcPr>
          <w:p>
            <w:pPr>
              <w:pStyle w:val="13"/>
            </w:pPr>
            <w:r>
              <w:t>693.60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用于下达新增建设用地有偿使用费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1.及时下达新增建设用地有偿使用费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返还比例</w:t>
            </w:r>
          </w:p>
        </w:tc>
        <w:tc>
          <w:tcPr>
            <w:tcW w:w="5386" w:type="dxa"/>
            <w:vAlign w:val="center"/>
          </w:tcPr>
          <w:p>
            <w:pPr>
              <w:pStyle w:val="13"/>
            </w:pPr>
            <w:r>
              <w:t>新增建设用地土地有偿使用费返还比例</w:t>
            </w:r>
          </w:p>
        </w:tc>
        <w:tc>
          <w:tcPr>
            <w:tcW w:w="2268" w:type="dxa"/>
            <w:vAlign w:val="center"/>
          </w:tcPr>
          <w:p>
            <w:pPr>
              <w:pStyle w:val="13"/>
            </w:pPr>
            <w:r>
              <w:t>25%</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资金返还完成比例</w:t>
            </w:r>
          </w:p>
        </w:tc>
        <w:tc>
          <w:tcPr>
            <w:tcW w:w="5386" w:type="dxa"/>
            <w:vAlign w:val="center"/>
          </w:tcPr>
          <w:p>
            <w:pPr>
              <w:pStyle w:val="13"/>
            </w:pPr>
            <w:r>
              <w:t>资金返还完成比例</w:t>
            </w:r>
          </w:p>
        </w:tc>
        <w:tc>
          <w:tcPr>
            <w:tcW w:w="2268" w:type="dxa"/>
            <w:vAlign w:val="center"/>
          </w:tcPr>
          <w:p>
            <w:pPr>
              <w:pStyle w:val="13"/>
            </w:pPr>
            <w:r>
              <w:t>≥90%</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及时返还</w:t>
            </w:r>
          </w:p>
        </w:tc>
        <w:tc>
          <w:tcPr>
            <w:tcW w:w="5386" w:type="dxa"/>
            <w:vAlign w:val="center"/>
          </w:tcPr>
          <w:p>
            <w:pPr>
              <w:pStyle w:val="13"/>
            </w:pPr>
            <w:r>
              <w:t>资金及时到位</w:t>
            </w:r>
          </w:p>
        </w:tc>
        <w:tc>
          <w:tcPr>
            <w:tcW w:w="2268" w:type="dxa"/>
            <w:vAlign w:val="center"/>
          </w:tcPr>
          <w:p>
            <w:pPr>
              <w:pStyle w:val="13"/>
            </w:pPr>
            <w:r>
              <w:t>2025年12月完成</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土地有偿使用费数额</w:t>
            </w:r>
          </w:p>
        </w:tc>
        <w:tc>
          <w:tcPr>
            <w:tcW w:w="2268" w:type="dxa"/>
            <w:vAlign w:val="center"/>
          </w:tcPr>
          <w:p>
            <w:pPr>
              <w:pStyle w:val="13"/>
            </w:pPr>
            <w:r>
              <w:t>693.6万元</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保障全区重点建设项目顺利实施</w:t>
            </w:r>
          </w:p>
        </w:tc>
        <w:tc>
          <w:tcPr>
            <w:tcW w:w="2268" w:type="dxa"/>
            <w:vAlign w:val="center"/>
          </w:tcPr>
          <w:p>
            <w:pPr>
              <w:pStyle w:val="13"/>
            </w:pPr>
            <w:r>
              <w:t>顺利实施项目</w:t>
            </w:r>
          </w:p>
        </w:tc>
        <w:tc>
          <w:tcPr>
            <w:tcW w:w="1276" w:type="dxa"/>
            <w:vAlign w:val="center"/>
          </w:tcPr>
          <w:p>
            <w:pPr>
              <w:pStyle w:val="13"/>
            </w:pPr>
            <w:r>
              <w:t>石财城【2023】42号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资金使用对象满意度</w:t>
            </w:r>
          </w:p>
        </w:tc>
        <w:tc>
          <w:tcPr>
            <w:tcW w:w="5386" w:type="dxa"/>
            <w:vAlign w:val="center"/>
          </w:tcPr>
          <w:p>
            <w:pPr>
              <w:pStyle w:val="13"/>
            </w:pPr>
            <w:r>
              <w:t>调查中满意和较满意对象占全部调查对象的比例</w:t>
            </w:r>
          </w:p>
        </w:tc>
        <w:tc>
          <w:tcPr>
            <w:tcW w:w="2268" w:type="dxa"/>
            <w:vAlign w:val="center"/>
          </w:tcPr>
          <w:p>
            <w:pPr>
              <w:pStyle w:val="13"/>
            </w:pPr>
            <w:r>
              <w:t>≥95%</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15、石财城[2024]74号提前下达2025年土地整治专项资金绩效目标表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13010925P00000910101L</w:t>
            </w:r>
          </w:p>
        </w:tc>
        <w:tc>
          <w:tcPr>
            <w:tcW w:w="2835" w:type="dxa"/>
            <w:vAlign w:val="center"/>
          </w:tcPr>
          <w:p>
            <w:pPr>
              <w:pStyle w:val="11"/>
            </w:pPr>
            <w:r>
              <w:t>项目名称</w:t>
            </w:r>
          </w:p>
        </w:tc>
        <w:tc>
          <w:tcPr>
            <w:tcW w:w="6095" w:type="dxa"/>
            <w:gridSpan w:val="3"/>
            <w:vAlign w:val="center"/>
          </w:tcPr>
          <w:p>
            <w:pPr>
              <w:pStyle w:val="13"/>
            </w:pPr>
            <w:r>
              <w:t>石财城[2024]74号提前下达2025年土地整治专项资金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及时下达新增建设用地土地有偿使用费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返还资金笔数</w:t>
            </w:r>
          </w:p>
        </w:tc>
        <w:tc>
          <w:tcPr>
            <w:tcW w:w="5386" w:type="dxa"/>
            <w:vAlign w:val="center"/>
          </w:tcPr>
          <w:p>
            <w:pPr>
              <w:pStyle w:val="13"/>
            </w:pPr>
            <w:r>
              <w:t>新增建设用地土地有偿使用费返还笔数</w:t>
            </w:r>
          </w:p>
        </w:tc>
        <w:tc>
          <w:tcPr>
            <w:tcW w:w="2268" w:type="dxa"/>
            <w:vAlign w:val="center"/>
          </w:tcPr>
          <w:p>
            <w:pPr>
              <w:pStyle w:val="13"/>
            </w:pPr>
            <w:r>
              <w:t>1笔</w:t>
            </w:r>
          </w:p>
        </w:tc>
        <w:tc>
          <w:tcPr>
            <w:tcW w:w="1276" w:type="dxa"/>
            <w:vAlign w:val="center"/>
          </w:tcPr>
          <w:p>
            <w:pPr>
              <w:pStyle w:val="13"/>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资金返还完成比例</w:t>
            </w:r>
          </w:p>
        </w:tc>
        <w:tc>
          <w:tcPr>
            <w:tcW w:w="5386" w:type="dxa"/>
            <w:vAlign w:val="center"/>
          </w:tcPr>
          <w:p>
            <w:pPr>
              <w:pStyle w:val="13"/>
            </w:pPr>
            <w:r>
              <w:t>资金返还完成比例</w:t>
            </w:r>
          </w:p>
        </w:tc>
        <w:tc>
          <w:tcPr>
            <w:tcW w:w="2268" w:type="dxa"/>
            <w:vAlign w:val="center"/>
          </w:tcPr>
          <w:p>
            <w:pPr>
              <w:pStyle w:val="13"/>
            </w:pPr>
            <w:r>
              <w:t>≥90%</w:t>
            </w:r>
          </w:p>
        </w:tc>
        <w:tc>
          <w:tcPr>
            <w:tcW w:w="1276" w:type="dxa"/>
            <w:vAlign w:val="center"/>
          </w:tcPr>
          <w:p>
            <w:pPr>
              <w:pStyle w:val="13"/>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及时返还</w:t>
            </w:r>
          </w:p>
        </w:tc>
        <w:tc>
          <w:tcPr>
            <w:tcW w:w="5386" w:type="dxa"/>
            <w:vAlign w:val="center"/>
          </w:tcPr>
          <w:p>
            <w:pPr>
              <w:pStyle w:val="13"/>
            </w:pPr>
            <w:r>
              <w:t>资金及时到位</w:t>
            </w:r>
          </w:p>
        </w:tc>
        <w:tc>
          <w:tcPr>
            <w:tcW w:w="2268" w:type="dxa"/>
            <w:vAlign w:val="center"/>
          </w:tcPr>
          <w:p>
            <w:pPr>
              <w:pStyle w:val="13"/>
            </w:pPr>
            <w:r>
              <w:t>2025年12月兑现</w:t>
            </w:r>
          </w:p>
        </w:tc>
        <w:tc>
          <w:tcPr>
            <w:tcW w:w="1276" w:type="dxa"/>
            <w:vAlign w:val="center"/>
          </w:tcPr>
          <w:p>
            <w:pPr>
              <w:pStyle w:val="13"/>
            </w:pPr>
            <w:r>
              <w:t>拨付凭证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土地有偿使用费数额</w:t>
            </w:r>
          </w:p>
        </w:tc>
        <w:tc>
          <w:tcPr>
            <w:tcW w:w="2268" w:type="dxa"/>
            <w:vAlign w:val="center"/>
          </w:tcPr>
          <w:p>
            <w:pPr>
              <w:pStyle w:val="13"/>
            </w:pPr>
            <w:r>
              <w:t>≤1000万元/笔</w:t>
            </w:r>
          </w:p>
        </w:tc>
        <w:tc>
          <w:tcPr>
            <w:tcW w:w="1276" w:type="dxa"/>
            <w:vAlign w:val="center"/>
          </w:tcPr>
          <w:p>
            <w:pPr>
              <w:pStyle w:val="13"/>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保障全区重点建设项目顺利实施</w:t>
            </w:r>
          </w:p>
        </w:tc>
        <w:tc>
          <w:tcPr>
            <w:tcW w:w="2268" w:type="dxa"/>
            <w:vAlign w:val="center"/>
          </w:tcPr>
          <w:p>
            <w:pPr>
              <w:pStyle w:val="13"/>
            </w:pPr>
            <w:r>
              <w:t>保障项目顺利实施</w:t>
            </w:r>
          </w:p>
        </w:tc>
        <w:tc>
          <w:tcPr>
            <w:tcW w:w="1276" w:type="dxa"/>
            <w:vAlign w:val="center"/>
          </w:tcPr>
          <w:p>
            <w:pPr>
              <w:pStyle w:val="13"/>
            </w:pPr>
            <w:r>
              <w:t>石财城【2024】74号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资金使用对象满意度</w:t>
            </w:r>
          </w:p>
        </w:tc>
        <w:tc>
          <w:tcPr>
            <w:tcW w:w="5386" w:type="dxa"/>
            <w:vAlign w:val="center"/>
          </w:tcPr>
          <w:p>
            <w:pPr>
              <w:pStyle w:val="13"/>
            </w:pPr>
            <w:r>
              <w:t>调查中满意和较满意对象占全部调查对象的比例</w:t>
            </w:r>
          </w:p>
        </w:tc>
        <w:tc>
          <w:tcPr>
            <w:tcW w:w="2268" w:type="dxa"/>
            <w:vAlign w:val="center"/>
          </w:tcPr>
          <w:p>
            <w:pPr>
              <w:pStyle w:val="13"/>
            </w:pPr>
            <w:r>
              <w:t>≥95%</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16、石财城【2023】50号提前下达2024年土地整治专项资金（新增建设用地土地使用费）绩效目标表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13010924P00000110415Y</w:t>
            </w:r>
          </w:p>
        </w:tc>
        <w:tc>
          <w:tcPr>
            <w:tcW w:w="2835" w:type="dxa"/>
            <w:vAlign w:val="center"/>
          </w:tcPr>
          <w:p>
            <w:pPr>
              <w:pStyle w:val="11"/>
            </w:pPr>
            <w:r>
              <w:t>项目名称</w:t>
            </w:r>
          </w:p>
        </w:tc>
        <w:tc>
          <w:tcPr>
            <w:tcW w:w="6095" w:type="dxa"/>
            <w:gridSpan w:val="3"/>
            <w:vAlign w:val="center"/>
          </w:tcPr>
          <w:p>
            <w:pPr>
              <w:pStyle w:val="13"/>
            </w:pPr>
            <w:r>
              <w:t>石财城【2023】50号提前下达2024年土地整治专项资金（新增建设用地土地使用费）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194.00</w:t>
            </w:r>
          </w:p>
        </w:tc>
        <w:tc>
          <w:tcPr>
            <w:tcW w:w="2835" w:type="dxa"/>
            <w:vAlign w:val="center"/>
          </w:tcPr>
          <w:p>
            <w:pPr>
              <w:pStyle w:val="11"/>
            </w:pPr>
            <w:r>
              <w:t>其中：财政    资金</w:t>
            </w:r>
          </w:p>
        </w:tc>
        <w:tc>
          <w:tcPr>
            <w:tcW w:w="2551" w:type="dxa"/>
            <w:vAlign w:val="center"/>
          </w:tcPr>
          <w:p>
            <w:pPr>
              <w:pStyle w:val="13"/>
            </w:pPr>
            <w:r>
              <w:t>194.00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用于及时下达新增建设用地土地有偿使用费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1.用于及时下达新增建设用地土地有偿使用费</w:t>
            </w:r>
          </w:p>
          <w:p>
            <w:pPr>
              <w:pStyle w:val="13"/>
            </w:pPr>
            <w:r>
              <w:t>2.用于及时下达新增建设用地土地有偿使用费</w:t>
            </w:r>
          </w:p>
          <w:p>
            <w:pPr>
              <w:pStyle w:val="13"/>
            </w:pPr>
            <w:r>
              <w:t>3.用于及时下达新增建设用地土地有偿使用费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返还资金笔数</w:t>
            </w:r>
          </w:p>
        </w:tc>
        <w:tc>
          <w:tcPr>
            <w:tcW w:w="5386" w:type="dxa"/>
            <w:vAlign w:val="center"/>
          </w:tcPr>
          <w:p>
            <w:pPr>
              <w:pStyle w:val="13"/>
            </w:pPr>
            <w:r>
              <w:t>新增建设用地土地有偿使用费返还笔数</w:t>
            </w:r>
          </w:p>
        </w:tc>
        <w:tc>
          <w:tcPr>
            <w:tcW w:w="2268" w:type="dxa"/>
            <w:vAlign w:val="center"/>
          </w:tcPr>
          <w:p>
            <w:pPr>
              <w:pStyle w:val="13"/>
            </w:pPr>
            <w:r>
              <w:t>1笔</w:t>
            </w:r>
          </w:p>
        </w:tc>
        <w:tc>
          <w:tcPr>
            <w:tcW w:w="1276" w:type="dxa"/>
            <w:vAlign w:val="center"/>
          </w:tcPr>
          <w:p>
            <w:pPr>
              <w:pStyle w:val="13"/>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资金返还完成比例</w:t>
            </w:r>
          </w:p>
        </w:tc>
        <w:tc>
          <w:tcPr>
            <w:tcW w:w="5386" w:type="dxa"/>
            <w:vAlign w:val="center"/>
          </w:tcPr>
          <w:p>
            <w:pPr>
              <w:pStyle w:val="13"/>
            </w:pPr>
            <w:r>
              <w:t>资金返还完成比例</w:t>
            </w:r>
          </w:p>
        </w:tc>
        <w:tc>
          <w:tcPr>
            <w:tcW w:w="2268" w:type="dxa"/>
            <w:vAlign w:val="center"/>
          </w:tcPr>
          <w:p>
            <w:pPr>
              <w:pStyle w:val="13"/>
            </w:pPr>
            <w:r>
              <w:t>≥90%</w:t>
            </w:r>
          </w:p>
        </w:tc>
        <w:tc>
          <w:tcPr>
            <w:tcW w:w="1276" w:type="dxa"/>
            <w:vAlign w:val="center"/>
          </w:tcPr>
          <w:p>
            <w:pPr>
              <w:pStyle w:val="13"/>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及时返还</w:t>
            </w:r>
          </w:p>
        </w:tc>
        <w:tc>
          <w:tcPr>
            <w:tcW w:w="5386" w:type="dxa"/>
            <w:vAlign w:val="center"/>
          </w:tcPr>
          <w:p>
            <w:pPr>
              <w:pStyle w:val="13"/>
            </w:pPr>
            <w:r>
              <w:t>资金及时到位</w:t>
            </w:r>
          </w:p>
        </w:tc>
        <w:tc>
          <w:tcPr>
            <w:tcW w:w="2268" w:type="dxa"/>
            <w:vAlign w:val="center"/>
          </w:tcPr>
          <w:p>
            <w:pPr>
              <w:pStyle w:val="13"/>
            </w:pPr>
            <w:r>
              <w:t>2025年12月兑现</w:t>
            </w:r>
          </w:p>
        </w:tc>
        <w:tc>
          <w:tcPr>
            <w:tcW w:w="1276" w:type="dxa"/>
            <w:vAlign w:val="center"/>
          </w:tcPr>
          <w:p>
            <w:pPr>
              <w:pStyle w:val="13"/>
            </w:pPr>
            <w:r>
              <w:t>拨付凭证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土地有偿使用费数额</w:t>
            </w:r>
          </w:p>
        </w:tc>
        <w:tc>
          <w:tcPr>
            <w:tcW w:w="2268" w:type="dxa"/>
            <w:vAlign w:val="center"/>
          </w:tcPr>
          <w:p>
            <w:pPr>
              <w:pStyle w:val="13"/>
            </w:pPr>
            <w:r>
              <w:t>≤194万元/批次</w:t>
            </w:r>
          </w:p>
        </w:tc>
        <w:tc>
          <w:tcPr>
            <w:tcW w:w="1276" w:type="dxa"/>
            <w:vAlign w:val="center"/>
          </w:tcPr>
          <w:p>
            <w:pPr>
              <w:pStyle w:val="13"/>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保障全区重点建设项目顺利实施</w:t>
            </w:r>
          </w:p>
        </w:tc>
        <w:tc>
          <w:tcPr>
            <w:tcW w:w="2268" w:type="dxa"/>
            <w:vAlign w:val="center"/>
          </w:tcPr>
          <w:p>
            <w:pPr>
              <w:pStyle w:val="13"/>
            </w:pPr>
            <w:r>
              <w:t>保障项目顺利实施</w:t>
            </w:r>
          </w:p>
        </w:tc>
        <w:tc>
          <w:tcPr>
            <w:tcW w:w="1276" w:type="dxa"/>
            <w:vAlign w:val="center"/>
          </w:tcPr>
          <w:p>
            <w:pPr>
              <w:pStyle w:val="13"/>
            </w:pPr>
            <w:r>
              <w:t>石财城【2023】50号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资金使用对象满意度</w:t>
            </w:r>
          </w:p>
        </w:tc>
        <w:tc>
          <w:tcPr>
            <w:tcW w:w="5386" w:type="dxa"/>
            <w:vAlign w:val="center"/>
          </w:tcPr>
          <w:p>
            <w:pPr>
              <w:pStyle w:val="13"/>
            </w:pPr>
            <w:r>
              <w:t>调查中满意和较满意对象占全部调查对象的比例</w:t>
            </w:r>
          </w:p>
        </w:tc>
        <w:tc>
          <w:tcPr>
            <w:tcW w:w="2268" w:type="dxa"/>
            <w:vAlign w:val="center"/>
          </w:tcPr>
          <w:p>
            <w:pPr>
              <w:pStyle w:val="13"/>
            </w:pPr>
            <w:r>
              <w:t>≥95%</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17、石财农[2022]100号提前下达2023年市级林业改革发展补助资金（环城林带建设项目）绩效目标表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13010925P00000410004R</w:t>
            </w:r>
          </w:p>
        </w:tc>
        <w:tc>
          <w:tcPr>
            <w:tcW w:w="2835" w:type="dxa"/>
            <w:vAlign w:val="center"/>
          </w:tcPr>
          <w:p>
            <w:pPr>
              <w:pStyle w:val="11"/>
            </w:pPr>
            <w:r>
              <w:t>项目名称</w:t>
            </w:r>
          </w:p>
        </w:tc>
        <w:tc>
          <w:tcPr>
            <w:tcW w:w="6095" w:type="dxa"/>
            <w:gridSpan w:val="3"/>
            <w:vAlign w:val="center"/>
          </w:tcPr>
          <w:p>
            <w:pPr>
              <w:pStyle w:val="13"/>
            </w:pPr>
            <w:r>
              <w:t>石财农[2022]100号提前下达2023年市级林业改革发展补助资金（环城林带建设项目）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1344.45</w:t>
            </w:r>
          </w:p>
        </w:tc>
        <w:tc>
          <w:tcPr>
            <w:tcW w:w="2835" w:type="dxa"/>
            <w:vAlign w:val="center"/>
          </w:tcPr>
          <w:p>
            <w:pPr>
              <w:pStyle w:val="11"/>
            </w:pPr>
            <w:r>
              <w:t>其中：财政    资金</w:t>
            </w:r>
          </w:p>
        </w:tc>
        <w:tc>
          <w:tcPr>
            <w:tcW w:w="2551" w:type="dxa"/>
            <w:vAlign w:val="center"/>
          </w:tcPr>
          <w:p>
            <w:pPr>
              <w:pStyle w:val="13"/>
            </w:pPr>
            <w:r>
              <w:t>1344.45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用于对高速两侧进行林带建设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1.通过京港澳高速两侧林带建设，改善了全区生态环境。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环城林带造林面积</w:t>
            </w:r>
          </w:p>
        </w:tc>
        <w:tc>
          <w:tcPr>
            <w:tcW w:w="2268" w:type="dxa"/>
            <w:vAlign w:val="center"/>
          </w:tcPr>
          <w:p>
            <w:pPr>
              <w:pStyle w:val="13"/>
            </w:pPr>
            <w:r>
              <w:t>31924亩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环城绿化带占地补贴兑现时间</w:t>
            </w:r>
          </w:p>
        </w:tc>
        <w:tc>
          <w:tcPr>
            <w:tcW w:w="2268" w:type="dxa"/>
            <w:vAlign w:val="center"/>
          </w:tcPr>
          <w:p>
            <w:pPr>
              <w:pStyle w:val="13"/>
            </w:pPr>
            <w:r>
              <w:t>2025年12月31日前兑现占地补贴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≤600元/亩</w:t>
            </w:r>
          </w:p>
        </w:tc>
        <w:tc>
          <w:tcPr>
            <w:tcW w:w="1276" w:type="dxa"/>
            <w:vAlign w:val="center"/>
          </w:tcPr>
          <w:p>
            <w:pPr>
              <w:pStyle w:val="13"/>
            </w:pPr>
            <w:r>
              <w:t>发放补贴表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18、石财农[2022]100号提前下达2023年市级林业改革发展补助资金（三环路绿化带占地补）绩效目标表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13010925P00000410001Y</w:t>
            </w:r>
          </w:p>
        </w:tc>
        <w:tc>
          <w:tcPr>
            <w:tcW w:w="2835" w:type="dxa"/>
            <w:vAlign w:val="center"/>
          </w:tcPr>
          <w:p>
            <w:pPr>
              <w:pStyle w:val="11"/>
            </w:pPr>
            <w:r>
              <w:t>项目名称</w:t>
            </w:r>
          </w:p>
        </w:tc>
        <w:tc>
          <w:tcPr>
            <w:tcW w:w="6095" w:type="dxa"/>
            <w:gridSpan w:val="3"/>
            <w:vAlign w:val="center"/>
          </w:tcPr>
          <w:p>
            <w:pPr>
              <w:pStyle w:val="13"/>
            </w:pPr>
            <w:r>
              <w:t>石财农[2022]100号提前下达2023年市级林业改革发展补助资金（三环路绿化带占地补）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34.37</w:t>
            </w:r>
          </w:p>
        </w:tc>
        <w:tc>
          <w:tcPr>
            <w:tcW w:w="2835" w:type="dxa"/>
            <w:vAlign w:val="center"/>
          </w:tcPr>
          <w:p>
            <w:pPr>
              <w:pStyle w:val="11"/>
            </w:pPr>
            <w:r>
              <w:t>其中：财政    资金</w:t>
            </w:r>
          </w:p>
        </w:tc>
        <w:tc>
          <w:tcPr>
            <w:tcW w:w="2551" w:type="dxa"/>
            <w:vAlign w:val="center"/>
          </w:tcPr>
          <w:p>
            <w:pPr>
              <w:pStyle w:val="13"/>
            </w:pPr>
            <w:r>
              <w:t>34.37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1.通过对三环路两侧进行林带建设，打造通道两侧绿色通行廊道，改善了全区生态环境。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三环路绿化造林面积</w:t>
            </w:r>
          </w:p>
        </w:tc>
        <w:tc>
          <w:tcPr>
            <w:tcW w:w="2268" w:type="dxa"/>
            <w:vAlign w:val="center"/>
          </w:tcPr>
          <w:p>
            <w:pPr>
              <w:pStyle w:val="13"/>
            </w:pPr>
            <w:r>
              <w:t>343.7亩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三环路绿化带占地补贴兑现时间</w:t>
            </w:r>
          </w:p>
        </w:tc>
        <w:tc>
          <w:tcPr>
            <w:tcW w:w="2268" w:type="dxa"/>
            <w:vAlign w:val="center"/>
          </w:tcPr>
          <w:p>
            <w:pPr>
              <w:pStyle w:val="13"/>
            </w:pPr>
            <w:r>
              <w:t>2025年12月31日前完成</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单位资金成本</w:t>
            </w:r>
          </w:p>
        </w:tc>
        <w:tc>
          <w:tcPr>
            <w:tcW w:w="2268" w:type="dxa"/>
            <w:vAlign w:val="center"/>
          </w:tcPr>
          <w:p>
            <w:pPr>
              <w:pStyle w:val="13"/>
            </w:pPr>
            <w:r>
              <w:t>≤1000元/亩</w:t>
            </w:r>
          </w:p>
        </w:tc>
        <w:tc>
          <w:tcPr>
            <w:tcW w:w="1276" w:type="dxa"/>
            <w:vAlign w:val="center"/>
          </w:tcPr>
          <w:p>
            <w:pPr>
              <w:pStyle w:val="13"/>
            </w:pPr>
            <w:r>
              <w:t>补贴发放表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19、石财农[2024]81号提前下达2025年中央财政林业草原改革发展资金（林业有害生物防治补助）绩效目标表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13010925P00000910121C</w:t>
            </w:r>
          </w:p>
        </w:tc>
        <w:tc>
          <w:tcPr>
            <w:tcW w:w="2835" w:type="dxa"/>
            <w:vAlign w:val="center"/>
          </w:tcPr>
          <w:p>
            <w:pPr>
              <w:pStyle w:val="11"/>
            </w:pPr>
            <w:r>
              <w:t>项目名称</w:t>
            </w:r>
          </w:p>
        </w:tc>
        <w:tc>
          <w:tcPr>
            <w:tcW w:w="6095" w:type="dxa"/>
            <w:gridSpan w:val="3"/>
            <w:vAlign w:val="center"/>
          </w:tcPr>
          <w:p>
            <w:pPr>
              <w:pStyle w:val="13"/>
            </w:pPr>
            <w:r>
              <w:t>石财农[2024]81号提前下达2025年中央财政林业草原改革发展资金（林业有害生物防治补助）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用于林业有害生物的防灾减灾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1.进行有害生物防控，防灾减灾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防控面积</w:t>
            </w:r>
          </w:p>
        </w:tc>
        <w:tc>
          <w:tcPr>
            <w:tcW w:w="5386" w:type="dxa"/>
            <w:vAlign w:val="center"/>
          </w:tcPr>
          <w:p>
            <w:pPr>
              <w:pStyle w:val="13"/>
            </w:pPr>
            <w:r>
              <w:t>林业有害生物防控面积</w:t>
            </w:r>
          </w:p>
        </w:tc>
        <w:tc>
          <w:tcPr>
            <w:tcW w:w="2268" w:type="dxa"/>
            <w:vAlign w:val="center"/>
          </w:tcPr>
          <w:p>
            <w:pPr>
              <w:pStyle w:val="13"/>
            </w:pPr>
            <w:r>
              <w:t>≤2.6万亩次</w:t>
            </w:r>
          </w:p>
        </w:tc>
        <w:tc>
          <w:tcPr>
            <w:tcW w:w="1276" w:type="dxa"/>
            <w:vAlign w:val="center"/>
          </w:tcPr>
          <w:p>
            <w:pPr>
              <w:pStyle w:val="13"/>
            </w:pPr>
            <w:r>
              <w:t>石财农【2024】81号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林业有害生物预测预报准确率</w:t>
            </w:r>
          </w:p>
        </w:tc>
        <w:tc>
          <w:tcPr>
            <w:tcW w:w="5386" w:type="dxa"/>
            <w:vAlign w:val="center"/>
          </w:tcPr>
          <w:p>
            <w:pPr>
              <w:pStyle w:val="13"/>
            </w:pPr>
            <w:r>
              <w:t>主要林业有害生物成灾率</w:t>
            </w:r>
          </w:p>
        </w:tc>
        <w:tc>
          <w:tcPr>
            <w:tcW w:w="2268" w:type="dxa"/>
            <w:vAlign w:val="center"/>
          </w:tcPr>
          <w:p>
            <w:pPr>
              <w:pStyle w:val="13"/>
            </w:pPr>
            <w:r>
              <w:t>≤4‰</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林业有害生物防控当期任务完成率</w:t>
            </w:r>
          </w:p>
        </w:tc>
        <w:tc>
          <w:tcPr>
            <w:tcW w:w="2268" w:type="dxa"/>
            <w:vAlign w:val="center"/>
          </w:tcPr>
          <w:p>
            <w:pPr>
              <w:pStyle w:val="13"/>
            </w:pPr>
            <w:r>
              <w:t>≥80%</w:t>
            </w:r>
          </w:p>
        </w:tc>
        <w:tc>
          <w:tcPr>
            <w:tcW w:w="1276" w:type="dxa"/>
            <w:vAlign w:val="center"/>
          </w:tcPr>
          <w:p>
            <w:pPr>
              <w:pStyle w:val="13"/>
            </w:pPr>
            <w:r>
              <w:t>石财农【2024】81号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有害生物防治资金</w:t>
            </w:r>
          </w:p>
        </w:tc>
        <w:tc>
          <w:tcPr>
            <w:tcW w:w="2268" w:type="dxa"/>
            <w:vAlign w:val="center"/>
          </w:tcPr>
          <w:p>
            <w:pPr>
              <w:pStyle w:val="13"/>
            </w:pPr>
            <w:r>
              <w:t>≤3.84元/亩</w:t>
            </w:r>
          </w:p>
        </w:tc>
        <w:tc>
          <w:tcPr>
            <w:tcW w:w="1276" w:type="dxa"/>
            <w:vAlign w:val="center"/>
          </w:tcPr>
          <w:p>
            <w:pPr>
              <w:pStyle w:val="13"/>
            </w:pPr>
            <w:r>
              <w:t>石财农【2024】81号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林业有害生物成灾控制率</w:t>
            </w:r>
          </w:p>
        </w:tc>
        <w:tc>
          <w:tcPr>
            <w:tcW w:w="5386" w:type="dxa"/>
            <w:vAlign w:val="center"/>
          </w:tcPr>
          <w:p>
            <w:pPr>
              <w:pStyle w:val="13"/>
            </w:pPr>
            <w:r>
              <w:t>有害生物防控生态效益发挥效果</w:t>
            </w:r>
          </w:p>
        </w:tc>
        <w:tc>
          <w:tcPr>
            <w:tcW w:w="2268" w:type="dxa"/>
            <w:vAlign w:val="center"/>
          </w:tcPr>
          <w:p>
            <w:pPr>
              <w:pStyle w:val="13"/>
            </w:pPr>
            <w:r>
              <w:t>效果明显</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项目参与人员及项目周边群众满意度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20、石财农[2024]81号提前下达2025年中央财政林业草原改革发展资金（全国性林草湿荒监测普查）绩效目标表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13010925P000009101176</w:t>
            </w:r>
          </w:p>
        </w:tc>
        <w:tc>
          <w:tcPr>
            <w:tcW w:w="2835" w:type="dxa"/>
            <w:vAlign w:val="center"/>
          </w:tcPr>
          <w:p>
            <w:pPr>
              <w:pStyle w:val="11"/>
            </w:pPr>
            <w:r>
              <w:t>项目名称</w:t>
            </w:r>
          </w:p>
        </w:tc>
        <w:tc>
          <w:tcPr>
            <w:tcW w:w="6095" w:type="dxa"/>
            <w:gridSpan w:val="3"/>
            <w:vAlign w:val="center"/>
          </w:tcPr>
          <w:p>
            <w:pPr>
              <w:pStyle w:val="13"/>
            </w:pPr>
            <w:r>
              <w:t>石财农[2024]81号提前下达2025年中央财政林业草原改革发展资金（全国性林草湿荒监测普查）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3.41</w:t>
            </w:r>
          </w:p>
        </w:tc>
        <w:tc>
          <w:tcPr>
            <w:tcW w:w="2835" w:type="dxa"/>
            <w:vAlign w:val="center"/>
          </w:tcPr>
          <w:p>
            <w:pPr>
              <w:pStyle w:val="11"/>
            </w:pPr>
            <w:r>
              <w:t>其中：财政    资金</w:t>
            </w:r>
          </w:p>
        </w:tc>
        <w:tc>
          <w:tcPr>
            <w:tcW w:w="2551" w:type="dxa"/>
            <w:vAlign w:val="center"/>
          </w:tcPr>
          <w:p>
            <w:pPr>
              <w:pStyle w:val="13"/>
            </w:pPr>
            <w:r>
              <w:t>3.41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用于监测林草湿地并进行核查与整改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1.通过下发图斑，进行核查与整改，监测林草湿地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监测面积</w:t>
            </w:r>
          </w:p>
        </w:tc>
        <w:tc>
          <w:tcPr>
            <w:tcW w:w="5386" w:type="dxa"/>
            <w:vAlign w:val="center"/>
          </w:tcPr>
          <w:p>
            <w:pPr>
              <w:pStyle w:val="13"/>
            </w:pPr>
            <w:r>
              <w:t>监测面积</w:t>
            </w:r>
          </w:p>
        </w:tc>
        <w:tc>
          <w:tcPr>
            <w:tcW w:w="2268" w:type="dxa"/>
            <w:vAlign w:val="center"/>
          </w:tcPr>
          <w:p>
            <w:pPr>
              <w:pStyle w:val="13"/>
            </w:pPr>
            <w:r>
              <w:t>≤6万亩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已完成监测面积占全部面积的比率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费用兑现时间</w:t>
            </w:r>
          </w:p>
        </w:tc>
        <w:tc>
          <w:tcPr>
            <w:tcW w:w="2268" w:type="dxa"/>
            <w:vAlign w:val="center"/>
          </w:tcPr>
          <w:p>
            <w:pPr>
              <w:pStyle w:val="13"/>
            </w:pPr>
            <w:r>
              <w:t>2025年12月31日前兑现</w:t>
            </w:r>
          </w:p>
        </w:tc>
        <w:tc>
          <w:tcPr>
            <w:tcW w:w="1276" w:type="dxa"/>
            <w:vAlign w:val="center"/>
          </w:tcPr>
          <w:p>
            <w:pPr>
              <w:pStyle w:val="13"/>
            </w:pPr>
            <w:r>
              <w:t>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单位资金成本</w:t>
            </w:r>
          </w:p>
        </w:tc>
        <w:tc>
          <w:tcPr>
            <w:tcW w:w="2268" w:type="dxa"/>
            <w:vAlign w:val="center"/>
          </w:tcPr>
          <w:p>
            <w:pPr>
              <w:pStyle w:val="13"/>
            </w:pPr>
            <w:r>
              <w:t>≤0.57元/亩</w:t>
            </w:r>
          </w:p>
        </w:tc>
        <w:tc>
          <w:tcPr>
            <w:tcW w:w="1276" w:type="dxa"/>
            <w:vAlign w:val="center"/>
          </w:tcPr>
          <w:p>
            <w:pPr>
              <w:pStyle w:val="13"/>
            </w:pPr>
            <w:r>
              <w:t>根据工作量测算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保护林地规划</w:t>
            </w:r>
          </w:p>
        </w:tc>
        <w:tc>
          <w:tcPr>
            <w:tcW w:w="5386" w:type="dxa"/>
            <w:vAlign w:val="center"/>
          </w:tcPr>
          <w:p>
            <w:pPr>
              <w:pStyle w:val="13"/>
            </w:pPr>
            <w:r>
              <w:t>保护区林地规划，监测林草湿准确数据</w:t>
            </w:r>
          </w:p>
        </w:tc>
        <w:tc>
          <w:tcPr>
            <w:tcW w:w="2268" w:type="dxa"/>
            <w:vAlign w:val="center"/>
          </w:tcPr>
          <w:p>
            <w:pPr>
              <w:pStyle w:val="13"/>
            </w:pPr>
            <w:r>
              <w:t>保护区林地规划，监测林草湿准确数据</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21、石财农[2024]89号提前下达2025年市级林业改革发展补助资金（环城绿化林带建设补助）绩效目标表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13010925P00000910061J</w:t>
            </w:r>
          </w:p>
        </w:tc>
        <w:tc>
          <w:tcPr>
            <w:tcW w:w="2835" w:type="dxa"/>
            <w:vAlign w:val="center"/>
          </w:tcPr>
          <w:p>
            <w:pPr>
              <w:pStyle w:val="11"/>
            </w:pPr>
            <w:r>
              <w:t>项目名称</w:t>
            </w:r>
          </w:p>
        </w:tc>
        <w:tc>
          <w:tcPr>
            <w:tcW w:w="6095" w:type="dxa"/>
            <w:gridSpan w:val="3"/>
            <w:vAlign w:val="center"/>
          </w:tcPr>
          <w:p>
            <w:pPr>
              <w:pStyle w:val="13"/>
            </w:pPr>
            <w:r>
              <w:t>石财农[2024]89号提前下达2025年市级林业改革发展补助资金（环城绿化林带建设补助）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1244.49</w:t>
            </w:r>
          </w:p>
        </w:tc>
        <w:tc>
          <w:tcPr>
            <w:tcW w:w="2835" w:type="dxa"/>
            <w:vAlign w:val="center"/>
          </w:tcPr>
          <w:p>
            <w:pPr>
              <w:pStyle w:val="11"/>
            </w:pPr>
            <w:r>
              <w:t>其中：财政    资金</w:t>
            </w:r>
          </w:p>
        </w:tc>
        <w:tc>
          <w:tcPr>
            <w:tcW w:w="2551" w:type="dxa"/>
            <w:vAlign w:val="center"/>
          </w:tcPr>
          <w:p>
            <w:pPr>
              <w:pStyle w:val="13"/>
            </w:pPr>
            <w:r>
              <w:t>1244.49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完成造林面积，改善生态环境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1.完成造林面积，改善生态环境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环城绿化林带建设面积</w:t>
            </w:r>
          </w:p>
        </w:tc>
        <w:tc>
          <w:tcPr>
            <w:tcW w:w="2268" w:type="dxa"/>
            <w:vAlign w:val="center"/>
          </w:tcPr>
          <w:p>
            <w:pPr>
              <w:pStyle w:val="13"/>
            </w:pPr>
            <w:r>
              <w:t>20741.42亩</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≥85%</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任务完成率</w:t>
            </w:r>
          </w:p>
        </w:tc>
        <w:tc>
          <w:tcPr>
            <w:tcW w:w="5386" w:type="dxa"/>
            <w:vAlign w:val="center"/>
          </w:tcPr>
          <w:p>
            <w:pPr>
              <w:pStyle w:val="13"/>
            </w:pPr>
            <w:r>
              <w:t>造林当期任务完成率</w:t>
            </w:r>
          </w:p>
        </w:tc>
        <w:tc>
          <w:tcPr>
            <w:tcW w:w="2268" w:type="dxa"/>
            <w:vAlign w:val="center"/>
          </w:tcPr>
          <w:p>
            <w:pPr>
              <w:pStyle w:val="13"/>
            </w:pPr>
            <w:r>
              <w:t>≥80%</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环城绿化林带补助标准</w:t>
            </w:r>
          </w:p>
        </w:tc>
        <w:tc>
          <w:tcPr>
            <w:tcW w:w="2268" w:type="dxa"/>
            <w:vAlign w:val="center"/>
          </w:tcPr>
          <w:p>
            <w:pPr>
              <w:pStyle w:val="13"/>
            </w:pPr>
            <w:r>
              <w:t>600元/亩</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造林绿化生态效益发挥明显</w:t>
            </w:r>
          </w:p>
        </w:tc>
        <w:tc>
          <w:tcPr>
            <w:tcW w:w="2268" w:type="dxa"/>
            <w:vAlign w:val="center"/>
          </w:tcPr>
          <w:p>
            <w:pPr>
              <w:pStyle w:val="13"/>
            </w:pPr>
            <w:r>
              <w:t>明显改善环境</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项目参与人员及项目周边群众满意度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22、石财农[2024]89号提前下达2025年市级林业改革发展补助资金（林业重大危险性有害生物防控经费）绩效目标表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13010925P000009100626</w:t>
            </w:r>
          </w:p>
        </w:tc>
        <w:tc>
          <w:tcPr>
            <w:tcW w:w="2835" w:type="dxa"/>
            <w:vAlign w:val="center"/>
          </w:tcPr>
          <w:p>
            <w:pPr>
              <w:pStyle w:val="11"/>
            </w:pPr>
            <w:r>
              <w:t>项目名称</w:t>
            </w:r>
          </w:p>
        </w:tc>
        <w:tc>
          <w:tcPr>
            <w:tcW w:w="6095" w:type="dxa"/>
            <w:gridSpan w:val="3"/>
            <w:vAlign w:val="center"/>
          </w:tcPr>
          <w:p>
            <w:pPr>
              <w:pStyle w:val="13"/>
            </w:pPr>
            <w:r>
              <w:t>石财农[2024]89号提前下达2025年市级林业改革发展补助资金（林业重大危险性有害生物防控经费）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进行有害生物的防控，有效控制有害生物的成灾率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1.进行有害生物的防控，有效控制有害生物的成灾率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防控面积</w:t>
            </w:r>
          </w:p>
        </w:tc>
        <w:tc>
          <w:tcPr>
            <w:tcW w:w="5386" w:type="dxa"/>
            <w:vAlign w:val="center"/>
          </w:tcPr>
          <w:p>
            <w:pPr>
              <w:pStyle w:val="13"/>
            </w:pPr>
            <w:r>
              <w:t>林业有害生物防控面积</w:t>
            </w:r>
          </w:p>
        </w:tc>
        <w:tc>
          <w:tcPr>
            <w:tcW w:w="2268" w:type="dxa"/>
            <w:vAlign w:val="center"/>
          </w:tcPr>
          <w:p>
            <w:pPr>
              <w:pStyle w:val="13"/>
            </w:pPr>
            <w:r>
              <w:t>≤6.43万亩次</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林业有害生物预测预报准确率</w:t>
            </w:r>
          </w:p>
        </w:tc>
        <w:tc>
          <w:tcPr>
            <w:tcW w:w="5386" w:type="dxa"/>
            <w:vAlign w:val="center"/>
          </w:tcPr>
          <w:p>
            <w:pPr>
              <w:pStyle w:val="13"/>
            </w:pPr>
            <w:r>
              <w:t>主要林业有害生物成灾率</w:t>
            </w:r>
          </w:p>
        </w:tc>
        <w:tc>
          <w:tcPr>
            <w:tcW w:w="2268" w:type="dxa"/>
            <w:vAlign w:val="center"/>
          </w:tcPr>
          <w:p>
            <w:pPr>
              <w:pStyle w:val="13"/>
            </w:pPr>
            <w:r>
              <w:t>≤4‰</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林业有害生物防控当期任务完成率</w:t>
            </w:r>
          </w:p>
        </w:tc>
        <w:tc>
          <w:tcPr>
            <w:tcW w:w="2268" w:type="dxa"/>
            <w:vAlign w:val="center"/>
          </w:tcPr>
          <w:p>
            <w:pPr>
              <w:pStyle w:val="13"/>
            </w:pPr>
            <w:r>
              <w:t>≥80%</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有害生物防治资金</w:t>
            </w:r>
          </w:p>
        </w:tc>
        <w:tc>
          <w:tcPr>
            <w:tcW w:w="2268" w:type="dxa"/>
            <w:vAlign w:val="center"/>
          </w:tcPr>
          <w:p>
            <w:pPr>
              <w:pStyle w:val="13"/>
            </w:pPr>
            <w:r>
              <w:t>≤13万元/年</w:t>
            </w:r>
          </w:p>
        </w:tc>
        <w:tc>
          <w:tcPr>
            <w:tcW w:w="1276" w:type="dxa"/>
            <w:vAlign w:val="center"/>
          </w:tcPr>
          <w:p>
            <w:pPr>
              <w:pStyle w:val="13"/>
            </w:pPr>
            <w:r>
              <w:t>石财农【2024】89号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林业有害生物成灾控制率</w:t>
            </w:r>
          </w:p>
        </w:tc>
        <w:tc>
          <w:tcPr>
            <w:tcW w:w="5386" w:type="dxa"/>
            <w:vAlign w:val="center"/>
          </w:tcPr>
          <w:p>
            <w:pPr>
              <w:pStyle w:val="13"/>
            </w:pPr>
            <w:r>
              <w:t>有害生物防控生态效益发挥效果</w:t>
            </w:r>
          </w:p>
        </w:tc>
        <w:tc>
          <w:tcPr>
            <w:tcW w:w="2268" w:type="dxa"/>
            <w:vAlign w:val="center"/>
          </w:tcPr>
          <w:p>
            <w:pPr>
              <w:pStyle w:val="13"/>
            </w:pPr>
            <w:r>
              <w:t>效果明显</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项目参与人员及项目周边群众满意度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23、石财农[2024]91号提前下达2025年省级林业改革发展补助资金（造林绿化重点工程奖补-村庄绿化提升村）绩效目标表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13010925P000009101272</w:t>
            </w:r>
          </w:p>
        </w:tc>
        <w:tc>
          <w:tcPr>
            <w:tcW w:w="2835" w:type="dxa"/>
            <w:vAlign w:val="center"/>
          </w:tcPr>
          <w:p>
            <w:pPr>
              <w:pStyle w:val="11"/>
            </w:pPr>
            <w:r>
              <w:t>项目名称</w:t>
            </w:r>
          </w:p>
        </w:tc>
        <w:tc>
          <w:tcPr>
            <w:tcW w:w="6095" w:type="dxa"/>
            <w:gridSpan w:val="3"/>
            <w:vAlign w:val="center"/>
          </w:tcPr>
          <w:p>
            <w:pPr>
              <w:pStyle w:val="13"/>
            </w:pPr>
            <w:r>
              <w:t>石财农[2024]91号提前下达2025年省级林业改革发展补助资金（造林绿化重点工程奖补-村庄绿化提升村）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创建省级森林乡村，完成乡村绿化提升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1.创建省级森林乡村，完成乡村绿化提升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森林乡村</w:t>
            </w:r>
          </w:p>
        </w:tc>
        <w:tc>
          <w:tcPr>
            <w:tcW w:w="5386" w:type="dxa"/>
            <w:vAlign w:val="center"/>
          </w:tcPr>
          <w:p>
            <w:pPr>
              <w:pStyle w:val="13"/>
            </w:pPr>
            <w:r>
              <w:t>省级森林乡村个数</w:t>
            </w:r>
          </w:p>
        </w:tc>
        <w:tc>
          <w:tcPr>
            <w:tcW w:w="2268" w:type="dxa"/>
            <w:vAlign w:val="center"/>
          </w:tcPr>
          <w:p>
            <w:pPr>
              <w:pStyle w:val="13"/>
            </w:pPr>
            <w:r>
              <w:t>≤6个</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每个乡村资金成本</w:t>
            </w:r>
          </w:p>
        </w:tc>
        <w:tc>
          <w:tcPr>
            <w:tcW w:w="2268" w:type="dxa"/>
            <w:vAlign w:val="center"/>
          </w:tcPr>
          <w:p>
            <w:pPr>
              <w:pStyle w:val="13"/>
            </w:pPr>
            <w:r>
              <w:t>≤2万元/个</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24、石财农[2024]91号提前下达2025年省级林业改革发展补助资金（造林绿化重点工程奖补-省级森林乡村奖补）绩效目标表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13010925P00000910126E</w:t>
            </w:r>
          </w:p>
        </w:tc>
        <w:tc>
          <w:tcPr>
            <w:tcW w:w="2835" w:type="dxa"/>
            <w:vAlign w:val="center"/>
          </w:tcPr>
          <w:p>
            <w:pPr>
              <w:pStyle w:val="11"/>
            </w:pPr>
            <w:r>
              <w:t>项目名称</w:t>
            </w:r>
          </w:p>
        </w:tc>
        <w:tc>
          <w:tcPr>
            <w:tcW w:w="6095" w:type="dxa"/>
            <w:gridSpan w:val="3"/>
            <w:vAlign w:val="center"/>
          </w:tcPr>
          <w:p>
            <w:pPr>
              <w:pStyle w:val="13"/>
            </w:pPr>
            <w:r>
              <w:t>石财农[2024]91号提前下达2025年省级林业改革发展补助资金（造林绿化重点工程奖补-省级森林乡村奖补）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通过省级森林乡村的创建，改善生态环境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1.通过省级森林乡村的创建，改善生态环境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森林乡村</w:t>
            </w:r>
          </w:p>
        </w:tc>
        <w:tc>
          <w:tcPr>
            <w:tcW w:w="5386" w:type="dxa"/>
            <w:vAlign w:val="center"/>
          </w:tcPr>
          <w:p>
            <w:pPr>
              <w:pStyle w:val="13"/>
            </w:pPr>
            <w:r>
              <w:t>省级森林乡村个数</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每个乡村补助资金成本</w:t>
            </w:r>
          </w:p>
        </w:tc>
        <w:tc>
          <w:tcPr>
            <w:tcW w:w="2268" w:type="dxa"/>
            <w:vAlign w:val="center"/>
          </w:tcPr>
          <w:p>
            <w:pPr>
              <w:pStyle w:val="13"/>
            </w:pPr>
            <w:r>
              <w:t>≤10万元/个</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25、石财农【2023】118号提前下达2024年市级林业改革发展补助资金（环城绿化林带建设补助）绩效目标表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13010924P000001104176</w:t>
            </w:r>
          </w:p>
        </w:tc>
        <w:tc>
          <w:tcPr>
            <w:tcW w:w="2835" w:type="dxa"/>
            <w:vAlign w:val="center"/>
          </w:tcPr>
          <w:p>
            <w:pPr>
              <w:pStyle w:val="11"/>
            </w:pPr>
            <w:r>
              <w:t>项目名称</w:t>
            </w:r>
          </w:p>
        </w:tc>
        <w:tc>
          <w:tcPr>
            <w:tcW w:w="6095" w:type="dxa"/>
            <w:gridSpan w:val="3"/>
            <w:vAlign w:val="center"/>
          </w:tcPr>
          <w:p>
            <w:pPr>
              <w:pStyle w:val="13"/>
            </w:pPr>
            <w:r>
              <w:t>石财农【2023】118号提前下达2024年市级林业改革发展补助资金（环城绿化林带建设补助）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2036.58</w:t>
            </w:r>
          </w:p>
        </w:tc>
        <w:tc>
          <w:tcPr>
            <w:tcW w:w="2835" w:type="dxa"/>
            <w:vAlign w:val="center"/>
          </w:tcPr>
          <w:p>
            <w:pPr>
              <w:pStyle w:val="11"/>
            </w:pPr>
            <w:r>
              <w:t>其中：财政    资金</w:t>
            </w:r>
          </w:p>
        </w:tc>
        <w:tc>
          <w:tcPr>
            <w:tcW w:w="2551" w:type="dxa"/>
            <w:vAlign w:val="center"/>
          </w:tcPr>
          <w:p>
            <w:pPr>
              <w:pStyle w:val="13"/>
            </w:pPr>
            <w:r>
              <w:t>2036.58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完成造林面积 改善生态环境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1.完成造林面积，改善生态环境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环城林带造林面积</w:t>
            </w:r>
          </w:p>
        </w:tc>
        <w:tc>
          <w:tcPr>
            <w:tcW w:w="2268" w:type="dxa"/>
            <w:vAlign w:val="center"/>
          </w:tcPr>
          <w:p>
            <w:pPr>
              <w:pStyle w:val="13"/>
            </w:pPr>
            <w:r>
              <w:t>28631.65亩</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≥85%</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造林当期任务完成率</w:t>
            </w:r>
          </w:p>
        </w:tc>
        <w:tc>
          <w:tcPr>
            <w:tcW w:w="2268" w:type="dxa"/>
            <w:vAlign w:val="center"/>
          </w:tcPr>
          <w:p>
            <w:pPr>
              <w:pStyle w:val="13"/>
            </w:pPr>
            <w:r>
              <w:t>≥80%</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环城绿化林带补助标准</w:t>
            </w:r>
          </w:p>
        </w:tc>
        <w:tc>
          <w:tcPr>
            <w:tcW w:w="2268" w:type="dxa"/>
            <w:vAlign w:val="center"/>
          </w:tcPr>
          <w:p>
            <w:pPr>
              <w:pStyle w:val="13"/>
            </w:pPr>
            <w:r>
              <w:t>600元/亩</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造林绿化生态效益发挥明显</w:t>
            </w:r>
          </w:p>
        </w:tc>
        <w:tc>
          <w:tcPr>
            <w:tcW w:w="2268" w:type="dxa"/>
            <w:vAlign w:val="center"/>
          </w:tcPr>
          <w:p>
            <w:pPr>
              <w:pStyle w:val="13"/>
            </w:pPr>
            <w:r>
              <w:t>明显改善环境</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26、石财农【2023】118号提前下达2024年市级林业改革发展补助资金（林业重大危险性有害生物防控经费）绩效目标表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13010924P00000110418R</w:t>
            </w:r>
          </w:p>
        </w:tc>
        <w:tc>
          <w:tcPr>
            <w:tcW w:w="2835" w:type="dxa"/>
            <w:vAlign w:val="center"/>
          </w:tcPr>
          <w:p>
            <w:pPr>
              <w:pStyle w:val="11"/>
            </w:pPr>
            <w:r>
              <w:t>项目名称</w:t>
            </w:r>
          </w:p>
        </w:tc>
        <w:tc>
          <w:tcPr>
            <w:tcW w:w="6095" w:type="dxa"/>
            <w:gridSpan w:val="3"/>
            <w:vAlign w:val="center"/>
          </w:tcPr>
          <w:p>
            <w:pPr>
              <w:pStyle w:val="13"/>
            </w:pPr>
            <w:r>
              <w:t>石财农【2023】118号提前下达2024年市级林业改革发展补助资金（林业重大危险性有害生物防控经费）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有效防控有害生物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1.有效防控有害生物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防控面积</w:t>
            </w:r>
          </w:p>
        </w:tc>
        <w:tc>
          <w:tcPr>
            <w:tcW w:w="5386" w:type="dxa"/>
            <w:vAlign w:val="center"/>
          </w:tcPr>
          <w:p>
            <w:pPr>
              <w:pStyle w:val="13"/>
            </w:pPr>
            <w:r>
              <w:t>林业有害生物防控面积</w:t>
            </w:r>
          </w:p>
        </w:tc>
        <w:tc>
          <w:tcPr>
            <w:tcW w:w="2268" w:type="dxa"/>
            <w:vAlign w:val="center"/>
          </w:tcPr>
          <w:p>
            <w:pPr>
              <w:pStyle w:val="13"/>
            </w:pPr>
            <w:r>
              <w:t>6.43万亩次</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林业有害生物预测预报准确率</w:t>
            </w:r>
          </w:p>
        </w:tc>
        <w:tc>
          <w:tcPr>
            <w:tcW w:w="5386" w:type="dxa"/>
            <w:vAlign w:val="center"/>
          </w:tcPr>
          <w:p>
            <w:pPr>
              <w:pStyle w:val="13"/>
            </w:pPr>
            <w:r>
              <w:t>主要林业有害生物成灾率</w:t>
            </w:r>
          </w:p>
        </w:tc>
        <w:tc>
          <w:tcPr>
            <w:tcW w:w="2268" w:type="dxa"/>
            <w:vAlign w:val="center"/>
          </w:tcPr>
          <w:p>
            <w:pPr>
              <w:pStyle w:val="13"/>
            </w:pPr>
            <w:r>
              <w:t>≤4%</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林业有害生物防控当期任务完成率</w:t>
            </w:r>
          </w:p>
        </w:tc>
        <w:tc>
          <w:tcPr>
            <w:tcW w:w="2268" w:type="dxa"/>
            <w:vAlign w:val="center"/>
          </w:tcPr>
          <w:p>
            <w:pPr>
              <w:pStyle w:val="13"/>
            </w:pPr>
            <w:r>
              <w:t>≥80%</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有害生物防治资金</w:t>
            </w:r>
          </w:p>
        </w:tc>
        <w:tc>
          <w:tcPr>
            <w:tcW w:w="2268" w:type="dxa"/>
            <w:vAlign w:val="center"/>
          </w:tcPr>
          <w:p>
            <w:pPr>
              <w:pStyle w:val="13"/>
            </w:pPr>
            <w:r>
              <w:t>13万元</w:t>
            </w:r>
          </w:p>
        </w:tc>
        <w:tc>
          <w:tcPr>
            <w:tcW w:w="1276" w:type="dxa"/>
            <w:vAlign w:val="center"/>
          </w:tcPr>
          <w:p>
            <w:pPr>
              <w:pStyle w:val="13"/>
            </w:pPr>
            <w:r>
              <w:t>石财农【2023】118号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林业有害生物成灾控制率</w:t>
            </w:r>
          </w:p>
        </w:tc>
        <w:tc>
          <w:tcPr>
            <w:tcW w:w="5386" w:type="dxa"/>
            <w:vAlign w:val="center"/>
          </w:tcPr>
          <w:p>
            <w:pPr>
              <w:pStyle w:val="13"/>
            </w:pPr>
            <w:r>
              <w:t>有害生物防控生态效益发挥效果</w:t>
            </w:r>
          </w:p>
        </w:tc>
        <w:tc>
          <w:tcPr>
            <w:tcW w:w="2268" w:type="dxa"/>
            <w:vAlign w:val="center"/>
          </w:tcPr>
          <w:p>
            <w:pPr>
              <w:pStyle w:val="13"/>
            </w:pPr>
            <w:r>
              <w:t>效果明显</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27、周汉河两侧、汪洋沟绿化占地补绩效目标表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13010925P00000810028N</w:t>
            </w:r>
          </w:p>
        </w:tc>
        <w:tc>
          <w:tcPr>
            <w:tcW w:w="2835" w:type="dxa"/>
            <w:vAlign w:val="center"/>
          </w:tcPr>
          <w:p>
            <w:pPr>
              <w:pStyle w:val="11"/>
            </w:pPr>
            <w:r>
              <w:t>项目名称</w:t>
            </w:r>
          </w:p>
        </w:tc>
        <w:tc>
          <w:tcPr>
            <w:tcW w:w="6095" w:type="dxa"/>
            <w:gridSpan w:val="3"/>
            <w:vAlign w:val="center"/>
          </w:tcPr>
          <w:p>
            <w:pPr>
              <w:pStyle w:val="13"/>
            </w:pPr>
            <w:r>
              <w:t>周汉河两侧、汪洋沟绿化占地补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1.通过造林，打造两侧绿色廊道建设，改善生态环境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造林绿化面积</w:t>
            </w:r>
          </w:p>
        </w:tc>
        <w:tc>
          <w:tcPr>
            <w:tcW w:w="5386" w:type="dxa"/>
            <w:vAlign w:val="center"/>
          </w:tcPr>
          <w:p>
            <w:pPr>
              <w:pStyle w:val="13"/>
            </w:pPr>
            <w:r>
              <w:t>周汉河、汪洋沟两侧林带绿化面积</w:t>
            </w:r>
          </w:p>
        </w:tc>
        <w:tc>
          <w:tcPr>
            <w:tcW w:w="2268" w:type="dxa"/>
            <w:vAlign w:val="center"/>
          </w:tcPr>
          <w:p>
            <w:pPr>
              <w:pStyle w:val="13"/>
            </w:pPr>
            <w:r>
              <w:t>≤1733亩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林相完整率</w:t>
            </w:r>
          </w:p>
        </w:tc>
        <w:tc>
          <w:tcPr>
            <w:tcW w:w="5386" w:type="dxa"/>
            <w:vAlign w:val="center"/>
          </w:tcPr>
          <w:p>
            <w:pPr>
              <w:pStyle w:val="13"/>
            </w:pPr>
            <w:r>
              <w:t>道路两侧绿化林带树木林相占总绿化带树木的比率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≤1200元/亩</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28、专项债券付息支出绩效目标表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13010925P000008100344</w:t>
            </w:r>
          </w:p>
        </w:tc>
        <w:tc>
          <w:tcPr>
            <w:tcW w:w="2835" w:type="dxa"/>
            <w:vAlign w:val="center"/>
          </w:tcPr>
          <w:p>
            <w:pPr>
              <w:pStyle w:val="11"/>
            </w:pPr>
            <w:r>
              <w:t>项目名称</w:t>
            </w:r>
          </w:p>
        </w:tc>
        <w:tc>
          <w:tcPr>
            <w:tcW w:w="6095" w:type="dxa"/>
            <w:gridSpan w:val="3"/>
            <w:vAlign w:val="center"/>
          </w:tcPr>
          <w:p>
            <w:pPr>
              <w:pStyle w:val="13"/>
            </w:pPr>
            <w:r>
              <w:t>专项债券付息支出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230.00</w:t>
            </w:r>
          </w:p>
        </w:tc>
        <w:tc>
          <w:tcPr>
            <w:tcW w:w="2835" w:type="dxa"/>
            <w:vAlign w:val="center"/>
          </w:tcPr>
          <w:p>
            <w:pPr>
              <w:pStyle w:val="11"/>
            </w:pPr>
            <w:r>
              <w:t>其中：财政    资金</w:t>
            </w:r>
          </w:p>
        </w:tc>
        <w:tc>
          <w:tcPr>
            <w:tcW w:w="2551" w:type="dxa"/>
            <w:vAlign w:val="center"/>
          </w:tcPr>
          <w:p>
            <w:pPr>
              <w:pStyle w:val="13"/>
            </w:pPr>
            <w:r>
              <w:t>230.00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1.足额偿还利息，推动后期债券申请工作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偿还批次</w:t>
            </w:r>
          </w:p>
        </w:tc>
        <w:tc>
          <w:tcPr>
            <w:tcW w:w="5386" w:type="dxa"/>
            <w:vAlign w:val="center"/>
          </w:tcPr>
          <w:p>
            <w:pPr>
              <w:pStyle w:val="13"/>
            </w:pPr>
            <w:r>
              <w:t>偿还专项债券到期利息批次的数量</w:t>
            </w:r>
          </w:p>
        </w:tc>
        <w:tc>
          <w:tcPr>
            <w:tcW w:w="2268" w:type="dxa"/>
            <w:vAlign w:val="center"/>
          </w:tcPr>
          <w:p>
            <w:pPr>
              <w:pStyle w:val="13"/>
            </w:pPr>
            <w:r>
              <w:t>1批</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偿还金额</w:t>
            </w:r>
          </w:p>
        </w:tc>
        <w:tc>
          <w:tcPr>
            <w:tcW w:w="5386" w:type="dxa"/>
            <w:vAlign w:val="center"/>
          </w:tcPr>
          <w:p>
            <w:pPr>
              <w:pStyle w:val="13"/>
            </w:pPr>
            <w:r>
              <w:t>实际偿还占应偿还金额的比例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偿还时间</w:t>
            </w:r>
          </w:p>
        </w:tc>
        <w:tc>
          <w:tcPr>
            <w:tcW w:w="5386" w:type="dxa"/>
            <w:vAlign w:val="center"/>
          </w:tcPr>
          <w:p>
            <w:pPr>
              <w:pStyle w:val="13"/>
            </w:pPr>
            <w:r>
              <w:t>按约定时间及时偿还</w:t>
            </w:r>
          </w:p>
        </w:tc>
        <w:tc>
          <w:tcPr>
            <w:tcW w:w="2268" w:type="dxa"/>
            <w:vAlign w:val="center"/>
          </w:tcPr>
          <w:p>
            <w:pPr>
              <w:pStyle w:val="13"/>
            </w:pPr>
            <w:r>
              <w:t>2025年12月偿还</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按协议偿还每批次金额</w:t>
            </w:r>
          </w:p>
        </w:tc>
        <w:tc>
          <w:tcPr>
            <w:tcW w:w="2268" w:type="dxa"/>
            <w:vAlign w:val="center"/>
          </w:tcPr>
          <w:p>
            <w:pPr>
              <w:pStyle w:val="13"/>
            </w:pPr>
            <w:r>
              <w:t>≤230万元/批次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按协议履行还款</w:t>
            </w:r>
          </w:p>
        </w:tc>
        <w:tc>
          <w:tcPr>
            <w:tcW w:w="5386" w:type="dxa"/>
            <w:vAlign w:val="center"/>
          </w:tcPr>
          <w:p>
            <w:pPr>
              <w:pStyle w:val="13"/>
            </w:pPr>
            <w:r>
              <w:t>按协议履行还款，推动后期债券申请工作，更好发挥债券作用</w:t>
            </w:r>
          </w:p>
        </w:tc>
        <w:tc>
          <w:tcPr>
            <w:tcW w:w="2268" w:type="dxa"/>
            <w:vAlign w:val="center"/>
          </w:tcPr>
          <w:p>
            <w:pPr>
              <w:pStyle w:val="13"/>
            </w:pPr>
            <w:r>
              <w:t>债券发行工作正常开展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上级部门满意度</w:t>
            </w:r>
          </w:p>
        </w:tc>
        <w:tc>
          <w:tcPr>
            <w:tcW w:w="5386" w:type="dxa"/>
            <w:vAlign w:val="center"/>
          </w:tcPr>
          <w:p>
            <w:pPr>
              <w:pStyle w:val="13"/>
            </w:pPr>
            <w:r>
              <w:t>上级部门对还款情况的满意度</w:t>
            </w:r>
          </w:p>
        </w:tc>
        <w:tc>
          <w:tcPr>
            <w:tcW w:w="2268" w:type="dxa"/>
            <w:vAlign w:val="center"/>
          </w:tcPr>
          <w:p>
            <w:pPr>
              <w:pStyle w:val="13"/>
            </w:pPr>
            <w:r>
              <w:t>≥95%</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29、追加京港澳两侧50米绿化带占地补绩效目标表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13010925P00000810036B</w:t>
            </w:r>
          </w:p>
        </w:tc>
        <w:tc>
          <w:tcPr>
            <w:tcW w:w="2835" w:type="dxa"/>
            <w:vAlign w:val="center"/>
          </w:tcPr>
          <w:p>
            <w:pPr>
              <w:pStyle w:val="11"/>
            </w:pPr>
            <w:r>
              <w:t>项目名称</w:t>
            </w:r>
          </w:p>
        </w:tc>
        <w:tc>
          <w:tcPr>
            <w:tcW w:w="6095" w:type="dxa"/>
            <w:gridSpan w:val="3"/>
            <w:vAlign w:val="center"/>
          </w:tcPr>
          <w:p>
            <w:pPr>
              <w:pStyle w:val="13"/>
            </w:pPr>
            <w:r>
              <w:t>追加京港澳两侧50米绿化带占地补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310.00</w:t>
            </w:r>
          </w:p>
        </w:tc>
        <w:tc>
          <w:tcPr>
            <w:tcW w:w="2835" w:type="dxa"/>
            <w:vAlign w:val="center"/>
          </w:tcPr>
          <w:p>
            <w:pPr>
              <w:pStyle w:val="11"/>
            </w:pPr>
            <w:r>
              <w:t>其中：财政    资金</w:t>
            </w:r>
          </w:p>
        </w:tc>
        <w:tc>
          <w:tcPr>
            <w:tcW w:w="2551" w:type="dxa"/>
            <w:vAlign w:val="center"/>
          </w:tcPr>
          <w:p>
            <w:pPr>
              <w:pStyle w:val="13"/>
            </w:pPr>
            <w:r>
              <w:t>310.00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1.通过对高速及高铁两侧绿化带建设，改善生态环境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高速两侧造林面积</w:t>
            </w:r>
          </w:p>
        </w:tc>
        <w:tc>
          <w:tcPr>
            <w:tcW w:w="2268" w:type="dxa"/>
            <w:vAlign w:val="center"/>
          </w:tcPr>
          <w:p>
            <w:pPr>
              <w:pStyle w:val="13"/>
            </w:pPr>
            <w:r>
              <w:t>≤5166亩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≤600元/亩/年</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30、追加石黄高速、京石高铁两侧50-100米绿化带占地补绩效目标表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13010925P000008100396</w:t>
            </w:r>
          </w:p>
        </w:tc>
        <w:tc>
          <w:tcPr>
            <w:tcW w:w="2835" w:type="dxa"/>
            <w:vAlign w:val="center"/>
          </w:tcPr>
          <w:p>
            <w:pPr>
              <w:pStyle w:val="11"/>
            </w:pPr>
            <w:r>
              <w:t>项目名称</w:t>
            </w:r>
          </w:p>
        </w:tc>
        <w:tc>
          <w:tcPr>
            <w:tcW w:w="6095" w:type="dxa"/>
            <w:gridSpan w:val="3"/>
            <w:vAlign w:val="center"/>
          </w:tcPr>
          <w:p>
            <w:pPr>
              <w:pStyle w:val="13"/>
            </w:pPr>
            <w:r>
              <w:t>追加石黄高速、京石高铁两侧50-100米绿化带占地补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用于支付占地补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bookmarkStart w:id="20" w:name="_GoBack" w:colFirst="1" w:colLast="6"/>
          </w:p>
        </w:tc>
        <w:tc>
          <w:tcPr>
            <w:tcW w:w="5103" w:type="dxa"/>
            <w:gridSpan w:val="2"/>
            <w:vAlign w:val="center"/>
          </w:tcPr>
          <w:p>
            <w:pPr>
              <w:pStyle w:val="14"/>
              <w:ind w:firstLine="0" w:firstLineChars="0"/>
            </w:pPr>
            <w:r>
              <w:rPr>
                <w:rFonts w:hint="eastAsia"/>
                <w:lang w:val="en-US" w:eastAsia="zh-CN"/>
              </w:rPr>
              <w:t>3</w:t>
            </w:r>
            <w:r>
              <w:t>0.00</w:t>
            </w:r>
          </w:p>
        </w:tc>
        <w:tc>
          <w:tcPr>
            <w:tcW w:w="2835" w:type="dxa"/>
            <w:vAlign w:val="center"/>
          </w:tcPr>
          <w:p>
            <w:pPr>
              <w:pStyle w:val="14"/>
              <w:ind w:firstLine="0" w:firstLineChars="0"/>
            </w:pPr>
            <w:r>
              <w:rPr>
                <w:rFonts w:hint="eastAsia"/>
                <w:lang w:val="en-US" w:eastAsia="zh-CN"/>
              </w:rPr>
              <w:t>6</w:t>
            </w:r>
            <w:r>
              <w:t>0.00</w:t>
            </w:r>
          </w:p>
        </w:tc>
        <w:tc>
          <w:tcPr>
            <w:tcW w:w="2551" w:type="dxa"/>
            <w:vAlign w:val="center"/>
          </w:tcPr>
          <w:p>
            <w:pPr>
              <w:pStyle w:val="14"/>
              <w:ind w:firstLine="0" w:firstLineChars="0"/>
            </w:pPr>
            <w:r>
              <w:rPr>
                <w:rFonts w:hint="eastAsia"/>
                <w:lang w:val="en-US" w:eastAsia="zh-CN"/>
              </w:rPr>
              <w:t>9</w:t>
            </w:r>
            <w:r>
              <w:t>0.00</w:t>
            </w:r>
          </w:p>
        </w:tc>
        <w:tc>
          <w:tcPr>
            <w:tcW w:w="3544" w:type="dxa"/>
            <w:gridSpan w:val="2"/>
            <w:vAlign w:val="center"/>
          </w:tcPr>
          <w:p>
            <w:pPr>
              <w:pStyle w:val="14"/>
              <w:ind w:firstLine="0" w:firstLineChars="0"/>
            </w:pPr>
            <w:r>
              <w:rPr>
                <w:rFonts w:hint="eastAsia"/>
                <w:lang w:val="en-US" w:eastAsia="zh-CN"/>
              </w:rPr>
              <w:t>10</w:t>
            </w:r>
            <w:r>
              <w:t>0.00</w:t>
            </w:r>
          </w:p>
        </w:tc>
      </w:tr>
      <w:bookmarkEnd w:id="20"/>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1.通过对高速及高铁两侧进行绿色廊道建设，改善道路环境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造林面积</w:t>
            </w:r>
          </w:p>
        </w:tc>
        <w:tc>
          <w:tcPr>
            <w:tcW w:w="5386" w:type="dxa"/>
            <w:vAlign w:val="center"/>
          </w:tcPr>
          <w:p>
            <w:pPr>
              <w:pStyle w:val="13"/>
            </w:pPr>
            <w:r>
              <w:t>京石高铁、石黄高速两侧造林面积</w:t>
            </w:r>
          </w:p>
        </w:tc>
        <w:tc>
          <w:tcPr>
            <w:tcW w:w="2268" w:type="dxa"/>
            <w:vAlign w:val="center"/>
          </w:tcPr>
          <w:p>
            <w:pPr>
              <w:pStyle w:val="13"/>
            </w:pPr>
            <w:r>
              <w:t>≤6763亩</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造林合格面积完成率</w:t>
            </w:r>
          </w:p>
        </w:tc>
        <w:tc>
          <w:tcPr>
            <w:tcW w:w="5386" w:type="dxa"/>
            <w:vAlign w:val="center"/>
          </w:tcPr>
          <w:p>
            <w:pPr>
              <w:pStyle w:val="13"/>
            </w:pPr>
            <w:r>
              <w:t>造林合格面积占完成造林面积的比率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占地补贴兑现时间</w:t>
            </w:r>
          </w:p>
        </w:tc>
        <w:tc>
          <w:tcPr>
            <w:tcW w:w="2268" w:type="dxa"/>
            <w:vAlign w:val="center"/>
          </w:tcPr>
          <w:p>
            <w:pPr>
              <w:pStyle w:val="13"/>
            </w:pPr>
            <w:r>
              <w:t>2025年12月兑现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发放补贴标准</w:t>
            </w:r>
          </w:p>
        </w:tc>
        <w:tc>
          <w:tcPr>
            <w:tcW w:w="2268" w:type="dxa"/>
            <w:vAlign w:val="center"/>
          </w:tcPr>
          <w:p>
            <w:pPr>
              <w:pStyle w:val="13"/>
            </w:pPr>
            <w:r>
              <w:t>≤600元/亩/年</w:t>
            </w:r>
          </w:p>
        </w:tc>
        <w:tc>
          <w:tcPr>
            <w:tcW w:w="1276" w:type="dxa"/>
            <w:vAlign w:val="center"/>
          </w:tcPr>
          <w:p>
            <w:pPr>
              <w:pStyle w:val="13"/>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改善全区生态环境，对全区经济发展提供生态保障</w:t>
            </w:r>
          </w:p>
        </w:tc>
        <w:tc>
          <w:tcPr>
            <w:tcW w:w="2268" w:type="dxa"/>
            <w:vAlign w:val="center"/>
          </w:tcPr>
          <w:p>
            <w:pPr>
              <w:pStyle w:val="13"/>
            </w:pPr>
            <w:r>
              <w:t>提高全区绿化水平，保障全区林业事业健康科学持续发展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项目区受益群众对项目建设的满意程度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石家庄市自然资源和规划局藁城分局本级小计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r>
              <w:t>1000.00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不动产数据成果更新完善及登记系统维护费用</w:t>
            </w:r>
          </w:p>
        </w:tc>
        <w:tc>
          <w:tcPr>
            <w:tcW w:w="964" w:type="dxa"/>
            <w:vAlign w:val="center"/>
          </w:tcPr>
          <w:p>
            <w:pPr>
              <w:pStyle w:val="12"/>
            </w:pPr>
            <w:r>
              <w:t>44.60</w:t>
            </w:r>
          </w:p>
        </w:tc>
        <w:tc>
          <w:tcPr>
            <w:tcW w:w="1134" w:type="dxa"/>
            <w:vAlign w:val="center"/>
          </w:tcPr>
          <w:p>
            <w:pPr>
              <w:pStyle w:val="13"/>
            </w:pPr>
            <w:r>
              <w:t>其他信息技术咨询服务</w:t>
            </w:r>
          </w:p>
        </w:tc>
        <w:tc>
          <w:tcPr>
            <w:tcW w:w="1134" w:type="dxa"/>
            <w:vAlign w:val="center"/>
          </w:tcPr>
          <w:p>
            <w:pPr>
              <w:pStyle w:val="13"/>
            </w:pPr>
            <w:r>
              <w:t>C16099900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44.60</w:t>
            </w:r>
          </w:p>
        </w:tc>
        <w:tc>
          <w:tcPr>
            <w:tcW w:w="964" w:type="dxa"/>
            <w:vAlign w:val="center"/>
          </w:tcPr>
          <w:p>
            <w:pPr>
              <w:pStyle w:val="12"/>
            </w:pPr>
            <w:r>
              <w:t>44.60</w:t>
            </w:r>
          </w:p>
        </w:tc>
        <w:tc>
          <w:tcPr>
            <w:tcW w:w="964" w:type="dxa"/>
            <w:vAlign w:val="center"/>
          </w:tcPr>
          <w:p>
            <w:pPr>
              <w:pStyle w:val="12"/>
            </w:pPr>
          </w:p>
        </w:tc>
        <w:tc>
          <w:tcPr>
            <w:tcW w:w="964" w:type="dxa"/>
            <w:vAlign w:val="center"/>
          </w:tcPr>
          <w:p>
            <w:pPr>
              <w:pStyle w:val="12"/>
            </w:pPr>
            <w:r>
              <w:t>44.60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聘请第三方服务经费</w:t>
            </w:r>
          </w:p>
        </w:tc>
        <w:tc>
          <w:tcPr>
            <w:tcW w:w="964" w:type="dxa"/>
            <w:vAlign w:val="center"/>
          </w:tcPr>
          <w:p>
            <w:pPr>
              <w:pStyle w:val="12"/>
            </w:pPr>
            <w:r>
              <w:t>955.40</w:t>
            </w:r>
          </w:p>
        </w:tc>
        <w:tc>
          <w:tcPr>
            <w:tcW w:w="1134" w:type="dxa"/>
            <w:vAlign w:val="center"/>
          </w:tcPr>
          <w:p>
            <w:pPr>
              <w:pStyle w:val="13"/>
            </w:pPr>
            <w:r>
              <w:t>其他专业技术服务</w:t>
            </w:r>
          </w:p>
        </w:tc>
        <w:tc>
          <w:tcPr>
            <w:tcW w:w="1134" w:type="dxa"/>
            <w:vAlign w:val="center"/>
          </w:tcPr>
          <w:p>
            <w:pPr>
              <w:pStyle w:val="13"/>
            </w:pPr>
            <w:r>
              <w:t>C19990000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955.40</w:t>
            </w:r>
          </w:p>
        </w:tc>
        <w:tc>
          <w:tcPr>
            <w:tcW w:w="964" w:type="dxa"/>
            <w:vAlign w:val="center"/>
          </w:tcPr>
          <w:p>
            <w:pPr>
              <w:pStyle w:val="12"/>
            </w:pPr>
            <w:r>
              <w:t>955.40</w:t>
            </w:r>
          </w:p>
        </w:tc>
        <w:tc>
          <w:tcPr>
            <w:tcW w:w="964" w:type="dxa"/>
            <w:vAlign w:val="center"/>
          </w:tcPr>
          <w:p>
            <w:pPr>
              <w:pStyle w:val="12"/>
            </w:pPr>
          </w:p>
        </w:tc>
        <w:tc>
          <w:tcPr>
            <w:tcW w:w="964" w:type="dxa"/>
            <w:vAlign w:val="center"/>
          </w:tcPr>
          <w:p>
            <w:pPr>
              <w:pStyle w:val="12"/>
            </w:pPr>
            <w:r>
              <w:t>955.40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324石家庄市自然资源和规划局藁城分局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 w:name="方正楷体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19D858"/>
    <w:multiLevelType w:val="singleLevel"/>
    <w:tmpl w:val="FB19D858"/>
    <w:lvl w:ilvl="0" w:tentative="0">
      <w:start w:val="4"/>
      <w:numFmt w:val="chineseCounting"/>
      <w:suff w:val="nothing"/>
      <w:lvlText w:val="%1、"/>
      <w:lvlJc w:val="left"/>
      <w:rPr>
        <w:rFonts w:hint="eastAsia"/>
      </w:rPr>
    </w:lvl>
  </w:abstractNum>
  <w:abstractNum w:abstractNumId="1">
    <w:nsid w:val="053FA228"/>
    <w:multiLevelType w:val="singleLevel"/>
    <w:tmpl w:val="053FA228"/>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BE237F7"/>
    <w:rsid w:val="504071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1</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2025-02-11T13:49:00Z</dcterms:created>
  <dc:creator>lenovo</dc:creator>
  <cp:lastModifiedBy>WPS_1552048206</cp:lastModifiedBy>
  <dcterms:modified xsi:type="dcterms:W3CDTF">2025-02-12T01:57:08Z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