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一、石家庄市藁城区工商业联合会本级收支预算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一、石家庄市藁城区工商业联合会本级收支预算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127.07</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r>
              <w:t>90.10</w:t>
            </w: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23.47</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6.21</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7.29</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127.07</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127.07</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127.07</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127.07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127.07</w:t>
            </w:r>
          </w:p>
        </w:tc>
        <w:tc>
          <w:tcPr>
            <w:tcW w:w="1134" w:type="dxa"/>
            <w:tcBorders>
              <w:left w:val="single" w:sz="6" w:space="0" w:color="auto"/>
            </w:tcBorders>
            <w:vAlign w:val="center"/>
          </w:tcPr>
          <w:p>
            <w:pPr>
              <w:pStyle w:val="23"/>
            </w:pPr>
            <w:r>
              <w:t>127.07</w:t>
            </w:r>
          </w:p>
        </w:tc>
        <w:tc>
          <w:tcPr>
            <w:tcW w:w="1134" w:type="dxa"/>
            <w:tcBorders>
              <w:left w:val="single" w:sz="6" w:space="0" w:color="auto"/>
            </w:tcBorders>
            <w:vAlign w:val="center"/>
          </w:tcPr>
          <w:p>
            <w:pPr>
              <w:pStyle w:val="23"/>
            </w:pPr>
            <w:r>
              <w:t>127.07</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201</w:t>
            </w:r>
          </w:p>
        </w:tc>
        <w:tc>
          <w:tcPr>
            <w:tcW w:w="1559" w:type="dxa"/>
            <w:tcBorders>
              <w:left w:val="single" w:sz="6" w:space="0" w:color="auto"/>
            </w:tcBorders>
            <w:vAlign w:val="center"/>
          </w:tcPr>
          <w:p>
            <w:pPr>
              <w:pStyle w:val="20"/>
            </w:pPr>
            <w:r>
              <w:t>一般公共服务支出</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20128</w:t>
            </w:r>
          </w:p>
        </w:tc>
        <w:tc>
          <w:tcPr>
            <w:tcW w:w="1559" w:type="dxa"/>
            <w:tcBorders>
              <w:left w:val="single" w:sz="6" w:space="0" w:color="auto"/>
            </w:tcBorders>
            <w:vAlign w:val="center"/>
          </w:tcPr>
          <w:p>
            <w:pPr>
              <w:pStyle w:val="20"/>
            </w:pPr>
            <w:r>
              <w:t>民主党派及工商联事务</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2012801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86.10</w:t>
            </w:r>
          </w:p>
        </w:tc>
        <w:tc>
          <w:tcPr>
            <w:tcW w:w="1134" w:type="dxa"/>
            <w:tcBorders>
              <w:left w:val="single" w:sz="6" w:space="0" w:color="auto"/>
            </w:tcBorders>
            <w:vAlign w:val="center"/>
          </w:tcPr>
          <w:p>
            <w:pPr>
              <w:pStyle w:val="19"/>
            </w:pPr>
            <w:r>
              <w:t>86.10</w:t>
            </w:r>
          </w:p>
        </w:tc>
        <w:tc>
          <w:tcPr>
            <w:tcW w:w="1134" w:type="dxa"/>
            <w:tcBorders>
              <w:left w:val="single" w:sz="6" w:space="0" w:color="auto"/>
            </w:tcBorders>
            <w:vAlign w:val="center"/>
          </w:tcPr>
          <w:p>
            <w:pPr>
              <w:pStyle w:val="19"/>
            </w:pPr>
            <w:r>
              <w:t>86.10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2012802</w:t>
            </w:r>
          </w:p>
        </w:tc>
        <w:tc>
          <w:tcPr>
            <w:tcW w:w="1559" w:type="dxa"/>
            <w:tcBorders>
              <w:left w:val="single" w:sz="6" w:space="0" w:color="auto"/>
            </w:tcBorders>
            <w:vAlign w:val="center"/>
          </w:tcPr>
          <w:p>
            <w:pPr>
              <w:pStyle w:val="20"/>
            </w:pPr>
            <w:r>
              <w:t>一般行政管理事务</w:t>
            </w:r>
          </w:p>
        </w:tc>
        <w:tc>
          <w:tcPr>
            <w:tcW w:w="1134" w:type="dxa"/>
            <w:tcBorders>
              <w:left w:val="single" w:sz="6" w:space="0" w:color="auto"/>
            </w:tcBorders>
            <w:vAlign w:val="center"/>
          </w:tcPr>
          <w:p>
            <w:pPr>
              <w:pStyle w:val="19"/>
            </w:pPr>
            <w:r>
              <w:t>4.00</w:t>
            </w:r>
          </w:p>
        </w:tc>
        <w:tc>
          <w:tcPr>
            <w:tcW w:w="1134" w:type="dxa"/>
            <w:tcBorders>
              <w:left w:val="single" w:sz="6" w:space="0" w:color="auto"/>
            </w:tcBorders>
            <w:vAlign w:val="center"/>
          </w:tcPr>
          <w:p>
            <w:pPr>
              <w:pStyle w:val="19"/>
            </w:pPr>
            <w:r>
              <w:t>4.00</w:t>
            </w:r>
          </w:p>
        </w:tc>
        <w:tc>
          <w:tcPr>
            <w:tcW w:w="1134" w:type="dxa"/>
            <w:tcBorders>
              <w:left w:val="single" w:sz="6" w:space="0" w:color="auto"/>
            </w:tcBorders>
            <w:vAlign w:val="center"/>
          </w:tcPr>
          <w:p>
            <w:pPr>
              <w:pStyle w:val="19"/>
            </w:pPr>
            <w:r>
              <w:t>4.00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2080501</w:t>
            </w:r>
          </w:p>
        </w:tc>
        <w:tc>
          <w:tcPr>
            <w:tcW w:w="1559" w:type="dxa"/>
            <w:tcBorders>
              <w:left w:val="single" w:sz="6" w:space="0" w:color="auto"/>
            </w:tcBorders>
            <w:vAlign w:val="center"/>
          </w:tcPr>
          <w:p>
            <w:pPr>
              <w:pStyle w:val="20"/>
            </w:pPr>
            <w:r>
              <w:t>行政单位离退休</w:t>
            </w:r>
          </w:p>
        </w:tc>
        <w:tc>
          <w:tcPr>
            <w:tcW w:w="1134" w:type="dxa"/>
            <w:tcBorders>
              <w:left w:val="single" w:sz="6" w:space="0" w:color="auto"/>
            </w:tcBorders>
            <w:vAlign w:val="center"/>
          </w:tcPr>
          <w:p>
            <w:pPr>
              <w:pStyle w:val="19"/>
            </w:pPr>
            <w:r>
              <w:t>13.55</w:t>
            </w:r>
          </w:p>
        </w:tc>
        <w:tc>
          <w:tcPr>
            <w:tcW w:w="1134" w:type="dxa"/>
            <w:tcBorders>
              <w:left w:val="single" w:sz="6" w:space="0" w:color="auto"/>
            </w:tcBorders>
            <w:vAlign w:val="center"/>
          </w:tcPr>
          <w:p>
            <w:pPr>
              <w:pStyle w:val="19"/>
            </w:pPr>
            <w:r>
              <w:t>13.55</w:t>
            </w:r>
          </w:p>
        </w:tc>
        <w:tc>
          <w:tcPr>
            <w:tcW w:w="1134" w:type="dxa"/>
            <w:tcBorders>
              <w:left w:val="single" w:sz="6" w:space="0" w:color="auto"/>
            </w:tcBorders>
            <w:vAlign w:val="center"/>
          </w:tcPr>
          <w:p>
            <w:pPr>
              <w:pStyle w:val="19"/>
            </w:pPr>
            <w:r>
              <w:t>13.55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9.92</w:t>
            </w:r>
          </w:p>
        </w:tc>
        <w:tc>
          <w:tcPr>
            <w:tcW w:w="1134" w:type="dxa"/>
            <w:tcBorders>
              <w:left w:val="single" w:sz="6" w:space="0" w:color="auto"/>
            </w:tcBorders>
            <w:vAlign w:val="center"/>
          </w:tcPr>
          <w:p>
            <w:pPr>
              <w:pStyle w:val="19"/>
            </w:pPr>
            <w:r>
              <w:t>9.92</w:t>
            </w:r>
          </w:p>
        </w:tc>
        <w:tc>
          <w:tcPr>
            <w:tcW w:w="1134" w:type="dxa"/>
            <w:tcBorders>
              <w:left w:val="single" w:sz="6" w:space="0" w:color="auto"/>
            </w:tcBorders>
            <w:vAlign w:val="center"/>
          </w:tcPr>
          <w:p>
            <w:pPr>
              <w:pStyle w:val="19"/>
            </w:pPr>
            <w:r>
              <w:t>9.92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3.50</w:t>
            </w:r>
          </w:p>
        </w:tc>
        <w:tc>
          <w:tcPr>
            <w:tcW w:w="1134" w:type="dxa"/>
            <w:tcBorders>
              <w:left w:val="single" w:sz="6" w:space="0" w:color="auto"/>
            </w:tcBorders>
            <w:vAlign w:val="center"/>
          </w:tcPr>
          <w:p>
            <w:pPr>
              <w:pStyle w:val="19"/>
            </w:pPr>
            <w:r>
              <w:t>3.50</w:t>
            </w:r>
          </w:p>
        </w:tc>
        <w:tc>
          <w:tcPr>
            <w:tcW w:w="1134" w:type="dxa"/>
            <w:tcBorders>
              <w:left w:val="single" w:sz="6" w:space="0" w:color="auto"/>
            </w:tcBorders>
            <w:vAlign w:val="center"/>
          </w:tcPr>
          <w:p>
            <w:pPr>
              <w:pStyle w:val="19"/>
            </w:pPr>
            <w:r>
              <w:t>3.50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2.71</w:t>
            </w:r>
          </w:p>
        </w:tc>
        <w:tc>
          <w:tcPr>
            <w:tcW w:w="1134" w:type="dxa"/>
            <w:tcBorders>
              <w:left w:val="single" w:sz="6" w:space="0" w:color="auto"/>
            </w:tcBorders>
            <w:vAlign w:val="center"/>
          </w:tcPr>
          <w:p>
            <w:pPr>
              <w:pStyle w:val="19"/>
            </w:pPr>
            <w:r>
              <w:t>2.71</w:t>
            </w:r>
          </w:p>
        </w:tc>
        <w:tc>
          <w:tcPr>
            <w:tcW w:w="1134" w:type="dxa"/>
            <w:tcBorders>
              <w:left w:val="single" w:sz="6" w:space="0" w:color="auto"/>
            </w:tcBorders>
            <w:vAlign w:val="center"/>
          </w:tcPr>
          <w:p>
            <w:pPr>
              <w:pStyle w:val="19"/>
            </w:pPr>
            <w:r>
              <w:t>2.71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127.07</w:t>
            </w:r>
          </w:p>
        </w:tc>
        <w:tc>
          <w:tcPr>
            <w:tcW w:w="1361" w:type="dxa"/>
            <w:tcBorders>
              <w:left w:val="single" w:sz="6" w:space="0" w:color="auto"/>
            </w:tcBorders>
            <w:vAlign w:val="center"/>
          </w:tcPr>
          <w:p>
            <w:pPr>
              <w:pStyle w:val="23"/>
            </w:pPr>
            <w:r>
              <w:t>123.07</w:t>
            </w:r>
          </w:p>
        </w:tc>
        <w:tc>
          <w:tcPr>
            <w:tcW w:w="1361" w:type="dxa"/>
            <w:tcBorders>
              <w:left w:val="single" w:sz="6" w:space="0" w:color="auto"/>
            </w:tcBorders>
            <w:vAlign w:val="center"/>
          </w:tcPr>
          <w:p>
            <w:pPr>
              <w:pStyle w:val="23"/>
            </w:pPr>
            <w:r>
              <w:t>4.00</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1361" w:type="dxa"/>
            <w:tcBorders>
              <w:left w:val="single" w:sz="6" w:space="0" w:color="auto"/>
            </w:tcBorders>
            <w:vAlign w:val="center"/>
          </w:tcPr>
          <w:p>
            <w:pPr>
              <w:pStyle w:val="19"/>
            </w:pPr>
            <w:r>
              <w:t>90.10</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20128</w:t>
            </w:r>
          </w:p>
        </w:tc>
        <w:tc>
          <w:tcPr>
            <w:tcW w:w="4535" w:type="dxa"/>
            <w:tcBorders>
              <w:left w:val="single" w:sz="6" w:space="0" w:color="auto"/>
            </w:tcBorders>
            <w:vAlign w:val="center"/>
          </w:tcPr>
          <w:p>
            <w:pPr>
              <w:pStyle w:val="20"/>
            </w:pPr>
            <w:r>
              <w:t>民主党派及工商联事务</w:t>
            </w:r>
          </w:p>
        </w:tc>
        <w:tc>
          <w:tcPr>
            <w:tcW w:w="1361" w:type="dxa"/>
            <w:tcBorders>
              <w:left w:val="single" w:sz="6" w:space="0" w:color="auto"/>
            </w:tcBorders>
            <w:vAlign w:val="center"/>
          </w:tcPr>
          <w:p>
            <w:pPr>
              <w:pStyle w:val="19"/>
            </w:pPr>
            <w:r>
              <w:t>90.10</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2012801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2012802</w:t>
            </w:r>
          </w:p>
        </w:tc>
        <w:tc>
          <w:tcPr>
            <w:tcW w:w="4535" w:type="dxa"/>
            <w:tcBorders>
              <w:left w:val="single" w:sz="6" w:space="0" w:color="auto"/>
            </w:tcBorders>
            <w:vAlign w:val="center"/>
          </w:tcPr>
          <w:p>
            <w:pPr>
              <w:pStyle w:val="20"/>
            </w:pPr>
            <w:r>
              <w:t>一般行政管理事务</w:t>
            </w: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1361" w:type="dxa"/>
            <w:tcBorders>
              <w:left w:val="single" w:sz="6" w:space="0" w:color="auto"/>
            </w:tcBorders>
            <w:vAlign w:val="center"/>
          </w:tcPr>
          <w:p>
            <w:pPr>
              <w:pStyle w:val="19"/>
            </w:pPr>
            <w:r>
              <w:t>13.55</w:t>
            </w:r>
          </w:p>
        </w:tc>
        <w:tc>
          <w:tcPr>
            <w:tcW w:w="1361" w:type="dxa"/>
            <w:tcBorders>
              <w:left w:val="single" w:sz="6" w:space="0" w:color="auto"/>
            </w:tcBorders>
            <w:vAlign w:val="center"/>
          </w:tcPr>
          <w:p>
            <w:pPr>
              <w:pStyle w:val="19"/>
            </w:pPr>
            <w:r>
              <w:t>13.55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9.92</w:t>
            </w:r>
          </w:p>
        </w:tc>
        <w:tc>
          <w:tcPr>
            <w:tcW w:w="1361" w:type="dxa"/>
            <w:tcBorders>
              <w:left w:val="single" w:sz="6" w:space="0" w:color="auto"/>
            </w:tcBorders>
            <w:vAlign w:val="center"/>
          </w:tcPr>
          <w:p>
            <w:pPr>
              <w:pStyle w:val="19"/>
            </w:pPr>
            <w:r>
              <w:t>9.92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3.50</w:t>
            </w:r>
          </w:p>
        </w:tc>
        <w:tc>
          <w:tcPr>
            <w:tcW w:w="1361" w:type="dxa"/>
            <w:tcBorders>
              <w:left w:val="single" w:sz="6" w:space="0" w:color="auto"/>
            </w:tcBorders>
            <w:vAlign w:val="center"/>
          </w:tcPr>
          <w:p>
            <w:pPr>
              <w:pStyle w:val="19"/>
            </w:pPr>
            <w:r>
              <w:t>3.50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2.71</w:t>
            </w:r>
          </w:p>
        </w:tc>
        <w:tc>
          <w:tcPr>
            <w:tcW w:w="1361" w:type="dxa"/>
            <w:tcBorders>
              <w:left w:val="single" w:sz="6" w:space="0" w:color="auto"/>
            </w:tcBorders>
            <w:vAlign w:val="center"/>
          </w:tcPr>
          <w:p>
            <w:pPr>
              <w:pStyle w:val="19"/>
            </w:pPr>
            <w:r>
              <w:t>2.71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127.07</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r>
              <w:t>90.10</w:t>
            </w:r>
          </w:p>
        </w:tc>
        <w:tc>
          <w:tcPr>
            <w:tcW w:w="1474" w:type="dxa"/>
            <w:tcBorders>
              <w:left w:val="single" w:sz="6" w:space="0" w:color="auto"/>
            </w:tcBorders>
            <w:vAlign w:val="center"/>
          </w:tcPr>
          <w:p>
            <w:pPr>
              <w:pStyle w:val="19"/>
            </w:pPr>
            <w:r>
              <w:t>90.10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23.47</w:t>
            </w:r>
          </w:p>
        </w:tc>
        <w:tc>
          <w:tcPr>
            <w:tcW w:w="1474" w:type="dxa"/>
            <w:tcBorders>
              <w:left w:val="single" w:sz="6" w:space="0" w:color="auto"/>
            </w:tcBorders>
            <w:vAlign w:val="center"/>
          </w:tcPr>
          <w:p>
            <w:pPr>
              <w:pStyle w:val="19"/>
            </w:pPr>
            <w:r>
              <w:t>23.47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6.21</w:t>
            </w:r>
          </w:p>
        </w:tc>
        <w:tc>
          <w:tcPr>
            <w:tcW w:w="1474" w:type="dxa"/>
            <w:tcBorders>
              <w:left w:val="single" w:sz="6" w:space="0" w:color="auto"/>
            </w:tcBorders>
            <w:vAlign w:val="center"/>
          </w:tcPr>
          <w:p>
            <w:pPr>
              <w:pStyle w:val="19"/>
            </w:pPr>
            <w:r>
              <w:t>6.21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7.29</w:t>
            </w:r>
          </w:p>
        </w:tc>
        <w:tc>
          <w:tcPr>
            <w:tcW w:w="1474" w:type="dxa"/>
            <w:tcBorders>
              <w:left w:val="single" w:sz="6" w:space="0" w:color="auto"/>
            </w:tcBorders>
            <w:vAlign w:val="center"/>
          </w:tcPr>
          <w:p>
            <w:pPr>
              <w:pStyle w:val="19"/>
            </w:pPr>
            <w:r>
              <w:t>7.29</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127.07</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127.07</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127.07</w:t>
            </w:r>
          </w:p>
        </w:tc>
        <w:tc>
          <w:tcPr>
            <w:tcW w:w="2551" w:type="dxa"/>
            <w:tcBorders>
              <w:left w:val="single" w:sz="6" w:space="0" w:color="auto"/>
            </w:tcBorders>
            <w:vAlign w:val="center"/>
          </w:tcPr>
          <w:p>
            <w:pPr>
              <w:pStyle w:val="23"/>
            </w:pPr>
            <w:r>
              <w:t>123.07</w:t>
            </w:r>
          </w:p>
        </w:tc>
        <w:tc>
          <w:tcPr>
            <w:tcW w:w="2551" w:type="dxa"/>
            <w:tcBorders>
              <w:left w:val="single" w:sz="6" w:space="0" w:color="auto"/>
            </w:tcBorders>
            <w:vAlign w:val="center"/>
          </w:tcPr>
          <w:p>
            <w:pPr>
              <w:pStyle w:val="23"/>
            </w:pPr>
            <w:r>
              <w:t>4.00</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2551" w:type="dxa"/>
            <w:tcBorders>
              <w:left w:val="single" w:sz="6" w:space="0" w:color="auto"/>
            </w:tcBorders>
            <w:vAlign w:val="center"/>
          </w:tcPr>
          <w:p>
            <w:pPr>
              <w:pStyle w:val="19"/>
            </w:pPr>
            <w:r>
              <w:t>90.10</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r>
              <w:t>4.00</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20128</w:t>
            </w:r>
          </w:p>
        </w:tc>
        <w:tc>
          <w:tcPr>
            <w:tcW w:w="4535" w:type="dxa"/>
            <w:tcBorders>
              <w:left w:val="single" w:sz="6" w:space="0" w:color="auto"/>
            </w:tcBorders>
            <w:vAlign w:val="center"/>
          </w:tcPr>
          <w:p>
            <w:pPr>
              <w:pStyle w:val="20"/>
            </w:pPr>
            <w:r>
              <w:t>民主党派及工商联事务</w:t>
            </w:r>
          </w:p>
        </w:tc>
        <w:tc>
          <w:tcPr>
            <w:tcW w:w="2551" w:type="dxa"/>
            <w:tcBorders>
              <w:left w:val="single" w:sz="6" w:space="0" w:color="auto"/>
            </w:tcBorders>
            <w:vAlign w:val="center"/>
          </w:tcPr>
          <w:p>
            <w:pPr>
              <w:pStyle w:val="19"/>
            </w:pPr>
            <w:r>
              <w:t>90.10</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r>
              <w:t>4.00</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2012801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2012802</w:t>
            </w:r>
          </w:p>
        </w:tc>
        <w:tc>
          <w:tcPr>
            <w:tcW w:w="4535" w:type="dxa"/>
            <w:tcBorders>
              <w:left w:val="single" w:sz="6" w:space="0" w:color="auto"/>
            </w:tcBorders>
            <w:vAlign w:val="center"/>
          </w:tcPr>
          <w:p>
            <w:pPr>
              <w:pStyle w:val="20"/>
            </w:pPr>
            <w:r>
              <w:t>一般行政管理事务</w:t>
            </w:r>
          </w:p>
        </w:tc>
        <w:tc>
          <w:tcPr>
            <w:tcW w:w="2551" w:type="dxa"/>
            <w:tcBorders>
              <w:left w:val="single" w:sz="6" w:space="0" w:color="auto"/>
            </w:tcBorders>
            <w:vAlign w:val="center"/>
          </w:tcPr>
          <w:p>
            <w:pPr>
              <w:pStyle w:val="19"/>
            </w:pPr>
            <w:r>
              <w:t>4.00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4.00</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123.07</w:t>
            </w:r>
          </w:p>
        </w:tc>
        <w:tc>
          <w:tcPr>
            <w:tcW w:w="2551" w:type="dxa"/>
            <w:tcBorders>
              <w:left w:val="single" w:sz="6" w:space="0" w:color="auto"/>
            </w:tcBorders>
            <w:vAlign w:val="center"/>
          </w:tcPr>
          <w:p>
            <w:pPr>
              <w:pStyle w:val="23"/>
            </w:pPr>
            <w:r>
              <w:t>113.64</w:t>
            </w:r>
          </w:p>
        </w:tc>
        <w:tc>
          <w:tcPr>
            <w:tcW w:w="2551" w:type="dxa"/>
            <w:tcBorders>
              <w:left w:val="single" w:sz="6" w:space="0" w:color="auto"/>
            </w:tcBorders>
            <w:vAlign w:val="center"/>
          </w:tcPr>
          <w:p>
            <w:pPr>
              <w:pStyle w:val="23"/>
            </w:pPr>
            <w:r>
              <w:t>9.43</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99.05</w:t>
            </w:r>
          </w:p>
        </w:tc>
        <w:tc>
          <w:tcPr>
            <w:tcW w:w="2551" w:type="dxa"/>
            <w:tcBorders>
              <w:left w:val="single" w:sz="6" w:space="0" w:color="auto"/>
            </w:tcBorders>
            <w:vAlign w:val="center"/>
          </w:tcPr>
          <w:p>
            <w:pPr>
              <w:pStyle w:val="19"/>
            </w:pPr>
            <w:r>
              <w:t>99.05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24.03</w:t>
            </w:r>
          </w:p>
        </w:tc>
        <w:tc>
          <w:tcPr>
            <w:tcW w:w="2551" w:type="dxa"/>
            <w:tcBorders>
              <w:left w:val="single" w:sz="6" w:space="0" w:color="auto"/>
            </w:tcBorders>
            <w:vAlign w:val="center"/>
          </w:tcPr>
          <w:p>
            <w:pPr>
              <w:pStyle w:val="19"/>
            </w:pPr>
            <w:r>
              <w:t>24.03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25.17</w:t>
            </w:r>
          </w:p>
        </w:tc>
        <w:tc>
          <w:tcPr>
            <w:tcW w:w="2551" w:type="dxa"/>
            <w:tcBorders>
              <w:left w:val="single" w:sz="6" w:space="0" w:color="auto"/>
            </w:tcBorders>
            <w:vAlign w:val="center"/>
          </w:tcPr>
          <w:p>
            <w:pPr>
              <w:pStyle w:val="19"/>
            </w:pPr>
            <w:r>
              <w:t>25.17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14.97</w:t>
            </w:r>
          </w:p>
        </w:tc>
        <w:tc>
          <w:tcPr>
            <w:tcW w:w="2551" w:type="dxa"/>
            <w:tcBorders>
              <w:left w:val="single" w:sz="6" w:space="0" w:color="auto"/>
            </w:tcBorders>
            <w:vAlign w:val="center"/>
          </w:tcPr>
          <w:p>
            <w:pPr>
              <w:pStyle w:val="19"/>
            </w:pPr>
            <w:r>
              <w:t>14.97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4.86</w:t>
            </w:r>
          </w:p>
        </w:tc>
        <w:tc>
          <w:tcPr>
            <w:tcW w:w="2551" w:type="dxa"/>
            <w:tcBorders>
              <w:left w:val="single" w:sz="6" w:space="0" w:color="auto"/>
            </w:tcBorders>
            <w:vAlign w:val="center"/>
          </w:tcPr>
          <w:p>
            <w:pPr>
              <w:pStyle w:val="19"/>
            </w:pPr>
            <w:r>
              <w:t>4.86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6.59</w:t>
            </w:r>
          </w:p>
        </w:tc>
        <w:tc>
          <w:tcPr>
            <w:tcW w:w="2551" w:type="dxa"/>
            <w:tcBorders>
              <w:left w:val="single" w:sz="6" w:space="0" w:color="auto"/>
            </w:tcBorders>
            <w:vAlign w:val="center"/>
          </w:tcPr>
          <w:p>
            <w:pPr>
              <w:pStyle w:val="19"/>
            </w:pPr>
            <w:r>
              <w:t>6.59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9.43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9.43</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1.50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2.84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2.84</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0.65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0.65</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0.60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0.60</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3.54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3.54</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0.30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0.30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14.59</w:t>
            </w:r>
          </w:p>
        </w:tc>
        <w:tc>
          <w:tcPr>
            <w:tcW w:w="2551" w:type="dxa"/>
            <w:tcBorders>
              <w:left w:val="single" w:sz="6" w:space="0" w:color="auto"/>
            </w:tcBorders>
            <w:vAlign w:val="center"/>
          </w:tcPr>
          <w:p>
            <w:pPr>
              <w:pStyle w:val="19"/>
            </w:pPr>
            <w:r>
              <w:t>14.59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30305</w:t>
            </w:r>
          </w:p>
        </w:tc>
        <w:tc>
          <w:tcPr>
            <w:tcW w:w="4535" w:type="dxa"/>
            <w:tcBorders>
              <w:left w:val="single" w:sz="6" w:space="0" w:color="auto"/>
            </w:tcBorders>
            <w:vAlign w:val="center"/>
          </w:tcPr>
          <w:p>
            <w:pPr>
              <w:pStyle w:val="20"/>
            </w:pPr>
            <w:r>
              <w:t>生活补助</w:t>
            </w:r>
          </w:p>
        </w:tc>
        <w:tc>
          <w:tcPr>
            <w:tcW w:w="2551" w:type="dxa"/>
            <w:tcBorders>
              <w:left w:val="single" w:sz="6" w:space="0" w:color="auto"/>
            </w:tcBorders>
            <w:vAlign w:val="center"/>
          </w:tcPr>
          <w:p>
            <w:pPr>
              <w:pStyle w:val="19"/>
            </w:pPr>
            <w:r>
              <w:t>1.04</w:t>
            </w:r>
          </w:p>
        </w:tc>
        <w:tc>
          <w:tcPr>
            <w:tcW w:w="2551" w:type="dxa"/>
            <w:tcBorders>
              <w:left w:val="single" w:sz="6" w:space="0" w:color="auto"/>
            </w:tcBorders>
            <w:vAlign w:val="center"/>
          </w:tcPr>
          <w:p>
            <w:pPr>
              <w:pStyle w:val="19"/>
            </w:pPr>
            <w:r>
              <w:t>1.04</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石家庄市藁城区工商业联合会本级2025年单位预算信息公开情况说明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按照《中华人民共和国预算法》、《地方预决算公开操作规程》和《关于进一步推进预算公开工作的实施意见》规定，现将石家庄市藁城区工商业联合会本级2025年单位预算公开如下：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藁城区工商联的主要工作职责是：</w:t>
      </w:r>
    </w:p>
    <w:p>
      <w:pPr>
        <w:pStyle w:val="25"/>
      </w:pPr>
      <w:r>
        <w:t>(一)团结、服务、引导、教育非公有制经济人士爱国、敬业、诚信、守法、贡献，培养拥护党的领导、走中国特色社会主义道路的非公有制经济人士队伍。</w:t>
      </w:r>
    </w:p>
    <w:p>
      <w:pPr>
        <w:pStyle w:val="25"/>
      </w:pPr>
      <w:r>
        <w:t>(二)做好非公有制经济代表人士政治安排的推荐工作。参与政治协商，发挥民主监督作用，积极参政议政。</w:t>
      </w:r>
    </w:p>
    <w:p>
      <w:pPr>
        <w:pStyle w:val="25"/>
      </w:pPr>
      <w:r>
        <w:t>(三)参与政府相关的经济活动，广泛联系各地工商界人士，开展民间外交，推动经贸交流和协作，促进经济社会发展。</w:t>
      </w:r>
    </w:p>
    <w:p>
      <w:pPr>
        <w:pStyle w:val="25"/>
      </w:pPr>
      <w:r>
        <w:t>(四)参与协调劳动关系，促进和谐社会建设。</w:t>
      </w:r>
    </w:p>
    <w:p>
      <w:pPr>
        <w:pStyle w:val="25"/>
      </w:pPr>
      <w:r>
        <w:t>(五)指导本会直属商会工作，积极参与社会组织建设工作，促进行业协会商会改革发展。</w:t>
      </w:r>
    </w:p>
    <w:p>
      <w:pPr>
        <w:pStyle w:val="25"/>
      </w:pPr>
      <w:r>
        <w:t xml:space="preserve">(六)反映非公有制企业和非公有制经济人士利益诉求维护其合法权益。 </w:t>
      </w:r>
    </w:p>
    <w:p>
      <w:pPr>
        <w:pStyle w:val="25"/>
      </w:pPr>
      <w:r>
        <w:t>(七)为会员提供政策信息、人才交流培训等服务。组织会员企业参加各类经贸活动，外出参观考察，帮助会员企业拓展市场。</w:t>
      </w:r>
    </w:p>
    <w:p>
      <w:pPr>
        <w:pStyle w:val="25"/>
      </w:pPr>
      <w:r>
        <w:t>(八)配合有关部门开展非公有制会员企业党建工作。</w:t>
      </w:r>
    </w:p>
    <w:p>
      <w:pPr>
        <w:pStyle w:val="25"/>
      </w:pPr>
      <w:r>
        <w:t>(九)积极引导非公有制企业及其非公有制经济人士承担社会责任，大力支持慈善公益事业发展，积极投身光彩事业。</w:t>
      </w:r>
    </w:p>
    <w:p>
      <w:pPr>
        <w:pStyle w:val="25"/>
      </w:pPr>
      <w:r>
        <w:t>(十)承办区委、区政府和上级工商联交办的其它任务。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石家庄市藁城区工商业联合会本级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127.07万元，其中：一般公共预算收入127.07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藁城区工商业联合会本级年度单位预算中支出预算的总体情况。2025年支出预算127.07万元，其中基本支出123.07万元，包括人员经费113.64万元和日常公用经费9.43万元；项目支出4.00万元，主要为主要为执委活动经费支出4万元。</w:t>
      </w:r>
    </w:p>
    <w:p>
      <w:pPr>
        <w:pStyle w:val="26"/>
      </w:pPr>
      <w:r>
        <w:t>3、比上年增减情况</w:t>
      </w:r>
    </w:p>
    <w:p>
      <w:pPr>
        <w:pStyle w:val="26"/>
      </w:pPr>
      <w:r>
        <w:t>2025年预算收支安排127.07万元，较2024年预算减少10.92万元，其中：基本支出减少10.92万元，主要为人员减少。项目支出增加0.00万元，主要为项目无变化。</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2025年，我单位机关运行经费共计安排9.43万元，主要用于日常维修、办公用房水电费、办公用房取暖费、办公用房物业管理费等日常运行支出。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rPr>
          <w:rFonts w:ascii="Times New Roman" w:eastAsia="方正仿宋_GBK" w:cs="Times New Roman" w:hAnsi="Times New Roman"/>
          <w:kern w:val="0"/>
          <w:sz w:val="28"/>
          <w:szCs w:val="24"/>
          <w:lang w:eastAsia="uk-UA"/>
        </w:rPr>
        <w:t>202</w:t>
      </w:r>
      <w:r>
        <w:rPr>
          <w:rFonts w:ascii="Times New Roman" w:eastAsia="方正仿宋_GBK" w:cs="Times New Roman" w:hAnsi="Times New Roman" w:hint="eastAsia"/>
          <w:kern w:val="0"/>
          <w:sz w:val="28"/>
          <w:szCs w:val="24"/>
          <w:lang w:eastAsia="uk-UA"/>
        </w:rPr>
        <w:t>5</w:t>
      </w:r>
      <w:r>
        <w:rPr>
          <w:rFonts w:ascii="Times New Roman" w:eastAsia="方正仿宋_GBK" w:cs="Times New Roman" w:hAnsi="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1、执委活动经费绩效目标表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13010925P00000810377A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执委活动经费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通过对民营经济人士调研及培训等，加强对民营经济人士的思想政治引领，提升民营企业家综合素质，促进民营企业发展。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1.20</w:t>
            </w:r>
          </w:p>
        </w:tc>
        <w:tc>
          <w:tcPr>
            <w:tcW w:w="2835" w:type="dxa"/>
            <w:tcBorders>
              <w:left w:val="single" w:sz="6" w:space="0" w:color="auto"/>
            </w:tcBorders>
            <w:vAlign w:val="center"/>
          </w:tcPr>
          <w:p>
            <w:pPr>
              <w:pStyle w:val="21"/>
            </w:pPr>
            <w:r>
              <w:t>2.00</w:t>
            </w:r>
          </w:p>
        </w:tc>
        <w:tc>
          <w:tcPr>
            <w:tcW w:w="2551" w:type="dxa"/>
            <w:tcBorders>
              <w:left w:val="single" w:sz="6" w:space="0" w:color="auto"/>
            </w:tcBorders>
            <w:vAlign w:val="center"/>
          </w:tcPr>
          <w:p>
            <w:pPr>
              <w:pStyle w:val="21"/>
            </w:pPr>
            <w:r>
              <w:t>3.20</w:t>
            </w:r>
          </w:p>
        </w:tc>
        <w:tc>
          <w:tcPr>
            <w:tcW w:w="3544" w:type="dxa"/>
            <w:gridSpan w:val="2"/>
            <w:tcBorders>
              <w:left w:val="single" w:sz="6" w:space="0" w:color="auto"/>
            </w:tcBorders>
            <w:vAlign w:val="center"/>
          </w:tcPr>
          <w:p>
            <w:pPr>
              <w:pStyle w:val="21"/>
            </w:pPr>
            <w:r>
              <w:t>4.00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1.通过对民营经济人士调研及培训等，加强对民营经济人士的思想政治引领，提升民营企业家综合素质，促进民营企业发展。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各类调研、培训、会议次数</w:t>
            </w:r>
          </w:p>
        </w:tc>
        <w:tc>
          <w:tcPr>
            <w:tcW w:w="5386" w:type="dxa"/>
            <w:tcBorders>
              <w:left w:val="single" w:sz="6" w:space="0" w:color="auto"/>
            </w:tcBorders>
            <w:vAlign w:val="center"/>
          </w:tcPr>
          <w:p>
            <w:pPr>
              <w:pStyle w:val="20"/>
            </w:pPr>
            <w:r>
              <w:t>召开会议的次数，调研次数，培训次数</w:t>
            </w:r>
          </w:p>
        </w:tc>
        <w:tc>
          <w:tcPr>
            <w:tcW w:w="2268" w:type="dxa"/>
            <w:tcBorders>
              <w:left w:val="single" w:sz="6" w:space="0" w:color="auto"/>
            </w:tcBorders>
            <w:vAlign w:val="center"/>
          </w:tcPr>
          <w:p>
            <w:pPr>
              <w:pStyle w:val="20"/>
            </w:pPr>
            <w:r>
              <w:t>≥7次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培训人员的参训率</w:t>
            </w:r>
          </w:p>
        </w:tc>
        <w:tc>
          <w:tcPr>
            <w:tcW w:w="5386" w:type="dxa"/>
            <w:tcBorders>
              <w:left w:val="single" w:sz="6" w:space="0" w:color="auto"/>
            </w:tcBorders>
            <w:vAlign w:val="center"/>
          </w:tcPr>
          <w:p>
            <w:pPr>
              <w:pStyle w:val="20"/>
            </w:pPr>
            <w:r>
              <w:t>培训人员的参训率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资金支付及时性</w:t>
            </w:r>
          </w:p>
        </w:tc>
        <w:tc>
          <w:tcPr>
            <w:tcW w:w="5386" w:type="dxa"/>
            <w:tcBorders>
              <w:left w:val="single" w:sz="6" w:space="0" w:color="auto"/>
            </w:tcBorders>
            <w:vAlign w:val="center"/>
          </w:tcPr>
          <w:p>
            <w:pPr>
              <w:pStyle w:val="20"/>
            </w:pPr>
            <w:r>
              <w:t>按照进度完成支出及时性</w:t>
            </w:r>
          </w:p>
        </w:tc>
        <w:tc>
          <w:tcPr>
            <w:tcW w:w="2268" w:type="dxa"/>
            <w:tcBorders>
              <w:left w:val="single" w:sz="6" w:space="0" w:color="auto"/>
            </w:tcBorders>
            <w:vAlign w:val="center"/>
          </w:tcPr>
          <w:p>
            <w:pPr>
              <w:pStyle w:val="20"/>
            </w:pPr>
            <w:r>
              <w:t>2025/12/31前完成</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资金成本</w:t>
            </w:r>
          </w:p>
        </w:tc>
        <w:tc>
          <w:tcPr>
            <w:tcW w:w="5386" w:type="dxa"/>
            <w:tcBorders>
              <w:left w:val="single" w:sz="6" w:space="0" w:color="auto"/>
            </w:tcBorders>
            <w:vAlign w:val="center"/>
          </w:tcPr>
          <w:p>
            <w:pPr>
              <w:pStyle w:val="20"/>
            </w:pPr>
            <w:r>
              <w:t>资金成本</w:t>
            </w:r>
          </w:p>
        </w:tc>
        <w:tc>
          <w:tcPr>
            <w:tcW w:w="2268" w:type="dxa"/>
            <w:tcBorders>
              <w:left w:val="single" w:sz="6" w:space="0" w:color="auto"/>
            </w:tcBorders>
            <w:vAlign w:val="center"/>
          </w:tcPr>
          <w:p>
            <w:pPr>
              <w:pStyle w:val="20"/>
            </w:pPr>
            <w:r>
              <w:t>40000元</w:t>
            </w:r>
          </w:p>
        </w:tc>
        <w:tc>
          <w:tcPr>
            <w:tcW w:w="1276" w:type="dxa"/>
            <w:tcBorders>
              <w:left w:val="single" w:sz="6" w:space="0" w:color="auto"/>
            </w:tcBorders>
            <w:vAlign w:val="center"/>
          </w:tcPr>
          <w:p>
            <w:pPr>
              <w:pStyle w:val="20"/>
            </w:pPr>
            <w:r>
              <w:t>预算编制</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社会效益指标</w:t>
            </w:r>
          </w:p>
        </w:tc>
        <w:tc>
          <w:tcPr>
            <w:tcW w:w="5386" w:type="dxa"/>
            <w:tcBorders>
              <w:left w:val="single" w:sz="6" w:space="0" w:color="auto"/>
            </w:tcBorders>
            <w:vAlign w:val="center"/>
          </w:tcPr>
          <w:p>
            <w:pPr>
              <w:pStyle w:val="20"/>
            </w:pPr>
            <w:r>
              <w:t>提升民营企业家综合素质，促进民营企业发展</w:t>
            </w:r>
          </w:p>
        </w:tc>
        <w:tc>
          <w:tcPr>
            <w:tcW w:w="2268" w:type="dxa"/>
            <w:tcBorders>
              <w:left w:val="single" w:sz="6" w:space="0" w:color="auto"/>
            </w:tcBorders>
            <w:vAlign w:val="center"/>
          </w:tcPr>
          <w:p>
            <w:pPr>
              <w:pStyle w:val="20"/>
            </w:pPr>
            <w:r>
              <w:t>提升民营企业家综合素质，促进民营企业发展</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服务对象满意度指标</w:t>
            </w:r>
          </w:p>
        </w:tc>
        <w:tc>
          <w:tcPr>
            <w:tcW w:w="5386" w:type="dxa"/>
            <w:tcBorders>
              <w:left w:val="single" w:sz="6" w:space="0" w:color="auto"/>
            </w:tcBorders>
            <w:vAlign w:val="center"/>
          </w:tcPr>
          <w:p>
            <w:pPr>
              <w:pStyle w:val="20"/>
            </w:pPr>
            <w:r>
              <w:t>参加培训人员的满意度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石家庄市藁城区工商业联合会本级上年末固定资产金额为11.51万元（详见下表）。本年度拟购置固定资产总额为0.00万元，已按要求列入政府采购预算，详见政府采购预算表。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714001石家庄市藁城区工商业联合会本级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11.51</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r>
              <w:t>145.60</w:t>
            </w:r>
          </w:p>
        </w:tc>
        <w:tc>
          <w:tcPr>
            <w:tcW w:w="2835" w:type="dxa"/>
            <w:tcBorders>
              <w:left w:val="single" w:sz="6" w:space="0" w:color="auto"/>
            </w:tcBorders>
            <w:vAlign w:val="center"/>
          </w:tcPr>
          <w:p>
            <w:pPr>
              <w:pStyle w:val="19"/>
            </w:pPr>
            <w:r>
              <w:t>2.80</w:t>
            </w: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35</w:t>
            </w:r>
          </w:p>
        </w:tc>
        <w:tc>
          <w:tcPr>
            <w:tcW w:w="2835" w:type="dxa"/>
            <w:tcBorders>
              <w:left w:val="single" w:sz="6" w:space="0" w:color="auto"/>
            </w:tcBorders>
            <w:vAlign w:val="center"/>
          </w:tcPr>
          <w:p>
            <w:pPr>
              <w:pStyle w:val="19"/>
            </w:pPr>
            <w:r>
              <w:t>8.71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pPr>
      <w:spacing w:before="0" w:after="0"/>
      <w:ind w:firstLine="0"/>
      <w:jc w:val="right"/>
      <w:outlineLvl w:val="9"/>
    </w:pPr>
    <w:rPr>
      <w:rFonts w:ascii="方正小标宋_GBK" w:eastAsia="方正小标宋_GBK" w:cs="方正小标宋_GBK" w:hAnsi="方正小标宋_GBK"/>
      <w:sz w:val="24"/>
      <w:szCs w:val="20"/>
    </w:rPr>
  </w:style>
  <w:style w:type="paragraph" w:customStyle="1" w:yozoId="4094" w:styleId="16">
    <w:name w:val="单元格样式21"/>
    <w:qFormat/>
    <w:pPr>
      <w:spacing w:before="0" w:after="0"/>
      <w:ind w:firstLine="0"/>
      <w:jc w:val="center"/>
      <w:outlineLvl w:val="9"/>
    </w:pPr>
    <w:rPr>
      <w:rFonts w:ascii="方正小标宋_GBK" w:eastAsia="方正小标宋_GBK" w:cs="方正小标宋_GBK" w:hAnsi="方正小标宋_GBK"/>
      <w:sz w:val="24"/>
      <w:szCs w:val="20"/>
    </w:rPr>
  </w:style>
  <w:style w:type="paragraph" w:customStyle="1" w:yozoId="4094" w:styleId="17">
    <w:name w:val="单元格样式20"/>
    <w:qFormat/>
    <w:pPr>
      <w:spacing w:before="0" w:after="0"/>
      <w:ind w:firstLine="0"/>
      <w:jc w:val="left"/>
      <w:outlineLvl w:val="9"/>
    </w:pPr>
    <w:rPr>
      <w:rFonts w:ascii="方正小标宋_GBK" w:eastAsia="方正小标宋_GBK" w:cs="方正小标宋_GBK" w:hAnsi="方正小标宋_GBK"/>
      <w:sz w:val="24"/>
      <w:szCs w:val="20"/>
    </w:rPr>
  </w:style>
  <w:style w:type="paragraph" w:customStyle="1" w:yozoId="4094" w:styleId="18">
    <w:name w:val="单元格样式1"/>
    <w:qFormat/>
    <w:pPr>
      <w:spacing w:before="0" w:after="0"/>
      <w:ind w:firstLine="0"/>
      <w:jc w:val="center"/>
      <w:outlineLvl w:val="9"/>
    </w:pPr>
    <w:rPr>
      <w:rFonts w:ascii="方正书宋_GBK" w:eastAsia="方正书宋_GBK" w:cs="方正书宋_GBK" w:hAnsi="方正书宋_GBK"/>
      <w:b/>
      <w:sz w:val="21"/>
      <w:szCs w:val="20"/>
    </w:rPr>
  </w:style>
  <w:style w:type="paragraph" w:customStyle="1" w:yozoId="4094" w:styleId="19">
    <w:name w:val="单元格样式4"/>
    <w:qFormat/>
    <w:pPr>
      <w:spacing w:before="0" w:after="0"/>
      <w:ind w:firstLine="0"/>
      <w:jc w:val="right"/>
      <w:outlineLvl w:val="9"/>
    </w:pPr>
    <w:rPr>
      <w:rFonts w:ascii="方正书宋_GBK" w:eastAsia="方正书宋_GBK" w:cs="方正书宋_GBK" w:hAnsi="方正书宋_GBK"/>
      <w:sz w:val="21"/>
      <w:szCs w:val="20"/>
    </w:rPr>
  </w:style>
  <w:style w:type="paragraph" w:customStyle="1" w:yozoId="4094" w:styleId="20">
    <w:name w:val="单元格样式2"/>
    <w:qFormat/>
    <w:pPr>
      <w:spacing w:before="0" w:after="0"/>
      <w:ind w:firstLine="0"/>
      <w:jc w:val="left"/>
      <w:outlineLvl w:val="9"/>
    </w:pPr>
    <w:rPr>
      <w:rFonts w:ascii="方正书宋_GBK" w:eastAsia="方正书宋_GBK" w:cs="方正书宋_GBK" w:hAnsi="方正书宋_GBK"/>
      <w:sz w:val="21"/>
      <w:szCs w:val="20"/>
    </w:rPr>
  </w:style>
  <w:style w:type="paragraph" w:customStyle="1" w:yozoId="4094" w:styleId="21">
    <w:name w:val="单元格样式3"/>
    <w:qFormat/>
    <w:pPr>
      <w:spacing w:before="0" w:after="0"/>
      <w:ind w:firstLine="0"/>
      <w:jc w:val="center"/>
      <w:outlineLvl w:val="9"/>
    </w:pPr>
    <w:rPr>
      <w:rFonts w:ascii="方正书宋_GBK" w:eastAsia="方正书宋_GBK" w:cs="方正书宋_GBK" w:hAnsi="方正书宋_GBK"/>
      <w:sz w:val="21"/>
      <w:szCs w:val="20"/>
    </w:rPr>
  </w:style>
  <w:style w:type="paragraph" w:customStyle="1" w:yozoId="4094" w:styleId="22">
    <w:name w:val="单元格样式6"/>
    <w:qFormat/>
    <w:pPr>
      <w:spacing w:before="0" w:after="0"/>
      <w:ind w:firstLine="0"/>
      <w:jc w:val="center"/>
      <w:outlineLvl w:val="9"/>
    </w:pPr>
    <w:rPr>
      <w:rFonts w:ascii="方正书宋_GBK" w:eastAsia="方正书宋_GBK" w:cs="方正书宋_GBK" w:hAnsi="方正书宋_GBK"/>
      <w:b/>
      <w:sz w:val="21"/>
      <w:szCs w:val="20"/>
    </w:rPr>
  </w:style>
  <w:style w:type="paragraph" w:customStyle="1" w:yozoId="4094" w:styleId="23">
    <w:name w:val="单元格样式7"/>
    <w:qFormat/>
    <w:pPr>
      <w:spacing w:before="0" w:after="0"/>
      <w:ind w:firstLine="0"/>
      <w:jc w:val="right"/>
      <w:outlineLvl w:val="9"/>
    </w:pPr>
    <w:rPr>
      <w:rFonts w:ascii="方正书宋_GBK" w:eastAsia="方正书宋_GBK" w:cs="方正书宋_GBK" w:hAnsi="方正书宋_GBK"/>
      <w:b/>
      <w:sz w:val="21"/>
      <w:szCs w:val="20"/>
    </w:rPr>
  </w:style>
  <w:style w:type="paragraph" w:customStyle="1" w:yozoId="4094" w:styleId="24">
    <w:name w:val="单元格样式5"/>
    <w:qFormat/>
    <w:pPr>
      <w:spacing w:before="0" w:after="0"/>
      <w:ind w:firstLine="0"/>
      <w:jc w:val="left"/>
      <w:outlineLvl w:val="9"/>
    </w:pPr>
    <w:rPr>
      <w:rFonts w:ascii="方正书宋_GBK" w:eastAsia="方正书宋_GBK" w:cs="方正书宋_GBK" w:hAnsi="方正书宋_GBK"/>
      <w:b/>
      <w:sz w:val="21"/>
      <w:szCs w:val="20"/>
    </w:rPr>
  </w:style>
  <w:style w:type="paragraph" w:customStyle="1" w:yozoId="4094"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9">
    <w:name w:val="单元格样式23"/>
    <w:qFormat/>
    <w:pPr>
      <w:spacing w:before="0" w:after="0"/>
      <w:ind w:firstLine="0"/>
      <w:jc w:val="right"/>
      <w:outlineLvl w:val="9"/>
    </w:pPr>
    <w:rPr>
      <w:rFonts w:ascii="方正书宋_GBK" w:eastAsia="方正书宋_GBK" w:cs="方正书宋_GBK" w:hAnsi="方正书宋_GBK"/>
      <w:sz w:val="24"/>
      <w:szCs w:val="20"/>
    </w:rPr>
  </w:style>
  <w:style w:type="paragraph" w:customStyle="1" w:yozoId="4094" w:styleId="30">
    <w:name w:val="TOC 4"/>
    <w:qFormat/>
    <w:basedOn w:val="0"/>
    <w:pPr>
      <w:ind w:left="720"/>
    </w:pPr>
  </w:style>
  <w:style w:type="paragraph" w:customStyle="1" w:yozoId="4094"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customProps>
</customData>
</file>

<file path=customXml/itemProps1.xml><?xml version="1.0" encoding="utf-8"?>
<ds:datastoreItem xmlns:ds="http://schemas.openxmlformats.org/officeDocument/2006/customXml" ds:itemID="{74A32505-6746-482B-B765-068BF490523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Yozo_Office9.0.5727.102ZH.HE36</Application>
  <Pages>22</Pages>
  <Words>0</Words>
  <Characters>6497</Characters>
  <Lines>0</Lines>
  <Paragraphs>92</Paragraphs>
  <CharactersWithSpaces>8663</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00</cp:lastModifiedBy>
  <cp:revision>2</cp:revision>
  <dcterms:created xsi:type="dcterms:W3CDTF">2025-02-11T16:41:13Z</dcterms:created>
  <dcterms:modified xsi:type="dcterms:W3CDTF">2025-02-12T00:46:09Z</dcterms:modified>
</cp:coreProperties>
</file>