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一、中共石家庄市藁城区委网络安全和信息化委员会办公室本级收支预算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一、中共石家庄市藁城区委网络安全和信息化委员会办公室本级收支预算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249.91</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r>
              <w:t>194.83</w:t>
            </w: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29.07</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11.67</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14.34</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249.91</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249.91</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249.91</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249.91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249.91</w:t>
            </w:r>
          </w:p>
        </w:tc>
        <w:tc>
          <w:tcPr>
            <w:tcW w:w="1134" w:type="dxa"/>
            <w:tcBorders>
              <w:left w:val="single" w:sz="6" w:space="0" w:color="auto"/>
            </w:tcBorders>
            <w:vAlign w:val="center"/>
          </w:tcPr>
          <w:p>
            <w:pPr>
              <w:pStyle w:val="23"/>
            </w:pPr>
            <w:r>
              <w:t>249.91</w:t>
            </w:r>
          </w:p>
        </w:tc>
        <w:tc>
          <w:tcPr>
            <w:tcW w:w="1134" w:type="dxa"/>
            <w:tcBorders>
              <w:left w:val="single" w:sz="6" w:space="0" w:color="auto"/>
            </w:tcBorders>
            <w:vAlign w:val="center"/>
          </w:tcPr>
          <w:p>
            <w:pPr>
              <w:pStyle w:val="23"/>
            </w:pPr>
            <w:r>
              <w:t>249.91</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201</w:t>
            </w:r>
          </w:p>
        </w:tc>
        <w:tc>
          <w:tcPr>
            <w:tcW w:w="1559" w:type="dxa"/>
            <w:tcBorders>
              <w:left w:val="single" w:sz="6" w:space="0" w:color="auto"/>
            </w:tcBorders>
            <w:vAlign w:val="center"/>
          </w:tcPr>
          <w:p>
            <w:pPr>
              <w:pStyle w:val="20"/>
            </w:pPr>
            <w:r>
              <w:t>一般公共服务支出</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20137</w:t>
            </w:r>
          </w:p>
        </w:tc>
        <w:tc>
          <w:tcPr>
            <w:tcW w:w="1559" w:type="dxa"/>
            <w:tcBorders>
              <w:left w:val="single" w:sz="6" w:space="0" w:color="auto"/>
            </w:tcBorders>
            <w:vAlign w:val="center"/>
          </w:tcPr>
          <w:p>
            <w:pPr>
              <w:pStyle w:val="20"/>
            </w:pPr>
            <w:r>
              <w:t>网信事务</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2013701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156.10</w:t>
            </w:r>
          </w:p>
        </w:tc>
        <w:tc>
          <w:tcPr>
            <w:tcW w:w="1134" w:type="dxa"/>
            <w:tcBorders>
              <w:left w:val="single" w:sz="6" w:space="0" w:color="auto"/>
            </w:tcBorders>
            <w:vAlign w:val="center"/>
          </w:tcPr>
          <w:p>
            <w:pPr>
              <w:pStyle w:val="19"/>
            </w:pPr>
            <w:r>
              <w:t>156.10</w:t>
            </w:r>
          </w:p>
        </w:tc>
        <w:tc>
          <w:tcPr>
            <w:tcW w:w="1134" w:type="dxa"/>
            <w:tcBorders>
              <w:left w:val="single" w:sz="6" w:space="0" w:color="auto"/>
            </w:tcBorders>
            <w:vAlign w:val="center"/>
          </w:tcPr>
          <w:p>
            <w:pPr>
              <w:pStyle w:val="19"/>
            </w:pPr>
            <w:r>
              <w:t>156.10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2013704</w:t>
            </w:r>
          </w:p>
        </w:tc>
        <w:tc>
          <w:tcPr>
            <w:tcW w:w="1559" w:type="dxa"/>
            <w:tcBorders>
              <w:left w:val="single" w:sz="6" w:space="0" w:color="auto"/>
            </w:tcBorders>
            <w:vAlign w:val="center"/>
          </w:tcPr>
          <w:p>
            <w:pPr>
              <w:pStyle w:val="20"/>
            </w:pPr>
            <w:r>
              <w:t>信息安全事务</w:t>
            </w:r>
          </w:p>
        </w:tc>
        <w:tc>
          <w:tcPr>
            <w:tcW w:w="1134" w:type="dxa"/>
            <w:tcBorders>
              <w:left w:val="single" w:sz="6" w:space="0" w:color="auto"/>
            </w:tcBorders>
            <w:vAlign w:val="center"/>
          </w:tcPr>
          <w:p>
            <w:pPr>
              <w:pStyle w:val="19"/>
            </w:pPr>
            <w:r>
              <w:t>23.40</w:t>
            </w:r>
          </w:p>
        </w:tc>
        <w:tc>
          <w:tcPr>
            <w:tcW w:w="1134" w:type="dxa"/>
            <w:tcBorders>
              <w:left w:val="single" w:sz="6" w:space="0" w:color="auto"/>
            </w:tcBorders>
            <w:vAlign w:val="center"/>
          </w:tcPr>
          <w:p>
            <w:pPr>
              <w:pStyle w:val="19"/>
            </w:pPr>
            <w:r>
              <w:t>23.40</w:t>
            </w:r>
          </w:p>
        </w:tc>
        <w:tc>
          <w:tcPr>
            <w:tcW w:w="1134" w:type="dxa"/>
            <w:tcBorders>
              <w:left w:val="single" w:sz="6" w:space="0" w:color="auto"/>
            </w:tcBorders>
            <w:vAlign w:val="center"/>
          </w:tcPr>
          <w:p>
            <w:pPr>
              <w:pStyle w:val="19"/>
            </w:pPr>
            <w:r>
              <w:t>23.40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2013799</w:t>
            </w:r>
          </w:p>
        </w:tc>
        <w:tc>
          <w:tcPr>
            <w:tcW w:w="1559" w:type="dxa"/>
            <w:tcBorders>
              <w:left w:val="single" w:sz="6" w:space="0" w:color="auto"/>
            </w:tcBorders>
            <w:vAlign w:val="center"/>
          </w:tcPr>
          <w:p>
            <w:pPr>
              <w:pStyle w:val="20"/>
            </w:pPr>
            <w:r>
              <w:t>其他网信事务支出</w:t>
            </w:r>
          </w:p>
        </w:tc>
        <w:tc>
          <w:tcPr>
            <w:tcW w:w="1134" w:type="dxa"/>
            <w:tcBorders>
              <w:left w:val="single" w:sz="6" w:space="0" w:color="auto"/>
            </w:tcBorders>
            <w:vAlign w:val="center"/>
          </w:tcPr>
          <w:p>
            <w:pPr>
              <w:pStyle w:val="19"/>
            </w:pPr>
            <w:r>
              <w:t>15.33</w:t>
            </w:r>
          </w:p>
        </w:tc>
        <w:tc>
          <w:tcPr>
            <w:tcW w:w="1134" w:type="dxa"/>
            <w:tcBorders>
              <w:left w:val="single" w:sz="6" w:space="0" w:color="auto"/>
            </w:tcBorders>
            <w:vAlign w:val="center"/>
          </w:tcPr>
          <w:p>
            <w:pPr>
              <w:pStyle w:val="19"/>
            </w:pPr>
            <w:r>
              <w:t>15.33</w:t>
            </w:r>
          </w:p>
        </w:tc>
        <w:tc>
          <w:tcPr>
            <w:tcW w:w="1134" w:type="dxa"/>
            <w:tcBorders>
              <w:left w:val="single" w:sz="6" w:space="0" w:color="auto"/>
            </w:tcBorders>
            <w:vAlign w:val="center"/>
          </w:tcPr>
          <w:p>
            <w:pPr>
              <w:pStyle w:val="19"/>
            </w:pPr>
            <w:r>
              <w:t>15.33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19.50</w:t>
            </w:r>
          </w:p>
        </w:tc>
        <w:tc>
          <w:tcPr>
            <w:tcW w:w="1134" w:type="dxa"/>
            <w:tcBorders>
              <w:left w:val="single" w:sz="6" w:space="0" w:color="auto"/>
            </w:tcBorders>
            <w:vAlign w:val="center"/>
          </w:tcPr>
          <w:p>
            <w:pPr>
              <w:pStyle w:val="19"/>
            </w:pPr>
            <w:r>
              <w:t>19.50</w:t>
            </w:r>
          </w:p>
        </w:tc>
        <w:tc>
          <w:tcPr>
            <w:tcW w:w="1134" w:type="dxa"/>
            <w:tcBorders>
              <w:left w:val="single" w:sz="6" w:space="0" w:color="auto"/>
            </w:tcBorders>
            <w:vAlign w:val="center"/>
          </w:tcPr>
          <w:p>
            <w:pPr>
              <w:pStyle w:val="19"/>
            </w:pPr>
            <w:r>
              <w:t>19.50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2080506</w:t>
            </w:r>
          </w:p>
        </w:tc>
        <w:tc>
          <w:tcPr>
            <w:tcW w:w="1559" w:type="dxa"/>
            <w:tcBorders>
              <w:left w:val="single" w:sz="6" w:space="0" w:color="auto"/>
            </w:tcBorders>
            <w:vAlign w:val="center"/>
          </w:tcPr>
          <w:p>
            <w:pPr>
              <w:pStyle w:val="20"/>
            </w:pPr>
            <w:r>
              <w:t>机关事业单位职业年金缴费支出</w:t>
            </w:r>
          </w:p>
        </w:tc>
        <w:tc>
          <w:tcPr>
            <w:tcW w:w="1134" w:type="dxa"/>
            <w:tcBorders>
              <w:left w:val="single" w:sz="6" w:space="0" w:color="auto"/>
            </w:tcBorders>
            <w:vAlign w:val="center"/>
          </w:tcPr>
          <w:p>
            <w:pPr>
              <w:pStyle w:val="19"/>
            </w:pPr>
            <w:r>
              <w:t>9.56</w:t>
            </w:r>
          </w:p>
        </w:tc>
        <w:tc>
          <w:tcPr>
            <w:tcW w:w="1134" w:type="dxa"/>
            <w:tcBorders>
              <w:left w:val="single" w:sz="6" w:space="0" w:color="auto"/>
            </w:tcBorders>
            <w:vAlign w:val="center"/>
          </w:tcPr>
          <w:p>
            <w:pPr>
              <w:pStyle w:val="19"/>
            </w:pPr>
            <w:r>
              <w:t>9.56</w:t>
            </w:r>
          </w:p>
        </w:tc>
        <w:tc>
          <w:tcPr>
            <w:tcW w:w="1134" w:type="dxa"/>
            <w:tcBorders>
              <w:left w:val="single" w:sz="6" w:space="0" w:color="auto"/>
            </w:tcBorders>
            <w:vAlign w:val="center"/>
          </w:tcPr>
          <w:p>
            <w:pPr>
              <w:pStyle w:val="19"/>
            </w:pPr>
            <w:r>
              <w:t>9.56</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6.58</w:t>
            </w:r>
          </w:p>
        </w:tc>
        <w:tc>
          <w:tcPr>
            <w:tcW w:w="1134" w:type="dxa"/>
            <w:tcBorders>
              <w:left w:val="single" w:sz="6" w:space="0" w:color="auto"/>
            </w:tcBorders>
            <w:vAlign w:val="center"/>
          </w:tcPr>
          <w:p>
            <w:pPr>
              <w:pStyle w:val="19"/>
            </w:pPr>
            <w:r>
              <w:t>6.58</w:t>
            </w:r>
          </w:p>
        </w:tc>
        <w:tc>
          <w:tcPr>
            <w:tcW w:w="1134" w:type="dxa"/>
            <w:tcBorders>
              <w:left w:val="single" w:sz="6" w:space="0" w:color="auto"/>
            </w:tcBorders>
            <w:vAlign w:val="center"/>
          </w:tcPr>
          <w:p>
            <w:pPr>
              <w:pStyle w:val="19"/>
            </w:pPr>
            <w:r>
              <w:t>6.58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5.09</w:t>
            </w:r>
          </w:p>
        </w:tc>
        <w:tc>
          <w:tcPr>
            <w:tcW w:w="1134" w:type="dxa"/>
            <w:tcBorders>
              <w:left w:val="single" w:sz="6" w:space="0" w:color="auto"/>
            </w:tcBorders>
            <w:vAlign w:val="center"/>
          </w:tcPr>
          <w:p>
            <w:pPr>
              <w:pStyle w:val="19"/>
            </w:pPr>
            <w:r>
              <w:t>5.09</w:t>
            </w:r>
          </w:p>
        </w:tc>
        <w:tc>
          <w:tcPr>
            <w:tcW w:w="1134" w:type="dxa"/>
            <w:tcBorders>
              <w:left w:val="single" w:sz="6" w:space="0" w:color="auto"/>
            </w:tcBorders>
            <w:vAlign w:val="center"/>
          </w:tcPr>
          <w:p>
            <w:pPr>
              <w:pStyle w:val="19"/>
            </w:pPr>
            <w:r>
              <w:t>5.09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249.91</w:t>
            </w:r>
          </w:p>
        </w:tc>
        <w:tc>
          <w:tcPr>
            <w:tcW w:w="1361" w:type="dxa"/>
            <w:tcBorders>
              <w:left w:val="single" w:sz="6" w:space="0" w:color="auto"/>
            </w:tcBorders>
            <w:vAlign w:val="center"/>
          </w:tcPr>
          <w:p>
            <w:pPr>
              <w:pStyle w:val="23"/>
            </w:pPr>
            <w:r>
              <w:t>211.18</w:t>
            </w:r>
          </w:p>
        </w:tc>
        <w:tc>
          <w:tcPr>
            <w:tcW w:w="1361" w:type="dxa"/>
            <w:tcBorders>
              <w:left w:val="single" w:sz="6" w:space="0" w:color="auto"/>
            </w:tcBorders>
            <w:vAlign w:val="center"/>
          </w:tcPr>
          <w:p>
            <w:pPr>
              <w:pStyle w:val="23"/>
            </w:pPr>
            <w:r>
              <w:t>38.73</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1361" w:type="dxa"/>
            <w:tcBorders>
              <w:left w:val="single" w:sz="6" w:space="0" w:color="auto"/>
            </w:tcBorders>
            <w:vAlign w:val="center"/>
          </w:tcPr>
          <w:p>
            <w:pPr>
              <w:pStyle w:val="19"/>
            </w:pPr>
            <w:r>
              <w:t>194.83</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r>
              <w:t>38.73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20137</w:t>
            </w:r>
          </w:p>
        </w:tc>
        <w:tc>
          <w:tcPr>
            <w:tcW w:w="4535" w:type="dxa"/>
            <w:tcBorders>
              <w:left w:val="single" w:sz="6" w:space="0" w:color="auto"/>
            </w:tcBorders>
            <w:vAlign w:val="center"/>
          </w:tcPr>
          <w:p>
            <w:pPr>
              <w:pStyle w:val="20"/>
            </w:pPr>
            <w:r>
              <w:t>网信事务</w:t>
            </w:r>
          </w:p>
        </w:tc>
        <w:tc>
          <w:tcPr>
            <w:tcW w:w="1361" w:type="dxa"/>
            <w:tcBorders>
              <w:left w:val="single" w:sz="6" w:space="0" w:color="auto"/>
            </w:tcBorders>
            <w:vAlign w:val="center"/>
          </w:tcPr>
          <w:p>
            <w:pPr>
              <w:pStyle w:val="19"/>
            </w:pPr>
            <w:r>
              <w:t>194.83</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r>
              <w:t>38.73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2013701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2013704</w:t>
            </w:r>
          </w:p>
        </w:tc>
        <w:tc>
          <w:tcPr>
            <w:tcW w:w="4535" w:type="dxa"/>
            <w:tcBorders>
              <w:left w:val="single" w:sz="6" w:space="0" w:color="auto"/>
            </w:tcBorders>
            <w:vAlign w:val="center"/>
          </w:tcPr>
          <w:p>
            <w:pPr>
              <w:pStyle w:val="20"/>
            </w:pPr>
            <w:r>
              <w:t>信息安全事务</w:t>
            </w:r>
          </w:p>
        </w:tc>
        <w:tc>
          <w:tcPr>
            <w:tcW w:w="1361" w:type="dxa"/>
            <w:tcBorders>
              <w:left w:val="single" w:sz="6" w:space="0" w:color="auto"/>
            </w:tcBorders>
            <w:vAlign w:val="center"/>
          </w:tcPr>
          <w:p>
            <w:pPr>
              <w:pStyle w:val="19"/>
            </w:pPr>
            <w:r>
              <w:t>23.40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23.40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2013799</w:t>
            </w:r>
          </w:p>
        </w:tc>
        <w:tc>
          <w:tcPr>
            <w:tcW w:w="4535" w:type="dxa"/>
            <w:tcBorders>
              <w:left w:val="single" w:sz="6" w:space="0" w:color="auto"/>
            </w:tcBorders>
            <w:vAlign w:val="center"/>
          </w:tcPr>
          <w:p>
            <w:pPr>
              <w:pStyle w:val="20"/>
            </w:pPr>
            <w:r>
              <w:t>其他网信事务支出</w:t>
            </w:r>
          </w:p>
        </w:tc>
        <w:tc>
          <w:tcPr>
            <w:tcW w:w="1361" w:type="dxa"/>
            <w:tcBorders>
              <w:left w:val="single" w:sz="6" w:space="0" w:color="auto"/>
            </w:tcBorders>
            <w:vAlign w:val="center"/>
          </w:tcPr>
          <w:p>
            <w:pPr>
              <w:pStyle w:val="19"/>
            </w:pPr>
            <w:r>
              <w:t>15.33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15.33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19.50</w:t>
            </w:r>
          </w:p>
        </w:tc>
        <w:tc>
          <w:tcPr>
            <w:tcW w:w="1361" w:type="dxa"/>
            <w:tcBorders>
              <w:left w:val="single" w:sz="6" w:space="0" w:color="auto"/>
            </w:tcBorders>
            <w:vAlign w:val="center"/>
          </w:tcPr>
          <w:p>
            <w:pPr>
              <w:pStyle w:val="19"/>
            </w:pPr>
            <w:r>
              <w:t>19.50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1361" w:type="dxa"/>
            <w:tcBorders>
              <w:left w:val="single" w:sz="6" w:space="0" w:color="auto"/>
            </w:tcBorders>
            <w:vAlign w:val="center"/>
          </w:tcPr>
          <w:p>
            <w:pPr>
              <w:pStyle w:val="19"/>
            </w:pPr>
            <w:r>
              <w:t>9.56</w:t>
            </w:r>
          </w:p>
        </w:tc>
        <w:tc>
          <w:tcPr>
            <w:tcW w:w="1361" w:type="dxa"/>
            <w:tcBorders>
              <w:left w:val="single" w:sz="6" w:space="0" w:color="auto"/>
            </w:tcBorders>
            <w:vAlign w:val="center"/>
          </w:tcPr>
          <w:p>
            <w:pPr>
              <w:pStyle w:val="19"/>
            </w:pPr>
            <w:r>
              <w:t>9.56</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6.58</w:t>
            </w:r>
          </w:p>
        </w:tc>
        <w:tc>
          <w:tcPr>
            <w:tcW w:w="1361" w:type="dxa"/>
            <w:tcBorders>
              <w:left w:val="single" w:sz="6" w:space="0" w:color="auto"/>
            </w:tcBorders>
            <w:vAlign w:val="center"/>
          </w:tcPr>
          <w:p>
            <w:pPr>
              <w:pStyle w:val="19"/>
            </w:pPr>
            <w:r>
              <w:t>6.58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5.09</w:t>
            </w:r>
          </w:p>
        </w:tc>
        <w:tc>
          <w:tcPr>
            <w:tcW w:w="1361" w:type="dxa"/>
            <w:tcBorders>
              <w:left w:val="single" w:sz="6" w:space="0" w:color="auto"/>
            </w:tcBorders>
            <w:vAlign w:val="center"/>
          </w:tcPr>
          <w:p>
            <w:pPr>
              <w:pStyle w:val="19"/>
            </w:pPr>
            <w:r>
              <w:t>5.09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249.91</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r>
              <w:t>194.83</w:t>
            </w:r>
          </w:p>
        </w:tc>
        <w:tc>
          <w:tcPr>
            <w:tcW w:w="1474" w:type="dxa"/>
            <w:tcBorders>
              <w:left w:val="single" w:sz="6" w:space="0" w:color="auto"/>
            </w:tcBorders>
            <w:vAlign w:val="center"/>
          </w:tcPr>
          <w:p>
            <w:pPr>
              <w:pStyle w:val="19"/>
            </w:pPr>
            <w:r>
              <w:t>194.83</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29.07</w:t>
            </w:r>
          </w:p>
        </w:tc>
        <w:tc>
          <w:tcPr>
            <w:tcW w:w="1474" w:type="dxa"/>
            <w:tcBorders>
              <w:left w:val="single" w:sz="6" w:space="0" w:color="auto"/>
            </w:tcBorders>
            <w:vAlign w:val="center"/>
          </w:tcPr>
          <w:p>
            <w:pPr>
              <w:pStyle w:val="19"/>
            </w:pPr>
            <w:r>
              <w:t>29.07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11.67</w:t>
            </w:r>
          </w:p>
        </w:tc>
        <w:tc>
          <w:tcPr>
            <w:tcW w:w="1474" w:type="dxa"/>
            <w:tcBorders>
              <w:left w:val="single" w:sz="6" w:space="0" w:color="auto"/>
            </w:tcBorders>
            <w:vAlign w:val="center"/>
          </w:tcPr>
          <w:p>
            <w:pPr>
              <w:pStyle w:val="19"/>
            </w:pPr>
            <w:r>
              <w:t>11.67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14.34</w:t>
            </w:r>
          </w:p>
        </w:tc>
        <w:tc>
          <w:tcPr>
            <w:tcW w:w="1474" w:type="dxa"/>
            <w:tcBorders>
              <w:left w:val="single" w:sz="6" w:space="0" w:color="auto"/>
            </w:tcBorders>
            <w:vAlign w:val="center"/>
          </w:tcPr>
          <w:p>
            <w:pPr>
              <w:pStyle w:val="19"/>
            </w:pPr>
            <w:r>
              <w:t>14.34</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249.91</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249.91</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249.91</w:t>
            </w:r>
          </w:p>
        </w:tc>
        <w:tc>
          <w:tcPr>
            <w:tcW w:w="2551" w:type="dxa"/>
            <w:tcBorders>
              <w:left w:val="single" w:sz="6" w:space="0" w:color="auto"/>
            </w:tcBorders>
            <w:vAlign w:val="center"/>
          </w:tcPr>
          <w:p>
            <w:pPr>
              <w:pStyle w:val="23"/>
            </w:pPr>
            <w:r>
              <w:t>211.18</w:t>
            </w:r>
          </w:p>
        </w:tc>
        <w:tc>
          <w:tcPr>
            <w:tcW w:w="2551" w:type="dxa"/>
            <w:tcBorders>
              <w:left w:val="single" w:sz="6" w:space="0" w:color="auto"/>
            </w:tcBorders>
            <w:vAlign w:val="center"/>
          </w:tcPr>
          <w:p>
            <w:pPr>
              <w:pStyle w:val="23"/>
            </w:pPr>
            <w:r>
              <w:t>38.73</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2551" w:type="dxa"/>
            <w:tcBorders>
              <w:left w:val="single" w:sz="6" w:space="0" w:color="auto"/>
            </w:tcBorders>
            <w:vAlign w:val="center"/>
          </w:tcPr>
          <w:p>
            <w:pPr>
              <w:pStyle w:val="19"/>
            </w:pPr>
            <w:r>
              <w:t>194.83</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r>
              <w:t>38.73</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20137</w:t>
            </w:r>
          </w:p>
        </w:tc>
        <w:tc>
          <w:tcPr>
            <w:tcW w:w="4535" w:type="dxa"/>
            <w:tcBorders>
              <w:left w:val="single" w:sz="6" w:space="0" w:color="auto"/>
            </w:tcBorders>
            <w:vAlign w:val="center"/>
          </w:tcPr>
          <w:p>
            <w:pPr>
              <w:pStyle w:val="20"/>
            </w:pPr>
            <w:r>
              <w:t>网信事务</w:t>
            </w:r>
          </w:p>
        </w:tc>
        <w:tc>
          <w:tcPr>
            <w:tcW w:w="2551" w:type="dxa"/>
            <w:tcBorders>
              <w:left w:val="single" w:sz="6" w:space="0" w:color="auto"/>
            </w:tcBorders>
            <w:vAlign w:val="center"/>
          </w:tcPr>
          <w:p>
            <w:pPr>
              <w:pStyle w:val="19"/>
            </w:pPr>
            <w:r>
              <w:t>194.83</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r>
              <w:t>38.73</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2013701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2013704</w:t>
            </w:r>
          </w:p>
        </w:tc>
        <w:tc>
          <w:tcPr>
            <w:tcW w:w="4535" w:type="dxa"/>
            <w:tcBorders>
              <w:left w:val="single" w:sz="6" w:space="0" w:color="auto"/>
            </w:tcBorders>
            <w:vAlign w:val="center"/>
          </w:tcPr>
          <w:p>
            <w:pPr>
              <w:pStyle w:val="20"/>
            </w:pPr>
            <w:r>
              <w:t>信息安全事务</w:t>
            </w:r>
          </w:p>
        </w:tc>
        <w:tc>
          <w:tcPr>
            <w:tcW w:w="2551" w:type="dxa"/>
            <w:tcBorders>
              <w:left w:val="single" w:sz="6" w:space="0" w:color="auto"/>
            </w:tcBorders>
            <w:vAlign w:val="center"/>
          </w:tcPr>
          <w:p>
            <w:pPr>
              <w:pStyle w:val="19"/>
            </w:pPr>
            <w:r>
              <w:t>23.40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23.40</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2013799</w:t>
            </w:r>
          </w:p>
        </w:tc>
        <w:tc>
          <w:tcPr>
            <w:tcW w:w="4535" w:type="dxa"/>
            <w:tcBorders>
              <w:left w:val="single" w:sz="6" w:space="0" w:color="auto"/>
            </w:tcBorders>
            <w:vAlign w:val="center"/>
          </w:tcPr>
          <w:p>
            <w:pPr>
              <w:pStyle w:val="20"/>
            </w:pPr>
            <w:r>
              <w:t>其他网信事务支出</w:t>
            </w:r>
          </w:p>
        </w:tc>
        <w:tc>
          <w:tcPr>
            <w:tcW w:w="2551" w:type="dxa"/>
            <w:tcBorders>
              <w:left w:val="single" w:sz="6" w:space="0" w:color="auto"/>
            </w:tcBorders>
            <w:vAlign w:val="center"/>
          </w:tcPr>
          <w:p>
            <w:pPr>
              <w:pStyle w:val="19"/>
            </w:pPr>
            <w:r>
              <w:t>15.33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15.33</w:t>
            </w: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211.18</w:t>
            </w:r>
          </w:p>
        </w:tc>
        <w:tc>
          <w:tcPr>
            <w:tcW w:w="2551" w:type="dxa"/>
            <w:tcBorders>
              <w:left w:val="single" w:sz="6" w:space="0" w:color="auto"/>
            </w:tcBorders>
            <w:vAlign w:val="center"/>
          </w:tcPr>
          <w:p>
            <w:pPr>
              <w:pStyle w:val="23"/>
            </w:pPr>
            <w:r>
              <w:t>195.41</w:t>
            </w:r>
          </w:p>
        </w:tc>
        <w:tc>
          <w:tcPr>
            <w:tcW w:w="2551" w:type="dxa"/>
            <w:tcBorders>
              <w:left w:val="single" w:sz="6" w:space="0" w:color="auto"/>
            </w:tcBorders>
            <w:vAlign w:val="center"/>
          </w:tcPr>
          <w:p>
            <w:pPr>
              <w:pStyle w:val="23"/>
            </w:pPr>
            <w:r>
              <w:t>15.77</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195.41</w:t>
            </w:r>
          </w:p>
        </w:tc>
        <w:tc>
          <w:tcPr>
            <w:tcW w:w="2551" w:type="dxa"/>
            <w:tcBorders>
              <w:left w:val="single" w:sz="6" w:space="0" w:color="auto"/>
            </w:tcBorders>
            <w:vAlign w:val="center"/>
          </w:tcPr>
          <w:p>
            <w:pPr>
              <w:pStyle w:val="19"/>
            </w:pPr>
            <w:r>
              <w:t>195.41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42.29</w:t>
            </w:r>
          </w:p>
        </w:tc>
        <w:tc>
          <w:tcPr>
            <w:tcW w:w="2551" w:type="dxa"/>
            <w:tcBorders>
              <w:left w:val="single" w:sz="6" w:space="0" w:color="auto"/>
            </w:tcBorders>
            <w:vAlign w:val="center"/>
          </w:tcPr>
          <w:p>
            <w:pPr>
              <w:pStyle w:val="19"/>
            </w:pPr>
            <w:r>
              <w:t>42.29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44.91</w:t>
            </w:r>
          </w:p>
        </w:tc>
        <w:tc>
          <w:tcPr>
            <w:tcW w:w="2551" w:type="dxa"/>
            <w:tcBorders>
              <w:left w:val="single" w:sz="6" w:space="0" w:color="auto"/>
            </w:tcBorders>
            <w:vAlign w:val="center"/>
          </w:tcPr>
          <w:p>
            <w:pPr>
              <w:pStyle w:val="19"/>
            </w:pPr>
            <w:r>
              <w:t>44.91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23.06</w:t>
            </w:r>
          </w:p>
        </w:tc>
        <w:tc>
          <w:tcPr>
            <w:tcW w:w="2551" w:type="dxa"/>
            <w:tcBorders>
              <w:left w:val="single" w:sz="6" w:space="0" w:color="auto"/>
            </w:tcBorders>
            <w:vAlign w:val="center"/>
          </w:tcPr>
          <w:p>
            <w:pPr>
              <w:pStyle w:val="19"/>
            </w:pPr>
            <w:r>
              <w:t>23.06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15.73</w:t>
            </w:r>
          </w:p>
        </w:tc>
        <w:tc>
          <w:tcPr>
            <w:tcW w:w="2551" w:type="dxa"/>
            <w:tcBorders>
              <w:left w:val="single" w:sz="6" w:space="0" w:color="auto"/>
            </w:tcBorders>
            <w:vAlign w:val="center"/>
          </w:tcPr>
          <w:p>
            <w:pPr>
              <w:pStyle w:val="19"/>
            </w:pPr>
            <w:r>
              <w:t>15.73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15.77</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15.77</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3.30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4.52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4.52</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1.25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1.25</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1.06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1.06</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5.52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5.52</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0.12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中共石家庄市藁城区委网络安全和信息化委员会办公室本级2025年单位预算信息公开情况说明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按照《中华人民共和国预算法》、《地方预决算公开操作规程》和《关于进一步推进预算公开工作的实施意见》规定，现将中共石家庄市藁城区委网络安全和信息化委员会办公室本级2025年单位预算公开如下：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根据《中共石家庄市藁城区委网络安全和信息化委员会办公室职能配置、内设机构和人员编制规定》，中共石家庄市藁城区委网络安全和信息化委员会办公室的主要职责是：</w:t>
      </w:r>
    </w:p>
    <w:p>
      <w:pPr>
        <w:pStyle w:val="25"/>
      </w:pPr>
      <w:r>
        <w:t>负责互联网信息内容管理工作，组织协调互联网宣传和舆论引导工作，推动网络阵地和网络文明建设工作。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中共石家庄市藁城区委网络安全和信息化委员会办公室本级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249.91万元，其中：一般公共预算收入249.91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藁城区委网络安全和信息化委员会办公室本级年度单位预算中支出预算的总体情况。2025年支出预算249.91万元，其中基本支出211.18万元，包括人员经费195.41万元和日常公用经费15.77万元；项目支出38.73万元，主要为互联网宣传经费2万，购置互联网违法和不良信息监测举报软件费用2.4万，云端数据库更新服务费3万，网络安全巡查费3万，APT系统服务费5.4万，舆情监测经费6万，劳务派遣人员费用4.93万，网络舆情导控技术平台运行服务费和网络安全态势感知平台运行维护费12万。</w:t>
      </w:r>
    </w:p>
    <w:p>
      <w:pPr>
        <w:pStyle w:val="26"/>
      </w:pPr>
      <w:r>
        <w:t>3、比上年增减情况</w:t>
      </w:r>
    </w:p>
    <w:p>
      <w:pPr>
        <w:pStyle w:val="26"/>
      </w:pPr>
      <w:r>
        <w:t>2025年预算收支安排249.91万元，较2024年预算增加12.25万元，其中：基本支出增加17.39万元，主要为基本工资及交通通讯补有调整；项目支出减少5.15万元，主要为劳务派遣人员数量减少。</w:t>
      </w:r>
      <w:bookmarkStart w:id="1" w:name="_GoBack"/>
      <w:bookmarkEnd w:id="1"/>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rPr>
          <w:rFonts w:eastAsia="方正仿宋_GBK"/>
          <w:sz w:val="28"/>
        </w:rPr>
        <w:t>2025年，我单位机关运行经费共计安排15.77万元，主要用于保证机关正常运转的办公费、公务移动通讯补贴、公务交通补贴、工会费、福利费、党组织活动经费等支出。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rPr>
          <w:rFonts w:ascii="Times New Roman" w:eastAsia="方正仿宋_GBK" w:cs="Times New Roman" w:hAnsi="Times New Roman"/>
          <w:kern w:val="0"/>
          <w:sz w:val="28"/>
          <w:szCs w:val="24"/>
          <w:lang w:eastAsia="uk-UA"/>
        </w:rPr>
        <w:t>202</w:t>
      </w:r>
      <w:r>
        <w:rPr>
          <w:rFonts w:ascii="Times New Roman" w:eastAsia="方正仿宋_GBK" w:cs="Times New Roman" w:hAnsi="Times New Roman" w:hint="eastAsia"/>
          <w:kern w:val="0"/>
          <w:sz w:val="28"/>
          <w:szCs w:val="24"/>
          <w:lang w:eastAsia="uk-UA"/>
        </w:rPr>
        <w:t>5</w:t>
      </w:r>
      <w:r>
        <w:rPr>
          <w:rFonts w:ascii="Times New Roman" w:eastAsia="方正仿宋_GBK" w:cs="Times New Roman" w:hAnsi="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1、APT系统服务费绩效目标表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13010925P000008101860</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APT系统服务费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5.40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5.40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通过对监测重点单位网络设施维护，实现24小时在线监测。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3.30</w:t>
            </w:r>
          </w:p>
        </w:tc>
        <w:tc>
          <w:tcPr>
            <w:tcW w:w="2551" w:type="dxa"/>
            <w:tcBorders>
              <w:left w:val="single" w:sz="6" w:space="0" w:color="auto"/>
            </w:tcBorders>
            <w:vAlign w:val="center"/>
          </w:tcPr>
          <w:p>
            <w:pPr>
              <w:pStyle w:val="21"/>
            </w:pPr>
            <w:r>
              <w:t>4.90</w:t>
            </w:r>
          </w:p>
        </w:tc>
        <w:tc>
          <w:tcPr>
            <w:tcW w:w="3544" w:type="dxa"/>
            <w:gridSpan w:val="2"/>
            <w:tcBorders>
              <w:left w:val="single" w:sz="6" w:space="0" w:color="auto"/>
            </w:tcBorders>
            <w:vAlign w:val="center"/>
          </w:tcPr>
          <w:p>
            <w:pPr>
              <w:pStyle w:val="21"/>
            </w:pPr>
            <w:r>
              <w:t>5.40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1.通过对监测重点单位网络设施维护，实现24小时在线监测。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实行网络安全监控单位的数量</w:t>
            </w:r>
          </w:p>
        </w:tc>
        <w:tc>
          <w:tcPr>
            <w:tcW w:w="5386" w:type="dxa"/>
            <w:tcBorders>
              <w:left w:val="single" w:sz="6" w:space="0" w:color="auto"/>
            </w:tcBorders>
            <w:vAlign w:val="center"/>
          </w:tcPr>
          <w:p>
            <w:pPr>
              <w:pStyle w:val="20"/>
            </w:pPr>
            <w:r>
              <w:t>对网络安全监控重点单位的数量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检测时间保障率</w:t>
            </w:r>
          </w:p>
        </w:tc>
        <w:tc>
          <w:tcPr>
            <w:tcW w:w="5386" w:type="dxa"/>
            <w:tcBorders>
              <w:left w:val="single" w:sz="6" w:space="0" w:color="auto"/>
            </w:tcBorders>
            <w:vAlign w:val="center"/>
          </w:tcPr>
          <w:p>
            <w:pPr>
              <w:pStyle w:val="20"/>
            </w:pPr>
            <w:r>
              <w:t>7*24小时不间断监测</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发现威胁预警及时性</w:t>
            </w:r>
          </w:p>
        </w:tc>
        <w:tc>
          <w:tcPr>
            <w:tcW w:w="5386" w:type="dxa"/>
            <w:tcBorders>
              <w:left w:val="single" w:sz="6" w:space="0" w:color="auto"/>
            </w:tcBorders>
            <w:vAlign w:val="center"/>
          </w:tcPr>
          <w:p>
            <w:pPr>
              <w:pStyle w:val="20"/>
            </w:pPr>
            <w:r>
              <w:t>及时发现威胁预警</w:t>
            </w:r>
          </w:p>
        </w:tc>
        <w:tc>
          <w:tcPr>
            <w:tcW w:w="2268" w:type="dxa"/>
            <w:tcBorders>
              <w:left w:val="single" w:sz="6" w:space="0" w:color="auto"/>
            </w:tcBorders>
            <w:vAlign w:val="center"/>
          </w:tcPr>
          <w:p>
            <w:pPr>
              <w:pStyle w:val="20"/>
            </w:pPr>
            <w:r>
              <w:t>发现威胁立即预警</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项目实现功能</w:t>
            </w:r>
          </w:p>
        </w:tc>
        <w:tc>
          <w:tcPr>
            <w:tcW w:w="5386" w:type="dxa"/>
            <w:tcBorders>
              <w:left w:val="single" w:sz="6" w:space="0" w:color="auto"/>
            </w:tcBorders>
            <w:vAlign w:val="center"/>
          </w:tcPr>
          <w:p>
            <w:pPr>
              <w:pStyle w:val="20"/>
            </w:pPr>
            <w:r>
              <w:t>重点单位网络基础设施遭受攻击时及时感知</w:t>
            </w:r>
          </w:p>
        </w:tc>
        <w:tc>
          <w:tcPr>
            <w:tcW w:w="2268" w:type="dxa"/>
            <w:tcBorders>
              <w:left w:val="single" w:sz="6" w:space="0" w:color="auto"/>
            </w:tcBorders>
            <w:vAlign w:val="center"/>
          </w:tcPr>
          <w:p>
            <w:pPr>
              <w:pStyle w:val="20"/>
            </w:pPr>
            <w:r>
              <w:t>及时感知</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服务应用效果</w:t>
            </w:r>
          </w:p>
        </w:tc>
        <w:tc>
          <w:tcPr>
            <w:tcW w:w="5386" w:type="dxa"/>
            <w:tcBorders>
              <w:left w:val="single" w:sz="6" w:space="0" w:color="auto"/>
            </w:tcBorders>
            <w:vAlign w:val="center"/>
          </w:tcPr>
          <w:p>
            <w:pPr>
              <w:pStyle w:val="20"/>
            </w:pPr>
            <w:r>
              <w:t>逐步提升网络安全治理能力</w:t>
            </w:r>
          </w:p>
        </w:tc>
        <w:tc>
          <w:tcPr>
            <w:tcW w:w="2268" w:type="dxa"/>
            <w:tcBorders>
              <w:left w:val="single" w:sz="6" w:space="0" w:color="auto"/>
            </w:tcBorders>
            <w:vAlign w:val="center"/>
          </w:tcPr>
          <w:p>
            <w:pPr>
              <w:pStyle w:val="20"/>
            </w:pPr>
            <w:r>
              <w:t>逐步提升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监测用户满意度</w:t>
            </w:r>
          </w:p>
        </w:tc>
        <w:tc>
          <w:tcPr>
            <w:tcW w:w="5386" w:type="dxa"/>
            <w:tcBorders>
              <w:left w:val="single" w:sz="6" w:space="0" w:color="auto"/>
            </w:tcBorders>
            <w:vAlign w:val="center"/>
          </w:tcPr>
          <w:p>
            <w:pPr>
              <w:pStyle w:val="20"/>
            </w:pPr>
            <w:r>
              <w:t>监测用户满意度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2、购置互联网违法和不良信息监测举报软件费用绩效目标表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13010925P000008101835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购置互联网违法和不良信息监测举报软件费用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2.40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2.40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购置互联网违法和不良信息监测举报软件服务，提升上报信息水平。</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1.50</w:t>
            </w:r>
          </w:p>
        </w:tc>
        <w:tc>
          <w:tcPr>
            <w:tcW w:w="2551" w:type="dxa"/>
            <w:tcBorders>
              <w:left w:val="single" w:sz="6" w:space="0" w:color="auto"/>
            </w:tcBorders>
            <w:vAlign w:val="center"/>
          </w:tcPr>
          <w:p>
            <w:pPr>
              <w:pStyle w:val="21"/>
            </w:pPr>
            <w:r>
              <w:t>2.40</w:t>
            </w:r>
          </w:p>
        </w:tc>
        <w:tc>
          <w:tcPr>
            <w:tcW w:w="3544" w:type="dxa"/>
            <w:gridSpan w:val="2"/>
            <w:tcBorders>
              <w:left w:val="single" w:sz="6" w:space="0" w:color="auto"/>
            </w:tcBorders>
            <w:vAlign w:val="center"/>
          </w:tcPr>
          <w:p>
            <w:pPr>
              <w:pStyle w:val="21"/>
            </w:pPr>
            <w:r>
              <w:t>2.40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1.购置互联网违法和不良信息监测举报软件服务，提升上报信息水平。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购置软件数量</w:t>
            </w:r>
          </w:p>
        </w:tc>
        <w:tc>
          <w:tcPr>
            <w:tcW w:w="5386" w:type="dxa"/>
            <w:tcBorders>
              <w:left w:val="single" w:sz="6" w:space="0" w:color="auto"/>
            </w:tcBorders>
            <w:vAlign w:val="center"/>
          </w:tcPr>
          <w:p>
            <w:pPr>
              <w:pStyle w:val="20"/>
            </w:pPr>
            <w:r>
              <w:t>购置软件数量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正常使用率</w:t>
            </w:r>
          </w:p>
        </w:tc>
        <w:tc>
          <w:tcPr>
            <w:tcW w:w="5386" w:type="dxa"/>
            <w:tcBorders>
              <w:left w:val="single" w:sz="6" w:space="0" w:color="auto"/>
            </w:tcBorders>
            <w:vAlign w:val="center"/>
          </w:tcPr>
          <w:p>
            <w:pPr>
              <w:pStyle w:val="20"/>
            </w:pPr>
            <w:r>
              <w:t>正常使用率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业务处理及时性</w:t>
            </w:r>
          </w:p>
        </w:tc>
        <w:tc>
          <w:tcPr>
            <w:tcW w:w="5386" w:type="dxa"/>
            <w:tcBorders>
              <w:left w:val="single" w:sz="6" w:space="0" w:color="auto"/>
            </w:tcBorders>
            <w:vAlign w:val="center"/>
          </w:tcPr>
          <w:p>
            <w:pPr>
              <w:pStyle w:val="20"/>
            </w:pPr>
            <w:r>
              <w:t>业务处理及时性</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上报信息水平不断提升</w:t>
            </w:r>
          </w:p>
        </w:tc>
        <w:tc>
          <w:tcPr>
            <w:tcW w:w="5386" w:type="dxa"/>
            <w:tcBorders>
              <w:left w:val="single" w:sz="6" w:space="0" w:color="auto"/>
            </w:tcBorders>
            <w:vAlign w:val="center"/>
          </w:tcPr>
          <w:p>
            <w:pPr>
              <w:pStyle w:val="20"/>
            </w:pPr>
            <w:r>
              <w:t>上报信息水平不断提升</w:t>
            </w:r>
          </w:p>
        </w:tc>
        <w:tc>
          <w:tcPr>
            <w:tcW w:w="2268" w:type="dxa"/>
            <w:tcBorders>
              <w:left w:val="single" w:sz="6" w:space="0" w:color="auto"/>
            </w:tcBorders>
            <w:vAlign w:val="center"/>
          </w:tcPr>
          <w:p>
            <w:pPr>
              <w:pStyle w:val="20"/>
            </w:pPr>
            <w:r>
              <w:t>上报水平提升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单位满意度</w:t>
            </w:r>
          </w:p>
        </w:tc>
        <w:tc>
          <w:tcPr>
            <w:tcW w:w="5386" w:type="dxa"/>
            <w:tcBorders>
              <w:left w:val="single" w:sz="6" w:space="0" w:color="auto"/>
            </w:tcBorders>
            <w:vAlign w:val="center"/>
          </w:tcPr>
          <w:p>
            <w:pPr>
              <w:pStyle w:val="20"/>
            </w:pPr>
            <w:r>
              <w:t>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3、互联网宣传经费绩效目标表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13010925P00000810181X</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互联网宣传经费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通过运用互联网手段，增加网络宣传效果。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r>
              <w:t>2.00</w:t>
            </w:r>
          </w:p>
        </w:tc>
        <w:tc>
          <w:tcPr>
            <w:tcW w:w="3544" w:type="dxa"/>
            <w:gridSpan w:val="2"/>
            <w:tcBorders>
              <w:left w:val="single" w:sz="6" w:space="0" w:color="auto"/>
            </w:tcBorders>
            <w:vAlign w:val="center"/>
          </w:tcPr>
          <w:p>
            <w:pPr>
              <w:pStyle w:val="21"/>
            </w:pPr>
            <w:r>
              <w:t>2.00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1.通过运用互联网手段，增加网络宣传效果。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网络作品数量</w:t>
            </w:r>
          </w:p>
        </w:tc>
        <w:tc>
          <w:tcPr>
            <w:tcW w:w="5386" w:type="dxa"/>
            <w:tcBorders>
              <w:left w:val="single" w:sz="6" w:space="0" w:color="auto"/>
            </w:tcBorders>
            <w:vAlign w:val="center"/>
          </w:tcPr>
          <w:p>
            <w:pPr>
              <w:pStyle w:val="20"/>
            </w:pPr>
            <w:r>
              <w:t>网络作品数量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实际完成数量</w:t>
            </w:r>
          </w:p>
        </w:tc>
        <w:tc>
          <w:tcPr>
            <w:tcW w:w="5386" w:type="dxa"/>
            <w:tcBorders>
              <w:left w:val="single" w:sz="6" w:space="0" w:color="auto"/>
            </w:tcBorders>
            <w:vAlign w:val="center"/>
          </w:tcPr>
          <w:p>
            <w:pPr>
              <w:pStyle w:val="20"/>
            </w:pPr>
            <w:r>
              <w:t>实际完成数量占计划数量</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完成时间</w:t>
            </w:r>
          </w:p>
        </w:tc>
        <w:tc>
          <w:tcPr>
            <w:tcW w:w="5386" w:type="dxa"/>
            <w:tcBorders>
              <w:left w:val="single" w:sz="6" w:space="0" w:color="auto"/>
            </w:tcBorders>
            <w:vAlign w:val="center"/>
          </w:tcPr>
          <w:p>
            <w:pPr>
              <w:pStyle w:val="20"/>
            </w:pPr>
            <w:r>
              <w:t>任务完成时间</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提升宣传效果</w:t>
            </w:r>
          </w:p>
        </w:tc>
        <w:tc>
          <w:tcPr>
            <w:tcW w:w="5386" w:type="dxa"/>
            <w:tcBorders>
              <w:left w:val="single" w:sz="6" w:space="0" w:color="auto"/>
            </w:tcBorders>
            <w:vAlign w:val="center"/>
          </w:tcPr>
          <w:p>
            <w:pPr>
              <w:pStyle w:val="20"/>
            </w:pPr>
            <w:r>
              <w:t>提升宣传效果</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人民群众满意度</w:t>
            </w:r>
          </w:p>
        </w:tc>
        <w:tc>
          <w:tcPr>
            <w:tcW w:w="5386" w:type="dxa"/>
            <w:tcBorders>
              <w:left w:val="single" w:sz="6" w:space="0" w:color="auto"/>
            </w:tcBorders>
            <w:vAlign w:val="center"/>
          </w:tcPr>
          <w:p>
            <w:pPr>
              <w:pStyle w:val="20"/>
            </w:pPr>
            <w:r>
              <w:t>人民群众满意度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4、劳务派遣人员费用绩效目标表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13010925P000008101906</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劳务派遣人员费用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4.93</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4.93</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及时发放劳务派遣人员工资，业务保障能力得到提升。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2.95</w:t>
            </w:r>
          </w:p>
        </w:tc>
        <w:tc>
          <w:tcPr>
            <w:tcW w:w="2551" w:type="dxa"/>
            <w:tcBorders>
              <w:left w:val="single" w:sz="6" w:space="0" w:color="auto"/>
            </w:tcBorders>
            <w:vAlign w:val="center"/>
          </w:tcPr>
          <w:p>
            <w:pPr>
              <w:pStyle w:val="21"/>
            </w:pPr>
            <w:r>
              <w:t>4.40</w:t>
            </w:r>
          </w:p>
        </w:tc>
        <w:tc>
          <w:tcPr>
            <w:tcW w:w="3544" w:type="dxa"/>
            <w:gridSpan w:val="2"/>
            <w:tcBorders>
              <w:left w:val="single" w:sz="6" w:space="0" w:color="auto"/>
            </w:tcBorders>
            <w:vAlign w:val="center"/>
          </w:tcPr>
          <w:p>
            <w:pPr>
              <w:pStyle w:val="21"/>
            </w:pPr>
            <w:r>
              <w:t>4.93</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1.及时发放劳务派遣人员工资，业务保障能力得到提升。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劳务派遣数量</w:t>
            </w:r>
          </w:p>
        </w:tc>
        <w:tc>
          <w:tcPr>
            <w:tcW w:w="5386" w:type="dxa"/>
            <w:tcBorders>
              <w:left w:val="single" w:sz="6" w:space="0" w:color="auto"/>
            </w:tcBorders>
            <w:vAlign w:val="center"/>
          </w:tcPr>
          <w:p>
            <w:pPr>
              <w:pStyle w:val="20"/>
            </w:pPr>
            <w:r>
              <w:t>现有劳务派遣人员数量</w:t>
            </w:r>
          </w:p>
        </w:tc>
        <w:tc>
          <w:tcPr>
            <w:tcW w:w="2268" w:type="dxa"/>
            <w:tcBorders>
              <w:left w:val="single" w:sz="6" w:space="0" w:color="auto"/>
            </w:tcBorders>
            <w:vAlign w:val="center"/>
          </w:tcPr>
          <w:p>
            <w:pPr>
              <w:pStyle w:val="20"/>
            </w:pPr>
            <w:r>
              <w:t>1人</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支付费用完成率</w:t>
            </w:r>
          </w:p>
        </w:tc>
        <w:tc>
          <w:tcPr>
            <w:tcW w:w="5386" w:type="dxa"/>
            <w:tcBorders>
              <w:left w:val="single" w:sz="6" w:space="0" w:color="auto"/>
            </w:tcBorders>
            <w:vAlign w:val="center"/>
          </w:tcPr>
          <w:p>
            <w:pPr>
              <w:pStyle w:val="20"/>
            </w:pPr>
            <w:r>
              <w:t>及时足额支付人员相关费用情况</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支付费用及时情况</w:t>
            </w:r>
          </w:p>
        </w:tc>
        <w:tc>
          <w:tcPr>
            <w:tcW w:w="5386" w:type="dxa"/>
            <w:tcBorders>
              <w:left w:val="single" w:sz="6" w:space="0" w:color="auto"/>
            </w:tcBorders>
            <w:vAlign w:val="center"/>
          </w:tcPr>
          <w:p>
            <w:pPr>
              <w:pStyle w:val="20"/>
            </w:pPr>
            <w:r>
              <w:t>按月及时支付</w:t>
            </w:r>
          </w:p>
        </w:tc>
        <w:tc>
          <w:tcPr>
            <w:tcW w:w="2268" w:type="dxa"/>
            <w:tcBorders>
              <w:left w:val="single" w:sz="6" w:space="0" w:color="auto"/>
            </w:tcBorders>
            <w:vAlign w:val="center"/>
          </w:tcPr>
          <w:p>
            <w:pPr>
              <w:pStyle w:val="20"/>
            </w:pPr>
            <w:r>
              <w:t>按月及时拨付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业务保障能力提升情况</w:t>
            </w:r>
          </w:p>
        </w:tc>
        <w:tc>
          <w:tcPr>
            <w:tcW w:w="5386" w:type="dxa"/>
            <w:tcBorders>
              <w:left w:val="single" w:sz="6" w:space="0" w:color="auto"/>
            </w:tcBorders>
            <w:vAlign w:val="center"/>
          </w:tcPr>
          <w:p>
            <w:pPr>
              <w:pStyle w:val="20"/>
            </w:pPr>
            <w:r>
              <w:t>业务保障能力得到提升</w:t>
            </w:r>
          </w:p>
        </w:tc>
        <w:tc>
          <w:tcPr>
            <w:tcW w:w="2268" w:type="dxa"/>
            <w:tcBorders>
              <w:left w:val="single" w:sz="6" w:space="0" w:color="auto"/>
            </w:tcBorders>
            <w:vAlign w:val="center"/>
          </w:tcPr>
          <w:p>
            <w:pPr>
              <w:pStyle w:val="20"/>
            </w:pPr>
            <w:r>
              <w:t>较上年能力提升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用人单位满意度</w:t>
            </w:r>
          </w:p>
        </w:tc>
        <w:tc>
          <w:tcPr>
            <w:tcW w:w="5386" w:type="dxa"/>
            <w:tcBorders>
              <w:left w:val="single" w:sz="6" w:space="0" w:color="auto"/>
            </w:tcBorders>
            <w:vAlign w:val="center"/>
          </w:tcPr>
          <w:p>
            <w:pPr>
              <w:pStyle w:val="20"/>
            </w:pPr>
            <w:r>
              <w:t>网信办对派遣人员工作满意度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5、网络安全巡查费绩效目标表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13010925P00000810185C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网络安全巡查费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对全区政务网站、关键信息基础设施、重点企事单位网站、内网、网络基础设施，进行网络安全检测，利用网络安全宣传周等重要节点开展普法宣传活动，增强网络安全防护能力。</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2.00</w:t>
            </w:r>
          </w:p>
        </w:tc>
        <w:tc>
          <w:tcPr>
            <w:tcW w:w="2551" w:type="dxa"/>
            <w:tcBorders>
              <w:left w:val="single" w:sz="6" w:space="0" w:color="auto"/>
            </w:tcBorders>
            <w:vAlign w:val="center"/>
          </w:tcPr>
          <w:p>
            <w:pPr>
              <w:pStyle w:val="21"/>
            </w:pPr>
            <w:r>
              <w:t>3.00</w:t>
            </w:r>
          </w:p>
        </w:tc>
        <w:tc>
          <w:tcPr>
            <w:tcW w:w="3544" w:type="dxa"/>
            <w:gridSpan w:val="2"/>
            <w:tcBorders>
              <w:left w:val="single" w:sz="6" w:space="0" w:color="auto"/>
            </w:tcBorders>
            <w:vAlign w:val="center"/>
          </w:tcPr>
          <w:p>
            <w:pPr>
              <w:pStyle w:val="21"/>
            </w:pPr>
            <w:r>
              <w:t>3.00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1.对全区政务网站、关键信息基础设施、重点企事单位网站、内网、网络基础设施，进行网络安全检测，利用网络安全宣传周等重要节点开展普法宣传活动，增强网络安全防护能力。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开展网络安全检测数量</w:t>
            </w:r>
          </w:p>
        </w:tc>
        <w:tc>
          <w:tcPr>
            <w:tcW w:w="5386" w:type="dxa"/>
            <w:tcBorders>
              <w:left w:val="single" w:sz="6" w:space="0" w:color="auto"/>
            </w:tcBorders>
            <w:vAlign w:val="center"/>
          </w:tcPr>
          <w:p>
            <w:pPr>
              <w:pStyle w:val="20"/>
            </w:pPr>
            <w:r>
              <w:t>全年组织开展网络安全检测的次数</w:t>
            </w:r>
          </w:p>
        </w:tc>
        <w:tc>
          <w:tcPr>
            <w:tcW w:w="2268" w:type="dxa"/>
            <w:tcBorders>
              <w:left w:val="single" w:sz="6" w:space="0" w:color="auto"/>
            </w:tcBorders>
            <w:vAlign w:val="center"/>
          </w:tcPr>
          <w:p>
            <w:pPr>
              <w:pStyle w:val="20"/>
            </w:pPr>
            <w:r>
              <w:t>≥1次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云视频数量</w:t>
            </w:r>
          </w:p>
        </w:tc>
        <w:tc>
          <w:tcPr>
            <w:tcW w:w="5386" w:type="dxa"/>
            <w:tcBorders>
              <w:left w:val="single" w:sz="6" w:space="0" w:color="auto"/>
            </w:tcBorders>
            <w:vAlign w:val="center"/>
          </w:tcPr>
          <w:p>
            <w:pPr>
              <w:pStyle w:val="20"/>
            </w:pPr>
            <w:r>
              <w:t>使用云视频数量</w:t>
            </w:r>
          </w:p>
        </w:tc>
        <w:tc>
          <w:tcPr>
            <w:tcW w:w="2268" w:type="dxa"/>
            <w:tcBorders>
              <w:left w:val="single" w:sz="6" w:space="0" w:color="auto"/>
            </w:tcBorders>
            <w:vAlign w:val="center"/>
          </w:tcPr>
          <w:p>
            <w:pPr>
              <w:pStyle w:val="20"/>
            </w:pPr>
            <w:r>
              <w:t>1套</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网络检查成果</w:t>
            </w:r>
          </w:p>
        </w:tc>
        <w:tc>
          <w:tcPr>
            <w:tcW w:w="5386" w:type="dxa"/>
            <w:tcBorders>
              <w:left w:val="single" w:sz="6" w:space="0" w:color="auto"/>
            </w:tcBorders>
            <w:vAlign w:val="center"/>
          </w:tcPr>
          <w:p>
            <w:pPr>
              <w:pStyle w:val="20"/>
            </w:pPr>
            <w:r>
              <w:t>网络安全检测及普法宣传效果</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被检查单位评价</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保障业务正常开展</w:t>
            </w:r>
          </w:p>
        </w:tc>
        <w:tc>
          <w:tcPr>
            <w:tcW w:w="5386" w:type="dxa"/>
            <w:tcBorders>
              <w:left w:val="single" w:sz="6" w:space="0" w:color="auto"/>
            </w:tcBorders>
            <w:vAlign w:val="center"/>
          </w:tcPr>
          <w:p>
            <w:pPr>
              <w:pStyle w:val="20"/>
            </w:pPr>
            <w:r>
              <w:t>按照工作计划完成网络安全宣传工作</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预算成本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项目实现功能</w:t>
            </w:r>
          </w:p>
        </w:tc>
        <w:tc>
          <w:tcPr>
            <w:tcW w:w="5386" w:type="dxa"/>
            <w:tcBorders>
              <w:left w:val="single" w:sz="6" w:space="0" w:color="auto"/>
            </w:tcBorders>
            <w:vAlign w:val="center"/>
          </w:tcPr>
          <w:p>
            <w:pPr>
              <w:pStyle w:val="20"/>
            </w:pPr>
            <w:r>
              <w:t>提升我区网络安全管理水平，增强网络安全防护能力</w:t>
            </w:r>
          </w:p>
        </w:tc>
        <w:tc>
          <w:tcPr>
            <w:tcW w:w="2268" w:type="dxa"/>
            <w:tcBorders>
              <w:left w:val="single" w:sz="6" w:space="0" w:color="auto"/>
            </w:tcBorders>
            <w:vAlign w:val="center"/>
          </w:tcPr>
          <w:p>
            <w:pPr>
              <w:pStyle w:val="20"/>
            </w:pPr>
            <w:r>
              <w:t>有效提升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单位满意度、无安全问题</w:t>
            </w:r>
          </w:p>
        </w:tc>
        <w:tc>
          <w:tcPr>
            <w:tcW w:w="5386" w:type="dxa"/>
            <w:tcBorders>
              <w:left w:val="single" w:sz="6" w:space="0" w:color="auto"/>
            </w:tcBorders>
            <w:vAlign w:val="center"/>
          </w:tcPr>
          <w:p>
            <w:pPr>
              <w:pStyle w:val="20"/>
            </w:pPr>
            <w:r>
              <w:t>网信办、网民对网络安全环境满意度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6、网络舆情导控技术平台运行服务费和网络安全态势感知平台运行维护费绩效目标表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13010925P00000810191R</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网络舆情导控技术平台运行服务费和网络安全态势感知平台运行维护费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12.00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12.00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建立舆情应急监测指挥系统，实时收集、分析、研判、报送和处置网络舆情信息。开展常态化巡查，进行多维度安全检测扫描。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8.00</w:t>
            </w:r>
          </w:p>
        </w:tc>
        <w:tc>
          <w:tcPr>
            <w:tcW w:w="2551" w:type="dxa"/>
            <w:tcBorders>
              <w:left w:val="single" w:sz="6" w:space="0" w:color="auto"/>
            </w:tcBorders>
            <w:vAlign w:val="center"/>
          </w:tcPr>
          <w:p>
            <w:pPr>
              <w:pStyle w:val="21"/>
            </w:pPr>
            <w:r>
              <w:t>12.00</w:t>
            </w:r>
          </w:p>
        </w:tc>
        <w:tc>
          <w:tcPr>
            <w:tcW w:w="3544" w:type="dxa"/>
            <w:gridSpan w:val="2"/>
            <w:tcBorders>
              <w:left w:val="single" w:sz="6" w:space="0" w:color="auto"/>
            </w:tcBorders>
            <w:vAlign w:val="center"/>
          </w:tcPr>
          <w:p>
            <w:pPr>
              <w:pStyle w:val="21"/>
            </w:pPr>
            <w:r>
              <w:t>12.00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1.建立舆情应急监测指挥系统，实时收集、分析、研判、报送和处置网络舆情信息。开展常态化巡查，进行多维度安全检测扫描。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平台数量</w:t>
            </w:r>
          </w:p>
        </w:tc>
        <w:tc>
          <w:tcPr>
            <w:tcW w:w="5386" w:type="dxa"/>
            <w:tcBorders>
              <w:left w:val="single" w:sz="6" w:space="0" w:color="auto"/>
            </w:tcBorders>
            <w:vAlign w:val="center"/>
          </w:tcPr>
          <w:p>
            <w:pPr>
              <w:pStyle w:val="20"/>
            </w:pPr>
            <w:r>
              <w:t>平台数量</w:t>
            </w:r>
          </w:p>
        </w:tc>
        <w:tc>
          <w:tcPr>
            <w:tcW w:w="2268" w:type="dxa"/>
            <w:tcBorders>
              <w:left w:val="single" w:sz="6" w:space="0" w:color="auto"/>
            </w:tcBorders>
            <w:vAlign w:val="center"/>
          </w:tcPr>
          <w:p>
            <w:pPr>
              <w:pStyle w:val="20"/>
            </w:pPr>
            <w:r>
              <w:t>2个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验收合格率</w:t>
            </w:r>
          </w:p>
        </w:tc>
        <w:tc>
          <w:tcPr>
            <w:tcW w:w="5386" w:type="dxa"/>
            <w:tcBorders>
              <w:left w:val="single" w:sz="6" w:space="0" w:color="auto"/>
            </w:tcBorders>
            <w:vAlign w:val="center"/>
          </w:tcPr>
          <w:p>
            <w:pPr>
              <w:pStyle w:val="20"/>
            </w:pPr>
            <w:r>
              <w:t>平台使用验收合格率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及时性</w:t>
            </w:r>
          </w:p>
        </w:tc>
        <w:tc>
          <w:tcPr>
            <w:tcW w:w="5386" w:type="dxa"/>
            <w:tcBorders>
              <w:left w:val="single" w:sz="6" w:space="0" w:color="auto"/>
            </w:tcBorders>
            <w:vAlign w:val="center"/>
          </w:tcPr>
          <w:p>
            <w:pPr>
              <w:pStyle w:val="20"/>
            </w:pPr>
            <w:r>
              <w:t>业务处理及时性</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按实际支出</w:t>
            </w:r>
          </w:p>
        </w:tc>
        <w:tc>
          <w:tcPr>
            <w:tcW w:w="1276" w:type="dxa"/>
            <w:tcBorders>
              <w:left w:val="single" w:sz="6" w:space="0" w:color="auto"/>
            </w:tcBorders>
            <w:vAlign w:val="center"/>
          </w:tcPr>
          <w:p>
            <w:pPr>
              <w:pStyle w:val="20"/>
            </w:pPr>
            <w:r>
              <w:t>预算文本</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社会网络安全意识提高程度</w:t>
            </w:r>
          </w:p>
        </w:tc>
        <w:tc>
          <w:tcPr>
            <w:tcW w:w="5386" w:type="dxa"/>
            <w:tcBorders>
              <w:left w:val="single" w:sz="6" w:space="0" w:color="auto"/>
            </w:tcBorders>
            <w:vAlign w:val="center"/>
          </w:tcPr>
          <w:p>
            <w:pPr>
              <w:pStyle w:val="20"/>
            </w:pPr>
            <w:r>
              <w:t>全社会网络安全意识提高情况</w:t>
            </w:r>
          </w:p>
        </w:tc>
        <w:tc>
          <w:tcPr>
            <w:tcW w:w="2268" w:type="dxa"/>
            <w:tcBorders>
              <w:left w:val="single" w:sz="6" w:space="0" w:color="auto"/>
            </w:tcBorders>
            <w:vAlign w:val="center"/>
          </w:tcPr>
          <w:p>
            <w:pPr>
              <w:pStyle w:val="20"/>
            </w:pPr>
            <w:r>
              <w:t>明显提高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舆情监控能力提高程度</w:t>
            </w:r>
          </w:p>
        </w:tc>
        <w:tc>
          <w:tcPr>
            <w:tcW w:w="5386" w:type="dxa"/>
            <w:tcBorders>
              <w:left w:val="single" w:sz="6" w:space="0" w:color="auto"/>
            </w:tcBorders>
            <w:vAlign w:val="center"/>
          </w:tcPr>
          <w:p>
            <w:pPr>
              <w:pStyle w:val="20"/>
            </w:pPr>
            <w:r>
              <w:t>对全区舆情监测能力提高情况</w:t>
            </w:r>
          </w:p>
        </w:tc>
        <w:tc>
          <w:tcPr>
            <w:tcW w:w="2268" w:type="dxa"/>
            <w:tcBorders>
              <w:left w:val="single" w:sz="6" w:space="0" w:color="auto"/>
            </w:tcBorders>
            <w:vAlign w:val="center"/>
          </w:tcPr>
          <w:p>
            <w:pPr>
              <w:pStyle w:val="20"/>
            </w:pPr>
            <w:r>
              <w:t>明显提高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用户满意度</w:t>
            </w:r>
          </w:p>
        </w:tc>
        <w:tc>
          <w:tcPr>
            <w:tcW w:w="5386" w:type="dxa"/>
            <w:tcBorders>
              <w:left w:val="single" w:sz="6" w:space="0" w:color="auto"/>
            </w:tcBorders>
            <w:vAlign w:val="center"/>
          </w:tcPr>
          <w:p>
            <w:pPr>
              <w:pStyle w:val="20"/>
            </w:pPr>
            <w:r>
              <w:t>调查中用户反馈满意和较满意的数量占调查用户总数量的比率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7、网络舆情监测服务运行费绩效目标表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13010925P000124100015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网络舆情监测服务运行费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增购一款舆情监测软件与网络舆情导控技术平台在检测范围、推送时效、走势分析等方面实现功能互补。</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3.60</w:t>
            </w:r>
          </w:p>
        </w:tc>
        <w:tc>
          <w:tcPr>
            <w:tcW w:w="2551" w:type="dxa"/>
            <w:tcBorders>
              <w:left w:val="single" w:sz="6" w:space="0" w:color="auto"/>
            </w:tcBorders>
            <w:vAlign w:val="center"/>
          </w:tcPr>
          <w:p>
            <w:pPr>
              <w:pStyle w:val="21"/>
            </w:pPr>
            <w:r>
              <w:t>6.00</w:t>
            </w:r>
          </w:p>
        </w:tc>
        <w:tc>
          <w:tcPr>
            <w:tcW w:w="3544" w:type="dxa"/>
            <w:gridSpan w:val="2"/>
            <w:tcBorders>
              <w:left w:val="single" w:sz="6" w:space="0" w:color="auto"/>
            </w:tcBorders>
            <w:vAlign w:val="center"/>
          </w:tcPr>
          <w:p>
            <w:pPr>
              <w:pStyle w:val="21"/>
            </w:pPr>
            <w:r>
              <w:t>6.00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1.增购一款舆情监测软件与网络舆情导控技术平台在检测范围、推送时效、走势分析等方面实现功能互补。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软件数量</w:t>
            </w:r>
          </w:p>
        </w:tc>
        <w:tc>
          <w:tcPr>
            <w:tcW w:w="5386" w:type="dxa"/>
            <w:tcBorders>
              <w:left w:val="single" w:sz="6" w:space="0" w:color="auto"/>
            </w:tcBorders>
            <w:vAlign w:val="center"/>
          </w:tcPr>
          <w:p>
            <w:pPr>
              <w:pStyle w:val="20"/>
            </w:pPr>
            <w:r>
              <w:t>监测软件数量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监测信息质量</w:t>
            </w:r>
          </w:p>
        </w:tc>
        <w:tc>
          <w:tcPr>
            <w:tcW w:w="5386" w:type="dxa"/>
            <w:tcBorders>
              <w:left w:val="single" w:sz="6" w:space="0" w:color="auto"/>
            </w:tcBorders>
            <w:vAlign w:val="center"/>
          </w:tcPr>
          <w:p>
            <w:pPr>
              <w:pStyle w:val="20"/>
            </w:pPr>
            <w:r>
              <w:t>监测信息准确率</w:t>
            </w:r>
          </w:p>
        </w:tc>
        <w:tc>
          <w:tcPr>
            <w:tcW w:w="2268" w:type="dxa"/>
            <w:tcBorders>
              <w:left w:val="single" w:sz="6" w:space="0" w:color="auto"/>
            </w:tcBorders>
            <w:vAlign w:val="center"/>
          </w:tcPr>
          <w:p>
            <w:pPr>
              <w:pStyle w:val="20"/>
            </w:pPr>
            <w:r>
              <w:t>≥80%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推送及时性</w:t>
            </w:r>
          </w:p>
        </w:tc>
        <w:tc>
          <w:tcPr>
            <w:tcW w:w="5386" w:type="dxa"/>
            <w:tcBorders>
              <w:left w:val="single" w:sz="6" w:space="0" w:color="auto"/>
            </w:tcBorders>
            <w:vAlign w:val="center"/>
          </w:tcPr>
          <w:p>
            <w:pPr>
              <w:pStyle w:val="20"/>
            </w:pPr>
            <w:r>
              <w:t>信息推送及时性</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项目实现功能</w:t>
            </w:r>
          </w:p>
        </w:tc>
        <w:tc>
          <w:tcPr>
            <w:tcW w:w="5386" w:type="dxa"/>
            <w:tcBorders>
              <w:left w:val="single" w:sz="6" w:space="0" w:color="auto"/>
            </w:tcBorders>
            <w:vAlign w:val="center"/>
          </w:tcPr>
          <w:p>
            <w:pPr>
              <w:pStyle w:val="20"/>
            </w:pPr>
            <w:r>
              <w:t>实现功能互补</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用户使用满意度</w:t>
            </w:r>
          </w:p>
        </w:tc>
        <w:tc>
          <w:tcPr>
            <w:tcW w:w="5386" w:type="dxa"/>
            <w:tcBorders>
              <w:left w:val="single" w:sz="6" w:space="0" w:color="auto"/>
            </w:tcBorders>
            <w:vAlign w:val="center"/>
          </w:tcPr>
          <w:p>
            <w:pPr>
              <w:pStyle w:val="20"/>
            </w:pPr>
            <w:r>
              <w:t>使用软件满意度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8、云端数据库更新服务费绩效目标表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13010925P00000810184Q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云端数据库更新服务费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通过云端数据库更新服务，数据库与云端数据库定期匹配，与本地漏洞可实现匹配。</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2.00</w:t>
            </w:r>
          </w:p>
        </w:tc>
        <w:tc>
          <w:tcPr>
            <w:tcW w:w="2551" w:type="dxa"/>
            <w:tcBorders>
              <w:left w:val="single" w:sz="6" w:space="0" w:color="auto"/>
            </w:tcBorders>
            <w:vAlign w:val="center"/>
          </w:tcPr>
          <w:p>
            <w:pPr>
              <w:pStyle w:val="21"/>
            </w:pPr>
            <w:r>
              <w:t>3.00</w:t>
            </w:r>
          </w:p>
        </w:tc>
        <w:tc>
          <w:tcPr>
            <w:tcW w:w="3544" w:type="dxa"/>
            <w:gridSpan w:val="2"/>
            <w:tcBorders>
              <w:left w:val="single" w:sz="6" w:space="0" w:color="auto"/>
            </w:tcBorders>
            <w:vAlign w:val="center"/>
          </w:tcPr>
          <w:p>
            <w:pPr>
              <w:pStyle w:val="21"/>
            </w:pPr>
            <w:r>
              <w:t>3.00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1.通过云端数据库更新服务，数据库与云端数据库定期匹配，与本地漏洞可实现匹配。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全天候不间断监测更新数量</w:t>
            </w:r>
          </w:p>
        </w:tc>
        <w:tc>
          <w:tcPr>
            <w:tcW w:w="5386" w:type="dxa"/>
            <w:tcBorders>
              <w:left w:val="single" w:sz="6" w:space="0" w:color="auto"/>
            </w:tcBorders>
            <w:vAlign w:val="center"/>
          </w:tcPr>
          <w:p>
            <w:pPr>
              <w:pStyle w:val="20"/>
            </w:pPr>
            <w:r>
              <w:t>根据云端数据库更新情况不限次数更新</w:t>
            </w:r>
          </w:p>
        </w:tc>
        <w:tc>
          <w:tcPr>
            <w:tcW w:w="2268" w:type="dxa"/>
            <w:tcBorders>
              <w:left w:val="single" w:sz="6" w:space="0" w:color="auto"/>
            </w:tcBorders>
            <w:vAlign w:val="center"/>
          </w:tcPr>
          <w:p>
            <w:pPr>
              <w:pStyle w:val="20"/>
            </w:pPr>
            <w:r>
              <w:t>≥2次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信息准确率</w:t>
            </w:r>
          </w:p>
        </w:tc>
        <w:tc>
          <w:tcPr>
            <w:tcW w:w="5386" w:type="dxa"/>
            <w:tcBorders>
              <w:left w:val="single" w:sz="6" w:space="0" w:color="auto"/>
            </w:tcBorders>
            <w:vAlign w:val="center"/>
          </w:tcPr>
          <w:p>
            <w:pPr>
              <w:pStyle w:val="20"/>
            </w:pPr>
            <w:r>
              <w:t>与云端数据库同步</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数据更新及时</w:t>
            </w:r>
          </w:p>
        </w:tc>
        <w:tc>
          <w:tcPr>
            <w:tcW w:w="5386" w:type="dxa"/>
            <w:tcBorders>
              <w:left w:val="single" w:sz="6" w:space="0" w:color="auto"/>
            </w:tcBorders>
            <w:vAlign w:val="center"/>
          </w:tcPr>
          <w:p>
            <w:pPr>
              <w:pStyle w:val="20"/>
            </w:pPr>
            <w:r>
              <w:t>定期与云端数据库比对更新</w:t>
            </w:r>
          </w:p>
        </w:tc>
        <w:tc>
          <w:tcPr>
            <w:tcW w:w="2268" w:type="dxa"/>
            <w:tcBorders>
              <w:left w:val="single" w:sz="6" w:space="0" w:color="auto"/>
            </w:tcBorders>
            <w:vAlign w:val="center"/>
          </w:tcPr>
          <w:p>
            <w:pPr>
              <w:pStyle w:val="20"/>
            </w:pPr>
            <w:r>
              <w:t>定期与云端数据库比对更新</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预算文本</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项目实现效果</w:t>
            </w:r>
          </w:p>
        </w:tc>
        <w:tc>
          <w:tcPr>
            <w:tcW w:w="5386" w:type="dxa"/>
            <w:tcBorders>
              <w:left w:val="single" w:sz="6" w:space="0" w:color="auto"/>
            </w:tcBorders>
            <w:vAlign w:val="center"/>
          </w:tcPr>
          <w:p>
            <w:pPr>
              <w:pStyle w:val="20"/>
            </w:pPr>
            <w:r>
              <w:t>增强网络安全防护能力</w:t>
            </w:r>
          </w:p>
        </w:tc>
        <w:tc>
          <w:tcPr>
            <w:tcW w:w="2268" w:type="dxa"/>
            <w:tcBorders>
              <w:left w:val="single" w:sz="6" w:space="0" w:color="auto"/>
            </w:tcBorders>
            <w:vAlign w:val="center"/>
          </w:tcPr>
          <w:p>
            <w:pPr>
              <w:pStyle w:val="20"/>
            </w:pPr>
            <w:r>
              <w:t>有效增强防护能力</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服务应用效果</w:t>
            </w:r>
          </w:p>
        </w:tc>
        <w:tc>
          <w:tcPr>
            <w:tcW w:w="5386" w:type="dxa"/>
            <w:tcBorders>
              <w:left w:val="single" w:sz="6" w:space="0" w:color="auto"/>
            </w:tcBorders>
            <w:vAlign w:val="center"/>
          </w:tcPr>
          <w:p>
            <w:pPr>
              <w:pStyle w:val="20"/>
            </w:pPr>
            <w:r>
              <w:t>定期更新不出现大范围数据库不匹配现象</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监测用户满意度</w:t>
            </w:r>
          </w:p>
        </w:tc>
        <w:tc>
          <w:tcPr>
            <w:tcW w:w="5386" w:type="dxa"/>
            <w:tcBorders>
              <w:left w:val="single" w:sz="6" w:space="0" w:color="auto"/>
            </w:tcBorders>
            <w:vAlign w:val="center"/>
          </w:tcPr>
          <w:p>
            <w:pPr>
              <w:pStyle w:val="20"/>
            </w:pPr>
            <w:r>
              <w:t>监测用户满意度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中共石家庄市藁城区委网络安全和信息化委员会办公室本级上年末固定资产金额为31.46万元（详见下表）。本年度拟购置固定资产总额为0.00万元，已按要求列入政府采购预算，详见政府采购预算表。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224001中共石家庄市藁城区委网络安全和信息化委员会办公室本级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31.46</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85</w:t>
            </w:r>
          </w:p>
        </w:tc>
        <w:tc>
          <w:tcPr>
            <w:tcW w:w="2835" w:type="dxa"/>
            <w:tcBorders>
              <w:left w:val="single" w:sz="6" w:space="0" w:color="auto"/>
            </w:tcBorders>
            <w:vAlign w:val="center"/>
          </w:tcPr>
          <w:p>
            <w:pPr>
              <w:pStyle w:val="19"/>
            </w:pPr>
            <w:r>
              <w:t>31.46</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3000509000000000000"/>
    <w:charset w:val="86"/>
    <w:family w:val="script"/>
    <w:pitch w:val="variable"/>
    <w:sig w:usb0="00000001" w:usb1="080E0000" w:usb2="00000000" w:usb3="00000000" w:csb0="00040000"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yozoId="4094"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yozoId="4094"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yozoId="4094"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yozoId="4094"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yozoId="4094"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yozoId="4094"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yozoId="4094"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yozoId="4094"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yozoId="4094"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yozoId="4094"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yozoId="4094" w:styleId="30">
    <w:name w:val="TOC 4"/>
    <w:qFormat/>
    <w:basedOn w:val="0"/>
    <w:pPr>
      <w:ind w:left="720"/>
    </w:pPr>
  </w:style>
  <w:style w:type="paragraph" w:customStyle="1" w:yozoId="4094"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FBAAA48-4A99-44A8-98A9-FE8B7EC95F4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Yozo_Office9.0.5727.102ZH.HE36</Application>
  <Pages>29</Pages>
  <Words>0</Words>
  <Characters>9502</Characters>
  <Lines>0</Lines>
  <Paragraphs>118</Paragraphs>
  <CharactersWithSpaces>12670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4</cp:revision>
  <dcterms:created xsi:type="dcterms:W3CDTF">2025-02-11T15:13:56Z</dcterms:created>
  <dcterms:modified xsi:type="dcterms:W3CDTF">2025-02-12T07:08:36Z</dcterms:modified>
</cp:coreProperties>
</file>