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E5711BE">
      <w:pPr>
        <w:keepNext w:val="0"/>
        <w:keepLines w:val="0"/>
        <w:pageBreakBefore w:val="0"/>
        <w:widowControl w:val="0"/>
        <w:kinsoku/>
        <w:wordWrap/>
        <w:overflowPunct/>
        <w:topLinePunct/>
        <w:autoSpaceDE/>
        <w:autoSpaceDN/>
        <w:bidi w:val="0"/>
        <w:adjustRightInd/>
        <w:snapToGrid/>
        <w:spacing w:line="620" w:lineRule="exact"/>
        <w:jc w:val="center"/>
        <w:textAlignment w:val="baseline"/>
        <w:rPr>
          <w:rFonts w:hint="eastAsia" w:ascii="方正小标宋简体" w:hAnsi="方正小标宋简体" w:eastAsia="方正小标宋简体" w:cs="方正小标宋简体"/>
          <w:color w:val="000000" w:themeColor="text1"/>
          <w:sz w:val="42"/>
          <w:szCs w:val="42"/>
          <w:highlight w:val="none"/>
          <w14:textFill>
            <w14:solidFill>
              <w14:schemeClr w14:val="tx1"/>
            </w14:solidFill>
          </w14:textFill>
        </w:rPr>
      </w:pPr>
    </w:p>
    <w:p w14:paraId="114C3401">
      <w:pPr>
        <w:keepNext w:val="0"/>
        <w:keepLines w:val="0"/>
        <w:pageBreakBefore w:val="0"/>
        <w:widowControl w:val="0"/>
        <w:kinsoku/>
        <w:wordWrap/>
        <w:overflowPunct/>
        <w:topLinePunct/>
        <w:autoSpaceDE/>
        <w:autoSpaceDN/>
        <w:bidi w:val="0"/>
        <w:adjustRightInd/>
        <w:snapToGrid/>
        <w:spacing w:line="620" w:lineRule="exact"/>
        <w:jc w:val="center"/>
        <w:textAlignment w:val="baseline"/>
        <w:rPr>
          <w:rFonts w:hint="eastAsia" w:ascii="方正小标宋简体" w:hAnsi="方正小标宋简体" w:eastAsia="方正小标宋简体" w:cs="方正小标宋简体"/>
          <w:color w:val="000000" w:themeColor="text1"/>
          <w:sz w:val="42"/>
          <w:szCs w:val="42"/>
          <w:highlight w:val="none"/>
          <w14:textFill>
            <w14:solidFill>
              <w14:schemeClr w14:val="tx1"/>
            </w14:solidFill>
          </w14:textFill>
        </w:rPr>
      </w:pPr>
    </w:p>
    <w:p w14:paraId="1E15A061">
      <w:pPr>
        <w:keepNext w:val="0"/>
        <w:keepLines w:val="0"/>
        <w:pageBreakBefore w:val="0"/>
        <w:widowControl w:val="0"/>
        <w:kinsoku/>
        <w:wordWrap/>
        <w:overflowPunct/>
        <w:topLinePunct/>
        <w:autoSpaceDE/>
        <w:autoSpaceDN/>
        <w:bidi w:val="0"/>
        <w:adjustRightInd/>
        <w:snapToGrid/>
        <w:spacing w:line="620" w:lineRule="exact"/>
        <w:jc w:val="center"/>
        <w:textAlignment w:val="baseline"/>
        <w:rPr>
          <w:rFonts w:hint="eastAsia" w:ascii="方正小标宋简体" w:hAnsi="方正小标宋简体" w:eastAsia="方正小标宋简体" w:cs="方正小标宋简体"/>
          <w:color w:val="000000" w:themeColor="text1"/>
          <w:sz w:val="44"/>
          <w:szCs w:val="44"/>
          <w:highlight w:val="none"/>
          <w14:textFill>
            <w14:solidFill>
              <w14:schemeClr w14:val="tx1"/>
            </w14:solidFill>
          </w14:textFill>
        </w:rPr>
      </w:pPr>
      <w:r>
        <w:rPr>
          <w:rFonts w:hint="eastAsia" w:ascii="方正小标宋简体" w:hAnsi="方正小标宋简体" w:eastAsia="方正小标宋简体" w:cs="方正小标宋简体"/>
          <w:color w:val="000000" w:themeColor="text1"/>
          <w:sz w:val="44"/>
          <w:szCs w:val="44"/>
          <w:highlight w:val="none"/>
          <w14:textFill>
            <w14:solidFill>
              <w14:schemeClr w14:val="tx1"/>
            </w14:solidFill>
          </w14:textFill>
        </w:rPr>
        <w:t>关于石家庄市藁城区2024年预算执行情况</w:t>
      </w:r>
    </w:p>
    <w:p w14:paraId="07A090F4">
      <w:pPr>
        <w:keepNext w:val="0"/>
        <w:keepLines w:val="0"/>
        <w:pageBreakBefore w:val="0"/>
        <w:widowControl w:val="0"/>
        <w:kinsoku/>
        <w:wordWrap/>
        <w:overflowPunct/>
        <w:topLinePunct/>
        <w:autoSpaceDE/>
        <w:autoSpaceDN/>
        <w:bidi w:val="0"/>
        <w:adjustRightInd/>
        <w:snapToGrid/>
        <w:spacing w:line="620" w:lineRule="exact"/>
        <w:jc w:val="center"/>
        <w:textAlignment w:val="baseline"/>
        <w:rPr>
          <w:rFonts w:hint="eastAsia" w:ascii="方正小标宋简体" w:hAnsi="方正小标宋简体" w:eastAsia="方正小标宋简体" w:cs="方正小标宋简体"/>
          <w:color w:val="000000" w:themeColor="text1"/>
          <w:sz w:val="44"/>
          <w:szCs w:val="44"/>
          <w:highlight w:val="none"/>
          <w14:textFill>
            <w14:solidFill>
              <w14:schemeClr w14:val="tx1"/>
            </w14:solidFill>
          </w14:textFill>
        </w:rPr>
      </w:pPr>
      <w:r>
        <w:rPr>
          <w:rFonts w:hint="eastAsia" w:ascii="方正小标宋简体" w:hAnsi="方正小标宋简体" w:eastAsia="方正小标宋简体" w:cs="方正小标宋简体"/>
          <w:color w:val="000000" w:themeColor="text1"/>
          <w:sz w:val="44"/>
          <w:szCs w:val="44"/>
          <w:highlight w:val="none"/>
          <w14:textFill>
            <w14:solidFill>
              <w14:schemeClr w14:val="tx1"/>
            </w14:solidFill>
          </w14:textFill>
        </w:rPr>
        <w:t>和2025年预算草案的报告</w:t>
      </w:r>
    </w:p>
    <w:p w14:paraId="151265F9">
      <w:pPr>
        <w:keepNext w:val="0"/>
        <w:keepLines w:val="0"/>
        <w:pageBreakBefore w:val="0"/>
        <w:widowControl w:val="0"/>
        <w:kinsoku/>
        <w:wordWrap/>
        <w:overflowPunct/>
        <w:topLinePunct w:val="0"/>
        <w:autoSpaceDE/>
        <w:autoSpaceDN/>
        <w:bidi w:val="0"/>
        <w:adjustRightInd/>
        <w:snapToGrid/>
        <w:spacing w:line="620" w:lineRule="exact"/>
        <w:jc w:val="center"/>
        <w:textAlignment w:val="baseline"/>
        <w:rPr>
          <w:rFonts w:hint="eastAsia" w:ascii="楷体_GB2312" w:hAnsi="楷体_GB2312" w:eastAsia="楷体_GB2312" w:cs="楷体_GB2312"/>
          <w:color w:val="000000" w:themeColor="text1"/>
          <w:sz w:val="32"/>
          <w:szCs w:val="32"/>
          <w:highlight w:val="none"/>
          <w14:textFill>
            <w14:solidFill>
              <w14:schemeClr w14:val="tx1"/>
            </w14:solidFill>
          </w14:textFill>
        </w:rPr>
      </w:pPr>
      <w:r>
        <w:rPr>
          <w:rFonts w:hint="eastAsia" w:ascii="楷体_GB2312" w:hAnsi="楷体_GB2312" w:eastAsia="楷体_GB2312" w:cs="楷体_GB2312"/>
          <w:color w:val="000000" w:themeColor="text1"/>
          <w:sz w:val="32"/>
          <w:szCs w:val="32"/>
          <w:highlight w:val="none"/>
          <w14:textFill>
            <w14:solidFill>
              <w14:schemeClr w14:val="tx1"/>
            </w14:solidFill>
          </w14:textFill>
        </w:rPr>
        <w:t>——2025年1月14日在石家庄市藁城区第三届</w:t>
      </w:r>
    </w:p>
    <w:p w14:paraId="425D29E1">
      <w:pPr>
        <w:keepNext w:val="0"/>
        <w:keepLines w:val="0"/>
        <w:pageBreakBefore w:val="0"/>
        <w:widowControl w:val="0"/>
        <w:kinsoku/>
        <w:wordWrap/>
        <w:overflowPunct/>
        <w:topLinePunct w:val="0"/>
        <w:autoSpaceDE/>
        <w:autoSpaceDN/>
        <w:bidi w:val="0"/>
        <w:adjustRightInd/>
        <w:snapToGrid/>
        <w:spacing w:line="620" w:lineRule="exact"/>
        <w:jc w:val="center"/>
        <w:textAlignment w:val="baseline"/>
        <w:rPr>
          <w:rFonts w:hint="eastAsia" w:ascii="楷体_GB2312" w:hAnsi="楷体_GB2312" w:eastAsia="楷体_GB2312" w:cs="楷体_GB2312"/>
          <w:color w:val="000000" w:themeColor="text1"/>
          <w:sz w:val="32"/>
          <w:szCs w:val="32"/>
          <w:highlight w:val="none"/>
          <w14:textFill>
            <w14:solidFill>
              <w14:schemeClr w14:val="tx1"/>
            </w14:solidFill>
          </w14:textFill>
        </w:rPr>
      </w:pPr>
      <w:r>
        <w:rPr>
          <w:rFonts w:hint="eastAsia" w:ascii="楷体_GB2312" w:hAnsi="楷体_GB2312" w:eastAsia="楷体_GB2312" w:cs="楷体_GB2312"/>
          <w:color w:val="000000" w:themeColor="text1"/>
          <w:sz w:val="32"/>
          <w:szCs w:val="32"/>
          <w:highlight w:val="none"/>
          <w14:textFill>
            <w14:solidFill>
              <w14:schemeClr w14:val="tx1"/>
            </w14:solidFill>
          </w14:textFill>
        </w:rPr>
        <w:t>人民代表大会第五次会议上</w:t>
      </w:r>
    </w:p>
    <w:p w14:paraId="11EF3164">
      <w:pPr>
        <w:keepNext w:val="0"/>
        <w:keepLines w:val="0"/>
        <w:pageBreakBefore w:val="0"/>
        <w:widowControl w:val="0"/>
        <w:kinsoku/>
        <w:wordWrap/>
        <w:overflowPunct/>
        <w:topLinePunct w:val="0"/>
        <w:autoSpaceDE/>
        <w:autoSpaceDN/>
        <w:bidi w:val="0"/>
        <w:adjustRightInd/>
        <w:snapToGrid/>
        <w:spacing w:after="226" w:afterLines="50" w:line="620" w:lineRule="exact"/>
        <w:jc w:val="center"/>
        <w:textAlignment w:val="baseline"/>
        <w:rPr>
          <w:rFonts w:hint="eastAsia" w:ascii="楷体_GB2312" w:hAnsi="楷体_GB2312" w:eastAsia="楷体_GB2312" w:cs="楷体_GB2312"/>
          <w:color w:val="000000" w:themeColor="text1"/>
          <w:sz w:val="32"/>
          <w:szCs w:val="32"/>
          <w14:textFill>
            <w14:solidFill>
              <w14:schemeClr w14:val="tx1"/>
            </w14:solidFill>
          </w14:textFill>
        </w:rPr>
      </w:pPr>
      <w:r>
        <w:rPr>
          <w:rFonts w:hint="eastAsia" w:ascii="楷体_GB2312" w:hAnsi="楷体_GB2312" w:eastAsia="楷体_GB2312" w:cs="楷体_GB2312"/>
          <w:color w:val="000000" w:themeColor="text1"/>
          <w:sz w:val="32"/>
          <w:szCs w:val="32"/>
          <w:highlight w:val="none"/>
          <w14:textFill>
            <w14:solidFill>
              <w14:schemeClr w14:val="tx1"/>
            </w14:solidFill>
          </w14:textFill>
        </w:rPr>
        <w:t>石家庄市藁城区财政局</w:t>
      </w:r>
      <w:r>
        <w:rPr>
          <w:rFonts w:hint="eastAsia" w:ascii="楷体_GB2312" w:hAnsi="楷体_GB2312" w:eastAsia="楷体_GB2312" w:cs="楷体_GB2312"/>
          <w:color w:val="000000" w:themeColor="text1"/>
          <w:sz w:val="32"/>
          <w:szCs w:val="32"/>
          <w:highlight w:val="none"/>
          <w:lang w:val="en-US" w:eastAsia="zh-CN"/>
          <w14:textFill>
            <w14:solidFill>
              <w14:schemeClr w14:val="tx1"/>
            </w14:solidFill>
          </w14:textFill>
        </w:rPr>
        <w:t xml:space="preserve">  </w:t>
      </w:r>
      <w:r>
        <w:rPr>
          <w:rFonts w:hint="eastAsia" w:ascii="楷体_GB2312" w:hAnsi="楷体_GB2312" w:eastAsia="楷体_GB2312" w:cs="楷体_GB2312"/>
          <w:color w:val="000000" w:themeColor="text1"/>
          <w:sz w:val="32"/>
          <w:szCs w:val="32"/>
          <w:highlight w:val="none"/>
          <w14:textFill>
            <w14:solidFill>
              <w14:schemeClr w14:val="tx1"/>
            </w14:solidFill>
          </w14:textFill>
        </w:rPr>
        <w:t>李 辉</w:t>
      </w:r>
    </w:p>
    <w:p w14:paraId="06131A0B">
      <w:pPr>
        <w:keepNext w:val="0"/>
        <w:keepLines w:val="0"/>
        <w:pageBreakBefore w:val="0"/>
        <w:widowControl w:val="0"/>
        <w:kinsoku/>
        <w:wordWrap/>
        <w:overflowPunct/>
        <w:autoSpaceDE/>
        <w:autoSpaceDN/>
        <w:bidi w:val="0"/>
        <w:spacing w:line="620" w:lineRule="exact"/>
        <w:rPr>
          <w:rFonts w:ascii="仿宋_GB2312" w:hAnsi="仿宋_GB2312" w:eastAsia="仿宋_GB2312"/>
          <w:color w:val="000000" w:themeColor="text1"/>
          <w:sz w:val="32"/>
          <w:szCs w:val="32"/>
          <w14:textFill>
            <w14:solidFill>
              <w14:schemeClr w14:val="tx1"/>
            </w14:solidFill>
          </w14:textFill>
        </w:rPr>
      </w:pPr>
      <w:r>
        <w:rPr>
          <w:rFonts w:hint="eastAsia" w:ascii="仿宋_GB2312" w:hAnsi="仿宋_GB2312" w:eastAsia="仿宋_GB2312"/>
          <w:color w:val="000000" w:themeColor="text1"/>
          <w:sz w:val="32"/>
          <w:szCs w:val="32"/>
          <w14:textFill>
            <w14:solidFill>
              <w14:schemeClr w14:val="tx1"/>
            </w14:solidFill>
          </w14:textFill>
        </w:rPr>
        <w:t>各位代表：</w:t>
      </w:r>
    </w:p>
    <w:p w14:paraId="7FE1A6E9">
      <w:pPr>
        <w:keepNext w:val="0"/>
        <w:keepLines w:val="0"/>
        <w:pageBreakBefore w:val="0"/>
        <w:widowControl w:val="0"/>
        <w:kinsoku/>
        <w:wordWrap/>
        <w:overflowPunct/>
        <w:topLinePunct/>
        <w:autoSpaceDE/>
        <w:autoSpaceDN/>
        <w:bidi w:val="0"/>
        <w:spacing w:line="620" w:lineRule="exact"/>
        <w:ind w:firstLine="640" w:firstLineChars="200"/>
        <w:textAlignment w:val="baseline"/>
        <w:rPr>
          <w:rFonts w:ascii="仿宋_GB2312" w:hAnsi="仿宋_GB2312" w:eastAsia="仿宋_GB2312"/>
          <w:color w:val="000000" w:themeColor="text1"/>
          <w:sz w:val="32"/>
          <w:szCs w:val="32"/>
          <w14:textFill>
            <w14:solidFill>
              <w14:schemeClr w14:val="tx1"/>
            </w14:solidFill>
          </w14:textFill>
        </w:rPr>
      </w:pPr>
      <w:r>
        <w:rPr>
          <w:rFonts w:hint="eastAsia" w:ascii="仿宋_GB2312" w:hAnsi="仿宋_GB2312" w:eastAsia="仿宋_GB2312"/>
          <w:color w:val="000000" w:themeColor="text1"/>
          <w:sz w:val="32"/>
          <w:szCs w:val="32"/>
          <w14:textFill>
            <w14:solidFill>
              <w14:schemeClr w14:val="tx1"/>
            </w14:solidFill>
          </w14:textFill>
        </w:rPr>
        <w:t>受区政府委托，我向大会报告2024年预算执行情况和2025年预算草案，请予审议，并请区政协委员和列席会议的同志提出意见。</w:t>
      </w:r>
    </w:p>
    <w:p w14:paraId="048AD5FD">
      <w:pPr>
        <w:keepNext w:val="0"/>
        <w:keepLines w:val="0"/>
        <w:pageBreakBefore w:val="0"/>
        <w:widowControl w:val="0"/>
        <w:kinsoku/>
        <w:wordWrap/>
        <w:overflowPunct/>
        <w:autoSpaceDE/>
        <w:autoSpaceDN/>
        <w:bidi w:val="0"/>
        <w:spacing w:line="620" w:lineRule="exact"/>
        <w:ind w:firstLine="640" w:firstLineChars="200"/>
        <w:rPr>
          <w:rFonts w:ascii="黑体" w:hAnsi="黑体" w:eastAsia="黑体"/>
          <w:color w:val="000000" w:themeColor="text1"/>
          <w:sz w:val="32"/>
          <w:szCs w:val="32"/>
          <w14:textFill>
            <w14:solidFill>
              <w14:schemeClr w14:val="tx1"/>
            </w14:solidFill>
          </w14:textFill>
        </w:rPr>
      </w:pPr>
      <w:r>
        <w:rPr>
          <w:rFonts w:hint="eastAsia" w:ascii="黑体" w:hAnsi="黑体" w:eastAsia="黑体"/>
          <w:color w:val="000000" w:themeColor="text1"/>
          <w:sz w:val="32"/>
          <w:szCs w:val="32"/>
          <w14:textFill>
            <w14:solidFill>
              <w14:schemeClr w14:val="tx1"/>
            </w14:solidFill>
          </w14:textFill>
        </w:rPr>
        <w:t>一、2024年预算执行情况</w:t>
      </w:r>
    </w:p>
    <w:p w14:paraId="67EDFF32">
      <w:pPr>
        <w:keepNext w:val="0"/>
        <w:keepLines w:val="0"/>
        <w:pageBreakBefore w:val="0"/>
        <w:widowControl w:val="0"/>
        <w:kinsoku/>
        <w:wordWrap/>
        <w:overflowPunct/>
        <w:autoSpaceDE/>
        <w:autoSpaceDN/>
        <w:bidi w:val="0"/>
        <w:spacing w:line="620" w:lineRule="exact"/>
        <w:ind w:firstLine="640" w:firstLineChars="200"/>
        <w:rPr>
          <w:rFonts w:ascii="仿宋_GB2312" w:hAnsi="仿宋_GB2312" w:eastAsia="仿宋_GB2312" w:cs="仿宋_GB2312"/>
          <w:color w:val="000000" w:themeColor="text1"/>
          <w:sz w:val="32"/>
          <w:szCs w:val="32"/>
          <w:shd w:val="clear" w:color="auto" w:fill="FFFFFF"/>
          <w14:textFill>
            <w14:solidFill>
              <w14:schemeClr w14:val="tx1"/>
            </w14:solidFill>
          </w14:textFill>
        </w:rPr>
      </w:pPr>
      <w:r>
        <w:rPr>
          <w:rFonts w:hint="eastAsia" w:ascii="仿宋_GB2312" w:hAnsi="仿宋_GB2312" w:eastAsia="仿宋_GB2312" w:cs="仿宋_GB2312"/>
          <w:color w:val="000000" w:themeColor="text1"/>
          <w:sz w:val="32"/>
          <w:szCs w:val="32"/>
          <w14:textFill>
            <w14:solidFill>
              <w14:schemeClr w14:val="tx1"/>
            </w14:solidFill>
          </w14:textFill>
        </w:rPr>
        <w:t>2024年是中华人民共和国成立75周年，是深入实施“十四五”规划目标任务的关键一年，也是藁城发展历程中极为重要的一年。在区委的坚强领导下</w:t>
      </w:r>
      <w:r>
        <w:rPr>
          <w:rFonts w:hint="eastAsia" w:ascii="仿宋_GB2312" w:hAnsi="仿宋_GB2312" w:eastAsia="仿宋_GB2312" w:cs="仿宋_GB2312"/>
          <w:color w:val="000000" w:themeColor="text1"/>
          <w:sz w:val="32"/>
          <w:szCs w:val="32"/>
          <w:shd w:val="clear" w:color="auto" w:fill="FFFFFF"/>
          <w14:textFill>
            <w14:solidFill>
              <w14:schemeClr w14:val="tx1"/>
            </w14:solidFill>
          </w14:textFill>
        </w:rPr>
        <w:t>，全区财政工作坚持以习近平新时代中国特色社会主义思想为指导，深入学习贯彻党的二十大和二十届二中、三中全会精神，牢牢把握稳中求进工作总基调，坚决落实政府过“紧日子”的要求，兜住兜牢“三保”底线，加强预算执行管理，扎实推进财政改革，有效防控财政风险，预算执行情况基本平稳。</w:t>
      </w:r>
    </w:p>
    <w:p w14:paraId="17FC27A0">
      <w:pPr>
        <w:keepNext w:val="0"/>
        <w:keepLines w:val="0"/>
        <w:pageBreakBefore w:val="0"/>
        <w:widowControl w:val="0"/>
        <w:kinsoku/>
        <w:wordWrap/>
        <w:overflowPunct/>
        <w:autoSpaceDE/>
        <w:autoSpaceDN/>
        <w:bidi w:val="0"/>
        <w:spacing w:line="620" w:lineRule="exact"/>
        <w:ind w:firstLine="640" w:firstLineChars="200"/>
        <w:rPr>
          <w:rFonts w:hint="eastAsia" w:ascii="楷体_GB2312" w:hAnsi="楷体_GB2312" w:eastAsia="楷体_GB2312"/>
          <w:bCs/>
          <w:color w:val="000000" w:themeColor="text1"/>
          <w:sz w:val="32"/>
          <w:szCs w:val="32"/>
          <w14:textFill>
            <w14:solidFill>
              <w14:schemeClr w14:val="tx1"/>
            </w14:solidFill>
          </w14:textFill>
        </w:rPr>
      </w:pPr>
      <w:r>
        <w:rPr>
          <w:rFonts w:hint="eastAsia" w:ascii="楷体_GB2312" w:hAnsi="楷体_GB2312" w:eastAsia="楷体_GB2312"/>
          <w:bCs/>
          <w:color w:val="000000" w:themeColor="text1"/>
          <w:sz w:val="32"/>
          <w:szCs w:val="32"/>
          <w14:textFill>
            <w14:solidFill>
              <w14:schemeClr w14:val="tx1"/>
            </w14:solidFill>
          </w14:textFill>
        </w:rPr>
        <w:t>——一般公共预算执行情况</w:t>
      </w:r>
    </w:p>
    <w:p w14:paraId="0909C5F3">
      <w:pPr>
        <w:keepNext w:val="0"/>
        <w:keepLines w:val="0"/>
        <w:pageBreakBefore w:val="0"/>
        <w:widowControl w:val="0"/>
        <w:kinsoku/>
        <w:wordWrap/>
        <w:overflowPunct/>
        <w:autoSpaceDE/>
        <w:autoSpaceDN/>
        <w:bidi w:val="0"/>
        <w:spacing w:line="620" w:lineRule="exact"/>
        <w:ind w:firstLine="627" w:firstLineChars="200"/>
        <w:rPr>
          <w:rFonts w:hint="eastAsia" w:ascii="仿宋_GB2312" w:hAnsi="仿宋_GB2312" w:eastAsia="仿宋_GB2312" w:cs="仿宋_GB2312"/>
          <w:b/>
          <w:bCs/>
          <w:color w:val="000000" w:themeColor="text1"/>
          <w:spacing w:val="-4"/>
          <w:kern w:val="0"/>
          <w:sz w:val="32"/>
          <w:szCs w:val="32"/>
          <w14:textFill>
            <w14:solidFill>
              <w14:schemeClr w14:val="tx1"/>
            </w14:solidFill>
          </w14:textFill>
        </w:rPr>
      </w:pPr>
      <w:r>
        <w:rPr>
          <w:rFonts w:hint="eastAsia" w:ascii="仿宋_GB2312" w:hAnsi="仿宋_GB2312" w:eastAsia="仿宋_GB2312" w:cs="仿宋_GB2312"/>
          <w:b/>
          <w:bCs/>
          <w:color w:val="000000" w:themeColor="text1"/>
          <w:spacing w:val="-4"/>
          <w:kern w:val="0"/>
          <w:sz w:val="32"/>
          <w:szCs w:val="32"/>
          <w14:textFill>
            <w14:solidFill>
              <w14:schemeClr w14:val="tx1"/>
            </w14:solidFill>
          </w14:textFill>
        </w:rPr>
        <w:t>一般公共预算收入执行情况</w:t>
      </w:r>
    </w:p>
    <w:p w14:paraId="6155882D">
      <w:pPr>
        <w:keepNext w:val="0"/>
        <w:keepLines w:val="0"/>
        <w:pageBreakBefore w:val="0"/>
        <w:widowControl w:val="0"/>
        <w:kinsoku/>
        <w:wordWrap/>
        <w:overflowPunct/>
        <w:autoSpaceDE/>
        <w:autoSpaceDN/>
        <w:bidi w:val="0"/>
        <w:spacing w:line="620" w:lineRule="exact"/>
        <w:ind w:firstLine="624" w:firstLineChars="200"/>
        <w:rPr>
          <w:rFonts w:hint="eastAsia" w:ascii="仿宋_GB2312" w:hAnsi="仿宋_GB2312" w:eastAsia="仿宋_GB2312" w:cs="仿宋_GB2312"/>
          <w:color w:val="000000" w:themeColor="text1"/>
          <w:spacing w:val="-4"/>
          <w:sz w:val="32"/>
          <w:szCs w:val="32"/>
          <w14:textFill>
            <w14:solidFill>
              <w14:schemeClr w14:val="tx1"/>
            </w14:solidFill>
          </w14:textFill>
        </w:rPr>
      </w:pPr>
      <w:r>
        <w:rPr>
          <w:rFonts w:hint="eastAsia" w:ascii="仿宋_GB2312" w:hAnsi="仿宋_GB2312" w:eastAsia="仿宋_GB2312" w:cs="仿宋_GB2312"/>
          <w:color w:val="000000" w:themeColor="text1"/>
          <w:spacing w:val="-4"/>
          <w:sz w:val="32"/>
          <w:szCs w:val="32"/>
          <w14:textFill>
            <w14:solidFill>
              <w14:schemeClr w14:val="tx1"/>
            </w14:solidFill>
          </w14:textFill>
        </w:rPr>
        <w:t>2024年，全区一般公共预算收入完成19.67亿元，占调整预算的100.1%，比上年同期可比增长（以下简称增长）1.6%。</w:t>
      </w:r>
    </w:p>
    <w:p w14:paraId="4A8106ED">
      <w:pPr>
        <w:keepNext w:val="0"/>
        <w:keepLines w:val="0"/>
        <w:pageBreakBefore w:val="0"/>
        <w:widowControl w:val="0"/>
        <w:kinsoku/>
        <w:wordWrap/>
        <w:overflowPunct/>
        <w:autoSpaceDE/>
        <w:autoSpaceDN/>
        <w:bidi w:val="0"/>
        <w:spacing w:line="620" w:lineRule="exact"/>
        <w:ind w:firstLine="627" w:firstLineChars="200"/>
        <w:rPr>
          <w:rFonts w:ascii="仿宋_GB2312" w:hAnsi="仿宋_GB2312" w:eastAsia="仿宋_GB2312" w:cs="仿宋_GB2312"/>
          <w:b/>
          <w:color w:val="000000" w:themeColor="text1"/>
          <w:spacing w:val="-4"/>
          <w:sz w:val="32"/>
          <w:szCs w:val="32"/>
          <w14:textFill>
            <w14:solidFill>
              <w14:schemeClr w14:val="tx1"/>
            </w14:solidFill>
          </w14:textFill>
        </w:rPr>
      </w:pPr>
      <w:r>
        <w:rPr>
          <w:rFonts w:hint="eastAsia" w:ascii="仿宋_GB2312" w:hAnsi="仿宋_GB2312" w:eastAsia="仿宋_GB2312" w:cs="仿宋_GB2312"/>
          <w:b/>
          <w:color w:val="000000" w:themeColor="text1"/>
          <w:spacing w:val="-4"/>
          <w:kern w:val="0"/>
          <w:sz w:val="32"/>
          <w:szCs w:val="32"/>
          <w14:textFill>
            <w14:solidFill>
              <w14:schemeClr w14:val="tx1"/>
            </w14:solidFill>
          </w14:textFill>
        </w:rPr>
        <w:t>一般公共预算支出执行情况</w:t>
      </w:r>
    </w:p>
    <w:p w14:paraId="5FE80747">
      <w:pPr>
        <w:keepNext w:val="0"/>
        <w:keepLines w:val="0"/>
        <w:pageBreakBefore w:val="0"/>
        <w:widowControl w:val="0"/>
        <w:kinsoku/>
        <w:wordWrap/>
        <w:overflowPunct/>
        <w:autoSpaceDE/>
        <w:autoSpaceDN/>
        <w:bidi w:val="0"/>
        <w:spacing w:line="620" w:lineRule="exact"/>
        <w:ind w:firstLine="624" w:firstLineChars="200"/>
        <w:rPr>
          <w:rFonts w:ascii="仿宋_GB2312" w:hAnsi="仿宋_GB2312" w:eastAsia="仿宋_GB2312" w:cs="仿宋_GB2312"/>
          <w:color w:val="000000" w:themeColor="text1"/>
          <w:spacing w:val="-4"/>
          <w:sz w:val="32"/>
          <w:szCs w:val="32"/>
          <w14:textFill>
            <w14:solidFill>
              <w14:schemeClr w14:val="tx1"/>
            </w14:solidFill>
          </w14:textFill>
        </w:rPr>
      </w:pPr>
      <w:r>
        <w:rPr>
          <w:rFonts w:hint="eastAsia" w:ascii="仿宋_GB2312" w:hAnsi="仿宋_GB2312" w:eastAsia="仿宋_GB2312" w:cs="仿宋_GB2312"/>
          <w:color w:val="000000" w:themeColor="text1"/>
          <w:spacing w:val="-4"/>
          <w:sz w:val="32"/>
          <w:szCs w:val="32"/>
          <w14:textFill>
            <w14:solidFill>
              <w14:schemeClr w14:val="tx1"/>
            </w14:solidFill>
          </w14:textFill>
        </w:rPr>
        <w:t>2024年，全区一般公共预算支出完成44.59亿元，占调整预算的84.6%，减少15.2%。全年重点支出完成情况如下：</w:t>
      </w:r>
    </w:p>
    <w:p w14:paraId="52FAF30E">
      <w:pPr>
        <w:keepNext w:val="0"/>
        <w:keepLines w:val="0"/>
        <w:pageBreakBefore w:val="0"/>
        <w:widowControl w:val="0"/>
        <w:kinsoku/>
        <w:wordWrap/>
        <w:overflowPunct/>
        <w:autoSpaceDE/>
        <w:autoSpaceDN/>
        <w:bidi w:val="0"/>
        <w:spacing w:line="620" w:lineRule="exact"/>
        <w:ind w:firstLine="624" w:firstLineChars="200"/>
        <w:rPr>
          <w:rFonts w:hint="eastAsia" w:ascii="仿宋_GB2312" w:hAnsi="仿宋_GB2312" w:eastAsia="仿宋_GB2312" w:cs="仿宋_GB2312"/>
          <w:color w:val="000000" w:themeColor="text1"/>
          <w:spacing w:val="-4"/>
          <w:sz w:val="32"/>
          <w:szCs w:val="32"/>
          <w14:textFill>
            <w14:solidFill>
              <w14:schemeClr w14:val="tx1"/>
            </w14:solidFill>
          </w14:textFill>
        </w:rPr>
      </w:pPr>
      <w:r>
        <w:rPr>
          <w:rFonts w:hint="eastAsia" w:ascii="仿宋_GB2312" w:hAnsi="仿宋_GB2312" w:eastAsia="仿宋_GB2312" w:cs="仿宋_GB2312"/>
          <w:color w:val="000000" w:themeColor="text1"/>
          <w:spacing w:val="-4"/>
          <w:sz w:val="32"/>
          <w:szCs w:val="32"/>
          <w14:textFill>
            <w14:solidFill>
              <w14:schemeClr w14:val="tx1"/>
            </w14:solidFill>
          </w14:textFill>
        </w:rPr>
        <w:t>一般公共服务支出完成4.69亿元，占调整预算的96.7%，减少10.2%；</w:t>
      </w:r>
    </w:p>
    <w:p w14:paraId="46087A53">
      <w:pPr>
        <w:keepNext w:val="0"/>
        <w:keepLines w:val="0"/>
        <w:pageBreakBefore w:val="0"/>
        <w:widowControl w:val="0"/>
        <w:kinsoku/>
        <w:wordWrap/>
        <w:overflowPunct/>
        <w:autoSpaceDE/>
        <w:autoSpaceDN/>
        <w:bidi w:val="0"/>
        <w:spacing w:line="620" w:lineRule="exact"/>
        <w:ind w:firstLine="624" w:firstLineChars="200"/>
        <w:rPr>
          <w:rFonts w:hint="eastAsia" w:ascii="仿宋_GB2312" w:hAnsi="仿宋_GB2312" w:eastAsia="仿宋_GB2312" w:cs="仿宋_GB2312"/>
          <w:color w:val="000000" w:themeColor="text1"/>
          <w:spacing w:val="-4"/>
          <w:sz w:val="32"/>
          <w:szCs w:val="32"/>
          <w14:textFill>
            <w14:solidFill>
              <w14:schemeClr w14:val="tx1"/>
            </w14:solidFill>
          </w14:textFill>
        </w:rPr>
      </w:pPr>
      <w:r>
        <w:rPr>
          <w:rFonts w:hint="eastAsia" w:ascii="仿宋_GB2312" w:hAnsi="仿宋_GB2312" w:eastAsia="仿宋_GB2312" w:cs="仿宋_GB2312"/>
          <w:color w:val="000000" w:themeColor="text1"/>
          <w:spacing w:val="-4"/>
          <w:sz w:val="32"/>
          <w:szCs w:val="32"/>
          <w14:textFill>
            <w14:solidFill>
              <w14:schemeClr w14:val="tx1"/>
            </w14:solidFill>
          </w14:textFill>
        </w:rPr>
        <w:t>教育支出完成15.2亿元，占调整预算的90.4%，增长0.8%；</w:t>
      </w:r>
    </w:p>
    <w:p w14:paraId="58D6E71F">
      <w:pPr>
        <w:keepNext w:val="0"/>
        <w:keepLines w:val="0"/>
        <w:pageBreakBefore w:val="0"/>
        <w:widowControl w:val="0"/>
        <w:kinsoku/>
        <w:wordWrap/>
        <w:overflowPunct/>
        <w:autoSpaceDE/>
        <w:autoSpaceDN/>
        <w:bidi w:val="0"/>
        <w:spacing w:line="620" w:lineRule="exact"/>
        <w:ind w:firstLine="624" w:firstLineChars="200"/>
        <w:rPr>
          <w:rFonts w:ascii="仿宋_GB2312" w:hAnsi="仿宋_GB2312" w:eastAsia="仿宋_GB2312" w:cs="仿宋_GB2312"/>
          <w:color w:val="000000" w:themeColor="text1"/>
          <w:spacing w:val="-4"/>
          <w:sz w:val="32"/>
          <w:szCs w:val="32"/>
          <w14:textFill>
            <w14:solidFill>
              <w14:schemeClr w14:val="tx1"/>
            </w14:solidFill>
          </w14:textFill>
        </w:rPr>
      </w:pPr>
      <w:r>
        <w:rPr>
          <w:rFonts w:hint="eastAsia" w:ascii="仿宋_GB2312" w:hAnsi="仿宋_GB2312" w:eastAsia="仿宋_GB2312" w:cs="仿宋_GB2312"/>
          <w:color w:val="000000" w:themeColor="text1"/>
          <w:spacing w:val="-4"/>
          <w:sz w:val="32"/>
          <w:szCs w:val="32"/>
          <w14:textFill>
            <w14:solidFill>
              <w14:schemeClr w14:val="tx1"/>
            </w14:solidFill>
          </w14:textFill>
        </w:rPr>
        <w:t>社会保障和就业支出完成8.77亿元，占调整预算的94.6%，增长2.9%；</w:t>
      </w:r>
    </w:p>
    <w:p w14:paraId="14835EF9">
      <w:pPr>
        <w:keepNext w:val="0"/>
        <w:keepLines w:val="0"/>
        <w:pageBreakBefore w:val="0"/>
        <w:widowControl w:val="0"/>
        <w:kinsoku/>
        <w:wordWrap/>
        <w:overflowPunct/>
        <w:autoSpaceDE/>
        <w:autoSpaceDN/>
        <w:bidi w:val="0"/>
        <w:spacing w:line="620" w:lineRule="exact"/>
        <w:ind w:firstLine="624" w:firstLineChars="200"/>
        <w:rPr>
          <w:rFonts w:ascii="仿宋_GB2312" w:hAnsi="仿宋_GB2312" w:eastAsia="仿宋_GB2312" w:cs="仿宋_GB2312"/>
          <w:color w:val="000000" w:themeColor="text1"/>
          <w:spacing w:val="-4"/>
          <w:sz w:val="32"/>
          <w:szCs w:val="32"/>
          <w14:textFill>
            <w14:solidFill>
              <w14:schemeClr w14:val="tx1"/>
            </w14:solidFill>
          </w14:textFill>
        </w:rPr>
      </w:pPr>
      <w:r>
        <w:rPr>
          <w:rFonts w:hint="eastAsia" w:ascii="仿宋_GB2312" w:hAnsi="仿宋_GB2312" w:eastAsia="仿宋_GB2312" w:cs="仿宋_GB2312"/>
          <w:color w:val="000000" w:themeColor="text1"/>
          <w:spacing w:val="-4"/>
          <w:sz w:val="32"/>
          <w:szCs w:val="32"/>
          <w14:textFill>
            <w14:solidFill>
              <w14:schemeClr w14:val="tx1"/>
            </w14:solidFill>
          </w14:textFill>
        </w:rPr>
        <w:t>卫生健康支出完成3.12亿元，占调整预算的87.9%，减少37.2%，主要原因为疫情防控资金支出较上年减少；</w:t>
      </w:r>
    </w:p>
    <w:p w14:paraId="1F847161">
      <w:pPr>
        <w:keepNext w:val="0"/>
        <w:keepLines w:val="0"/>
        <w:pageBreakBefore w:val="0"/>
        <w:widowControl w:val="0"/>
        <w:kinsoku/>
        <w:wordWrap/>
        <w:overflowPunct/>
        <w:autoSpaceDE/>
        <w:autoSpaceDN/>
        <w:bidi w:val="0"/>
        <w:spacing w:line="620" w:lineRule="exact"/>
        <w:ind w:firstLine="624" w:firstLineChars="200"/>
        <w:rPr>
          <w:rFonts w:ascii="仿宋_GB2312" w:hAnsi="仿宋_GB2312" w:eastAsia="仿宋_GB2312" w:cs="仿宋_GB2312"/>
          <w:color w:val="000000" w:themeColor="text1"/>
          <w:spacing w:val="-4"/>
          <w:sz w:val="32"/>
          <w:szCs w:val="32"/>
          <w14:textFill>
            <w14:solidFill>
              <w14:schemeClr w14:val="tx1"/>
            </w14:solidFill>
          </w14:textFill>
        </w:rPr>
      </w:pPr>
      <w:r>
        <w:rPr>
          <w:rFonts w:hint="eastAsia" w:ascii="仿宋_GB2312" w:hAnsi="仿宋_GB2312" w:eastAsia="仿宋_GB2312" w:cs="仿宋_GB2312"/>
          <w:color w:val="000000" w:themeColor="text1"/>
          <w:spacing w:val="-4"/>
          <w:sz w:val="32"/>
          <w:szCs w:val="32"/>
          <w14:textFill>
            <w14:solidFill>
              <w14:schemeClr w14:val="tx1"/>
            </w14:solidFill>
          </w14:textFill>
        </w:rPr>
        <w:t>节能环保支出完成1.1亿元，占调整预算的85.5%，减少31%，主要原因为上级转移支付较上年减少；</w:t>
      </w:r>
    </w:p>
    <w:p w14:paraId="472D6744">
      <w:pPr>
        <w:keepNext w:val="0"/>
        <w:keepLines w:val="0"/>
        <w:pageBreakBefore w:val="0"/>
        <w:widowControl w:val="0"/>
        <w:kinsoku/>
        <w:wordWrap/>
        <w:overflowPunct/>
        <w:autoSpaceDE/>
        <w:autoSpaceDN/>
        <w:bidi w:val="0"/>
        <w:spacing w:line="620" w:lineRule="exact"/>
        <w:ind w:firstLine="624" w:firstLineChars="200"/>
        <w:rPr>
          <w:rFonts w:hint="eastAsia" w:ascii="仿宋_GB2312" w:hAnsi="仿宋_GB2312" w:eastAsia="仿宋_GB2312" w:cs="仿宋_GB2312"/>
          <w:color w:val="000000" w:themeColor="text1"/>
          <w:spacing w:val="-4"/>
          <w:sz w:val="32"/>
          <w:szCs w:val="32"/>
          <w14:textFill>
            <w14:solidFill>
              <w14:schemeClr w14:val="tx1"/>
            </w14:solidFill>
          </w14:textFill>
        </w:rPr>
      </w:pPr>
      <w:r>
        <w:rPr>
          <w:rFonts w:hint="eastAsia" w:ascii="仿宋_GB2312" w:hAnsi="仿宋_GB2312" w:eastAsia="仿宋_GB2312" w:cs="仿宋_GB2312"/>
          <w:color w:val="000000" w:themeColor="text1"/>
          <w:spacing w:val="-4"/>
          <w:sz w:val="32"/>
          <w:szCs w:val="32"/>
          <w14:textFill>
            <w14:solidFill>
              <w14:schemeClr w14:val="tx1"/>
            </w14:solidFill>
          </w14:textFill>
        </w:rPr>
        <w:t>城乡社区支出完成3.3亿元，占调整预算的73.6%，减少56.2%，主要减少原因为去年消化暂付款；</w:t>
      </w:r>
    </w:p>
    <w:p w14:paraId="7B47EBAD">
      <w:pPr>
        <w:keepNext w:val="0"/>
        <w:keepLines w:val="0"/>
        <w:pageBreakBefore w:val="0"/>
        <w:widowControl w:val="0"/>
        <w:kinsoku/>
        <w:wordWrap/>
        <w:overflowPunct/>
        <w:autoSpaceDE/>
        <w:autoSpaceDN/>
        <w:bidi w:val="0"/>
        <w:spacing w:line="620" w:lineRule="exact"/>
        <w:ind w:firstLine="624" w:firstLineChars="200"/>
        <w:textAlignment w:val="baseline"/>
        <w:rPr>
          <w:rFonts w:hint="eastAsia" w:ascii="仿宋_GB2312" w:hAnsi="仿宋_GB2312" w:eastAsia="仿宋_GB2312" w:cs="仿宋_GB2312"/>
          <w:color w:val="000000" w:themeColor="text1"/>
          <w:spacing w:val="-4"/>
          <w:sz w:val="32"/>
          <w:szCs w:val="32"/>
          <w:lang w:eastAsia="zh-CN"/>
          <w14:textFill>
            <w14:solidFill>
              <w14:schemeClr w14:val="tx1"/>
            </w14:solidFill>
          </w14:textFill>
        </w:rPr>
      </w:pPr>
      <w:r>
        <w:rPr>
          <w:rFonts w:hint="eastAsia" w:ascii="仿宋_GB2312" w:hAnsi="仿宋_GB2312" w:eastAsia="仿宋_GB2312" w:cs="仿宋_GB2312"/>
          <w:color w:val="000000" w:themeColor="text1"/>
          <w:spacing w:val="-4"/>
          <w:sz w:val="32"/>
          <w:szCs w:val="32"/>
          <w14:textFill>
            <w14:solidFill>
              <w14:schemeClr w14:val="tx1"/>
            </w14:solidFill>
          </w14:textFill>
        </w:rPr>
        <w:t>农林水支出完成3.57亿元，占调整预算的59.6%，减少20.7%</w:t>
      </w:r>
      <w:r>
        <w:rPr>
          <w:rFonts w:hint="eastAsia" w:ascii="仿宋_GB2312" w:hAnsi="仿宋_GB2312" w:eastAsia="仿宋_GB2312" w:cs="仿宋_GB2312"/>
          <w:color w:val="000000" w:themeColor="text1"/>
          <w:spacing w:val="-4"/>
          <w:sz w:val="32"/>
          <w:szCs w:val="32"/>
          <w:lang w:eastAsia="zh-CN"/>
          <w14:textFill>
            <w14:solidFill>
              <w14:schemeClr w14:val="tx1"/>
            </w14:solidFill>
          </w14:textFill>
        </w:rPr>
        <w:t>。</w:t>
      </w:r>
    </w:p>
    <w:p w14:paraId="55765395">
      <w:pPr>
        <w:keepNext w:val="0"/>
        <w:keepLines w:val="0"/>
        <w:pageBreakBefore w:val="0"/>
        <w:widowControl w:val="0"/>
        <w:kinsoku/>
        <w:wordWrap/>
        <w:overflowPunct/>
        <w:autoSpaceDE/>
        <w:autoSpaceDN/>
        <w:bidi w:val="0"/>
        <w:spacing w:line="620" w:lineRule="exact"/>
        <w:ind w:firstLine="627" w:firstLineChars="200"/>
        <w:rPr>
          <w:rFonts w:ascii="仿宋_GB2312" w:hAnsi="仿宋_GB2312" w:eastAsia="仿宋_GB2312" w:cs="仿宋_GB2312"/>
          <w:b/>
          <w:color w:val="000000" w:themeColor="text1"/>
          <w:spacing w:val="-4"/>
          <w:sz w:val="32"/>
          <w:szCs w:val="32"/>
          <w14:textFill>
            <w14:solidFill>
              <w14:schemeClr w14:val="tx1"/>
            </w14:solidFill>
          </w14:textFill>
        </w:rPr>
      </w:pPr>
      <w:r>
        <w:rPr>
          <w:rFonts w:hint="eastAsia" w:ascii="仿宋_GB2312" w:hAnsi="仿宋_GB2312" w:eastAsia="仿宋_GB2312" w:cs="仿宋_GB2312"/>
          <w:b/>
          <w:color w:val="000000" w:themeColor="text1"/>
          <w:spacing w:val="-4"/>
          <w:kern w:val="0"/>
          <w:sz w:val="32"/>
          <w:szCs w:val="32"/>
          <w14:textFill>
            <w14:solidFill>
              <w14:schemeClr w14:val="tx1"/>
            </w14:solidFill>
          </w14:textFill>
        </w:rPr>
        <w:t>一般公共预算收支平衡情况</w:t>
      </w:r>
    </w:p>
    <w:p w14:paraId="094B4290">
      <w:pPr>
        <w:keepNext w:val="0"/>
        <w:keepLines w:val="0"/>
        <w:pageBreakBefore w:val="0"/>
        <w:widowControl w:val="0"/>
        <w:kinsoku/>
        <w:wordWrap/>
        <w:overflowPunct/>
        <w:autoSpaceDE/>
        <w:autoSpaceDN/>
        <w:bidi w:val="0"/>
        <w:spacing w:line="620" w:lineRule="exact"/>
        <w:ind w:firstLine="624" w:firstLineChars="200"/>
        <w:rPr>
          <w:rFonts w:hint="eastAsia" w:ascii="仿宋_GB2312" w:hAnsi="仿宋_GB2312" w:eastAsia="仿宋_GB2312" w:cs="仿宋_GB2312"/>
          <w:color w:val="000000" w:themeColor="text1"/>
          <w:spacing w:val="-4"/>
          <w:sz w:val="32"/>
          <w:szCs w:val="32"/>
          <w14:textFill>
            <w14:solidFill>
              <w14:schemeClr w14:val="tx1"/>
            </w14:solidFill>
          </w14:textFill>
        </w:rPr>
      </w:pPr>
      <w:r>
        <w:rPr>
          <w:rFonts w:hint="eastAsia" w:ascii="仿宋_GB2312" w:hAnsi="仿宋_GB2312" w:eastAsia="仿宋_GB2312" w:cs="仿宋_GB2312"/>
          <w:color w:val="000000" w:themeColor="text1"/>
          <w:spacing w:val="-4"/>
          <w:sz w:val="32"/>
          <w:szCs w:val="32"/>
          <w14:textFill>
            <w14:solidFill>
              <w14:schemeClr w14:val="tx1"/>
            </w14:solidFill>
          </w14:textFill>
        </w:rPr>
        <w:t>2024年，全区一般公共预算收入19.67亿元，加上级补助收入18.2亿元、调入预算稳定调节基金2.44亿元、调入资金1.6亿元、上年结转4.84亿元、一般债务转贷收入1.36亿元，收入总计为48.11亿元。一般公共预算支出44.59亿元，加上解上级支出-11.7亿元、调出资金6.8亿元、补充预算稳定调节基金2.27亿元、结转下年6.15亿元，支出总计为48.11亿元。当年一般公共预算收支平衡。</w:t>
      </w:r>
    </w:p>
    <w:p w14:paraId="48D03C22">
      <w:pPr>
        <w:keepNext w:val="0"/>
        <w:keepLines w:val="0"/>
        <w:pageBreakBefore w:val="0"/>
        <w:widowControl w:val="0"/>
        <w:kinsoku/>
        <w:wordWrap/>
        <w:overflowPunct/>
        <w:autoSpaceDE/>
        <w:autoSpaceDN/>
        <w:bidi w:val="0"/>
        <w:spacing w:line="620" w:lineRule="exact"/>
        <w:ind w:firstLine="640" w:firstLineChars="200"/>
        <w:rPr>
          <w:rFonts w:hint="eastAsia" w:ascii="楷体_GB2312" w:hAnsi="楷体_GB2312" w:eastAsia="楷体_GB2312"/>
          <w:bCs/>
          <w:color w:val="000000" w:themeColor="text1"/>
          <w:sz w:val="32"/>
          <w:szCs w:val="32"/>
          <w14:textFill>
            <w14:solidFill>
              <w14:schemeClr w14:val="tx1"/>
            </w14:solidFill>
          </w14:textFill>
        </w:rPr>
      </w:pPr>
      <w:r>
        <w:rPr>
          <w:rFonts w:hint="eastAsia" w:ascii="楷体_GB2312" w:hAnsi="楷体_GB2312" w:eastAsia="楷体_GB2312"/>
          <w:bCs/>
          <w:color w:val="000000" w:themeColor="text1"/>
          <w:sz w:val="32"/>
          <w:szCs w:val="32"/>
          <w14:textFill>
            <w14:solidFill>
              <w14:schemeClr w14:val="tx1"/>
            </w14:solidFill>
          </w14:textFill>
        </w:rPr>
        <w:t>——政府性基金预算执行情况</w:t>
      </w:r>
    </w:p>
    <w:p w14:paraId="14524FA2">
      <w:pPr>
        <w:keepNext w:val="0"/>
        <w:keepLines w:val="0"/>
        <w:pageBreakBefore w:val="0"/>
        <w:widowControl w:val="0"/>
        <w:kinsoku/>
        <w:wordWrap/>
        <w:overflowPunct/>
        <w:autoSpaceDE/>
        <w:autoSpaceDN/>
        <w:bidi w:val="0"/>
        <w:spacing w:line="620" w:lineRule="exact"/>
        <w:ind w:firstLine="624" w:firstLineChars="200"/>
        <w:rPr>
          <w:rFonts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pacing w:val="-4"/>
          <w:sz w:val="32"/>
          <w:szCs w:val="32"/>
          <w14:textFill>
            <w14:solidFill>
              <w14:schemeClr w14:val="tx1"/>
            </w14:solidFill>
          </w14:textFill>
        </w:rPr>
        <w:t>2024年，全区政府性基金预算收入完成1.54亿元（其中国有土地使用权出让收入9827万元，城市基础设施配套费收入4780万元，污水处理费收入601万元，彩票公益金</w:t>
      </w:r>
      <w:r>
        <w:rPr>
          <w:rFonts w:hint="eastAsia" w:ascii="仿宋_GB2312" w:hAnsi="仿宋_GB2312" w:eastAsia="仿宋_GB2312" w:cs="仿宋_GB2312"/>
          <w:color w:val="000000" w:themeColor="text1"/>
          <w:spacing w:val="-4"/>
          <w:sz w:val="32"/>
          <w:szCs w:val="32"/>
          <w:lang w:eastAsia="zh-CN"/>
          <w14:textFill>
            <w14:solidFill>
              <w14:schemeClr w14:val="tx1"/>
            </w14:solidFill>
          </w14:textFill>
        </w:rPr>
        <w:t>收入</w:t>
      </w:r>
      <w:r>
        <w:rPr>
          <w:rFonts w:hint="eastAsia" w:ascii="仿宋_GB2312" w:hAnsi="仿宋_GB2312" w:eastAsia="仿宋_GB2312" w:cs="仿宋_GB2312"/>
          <w:color w:val="000000" w:themeColor="text1"/>
          <w:spacing w:val="-4"/>
          <w:sz w:val="32"/>
          <w:szCs w:val="32"/>
          <w14:textFill>
            <w14:solidFill>
              <w14:schemeClr w14:val="tx1"/>
            </w14:solidFill>
          </w14:textFill>
        </w:rPr>
        <w:t>206万元），占调整预算的115.9%。加上级补助收入1亿元、债务转贷收入5.44亿元、上年结转8.25亿元、调入资金6.8亿元、再融资</w:t>
      </w:r>
      <w:r>
        <w:rPr>
          <w:rFonts w:hint="eastAsia" w:ascii="仿宋_GB2312" w:hAnsi="仿宋_GB2312" w:eastAsia="仿宋_GB2312" w:cs="仿宋_GB2312"/>
          <w:color w:val="000000" w:themeColor="text1"/>
          <w:spacing w:val="-4"/>
          <w:sz w:val="32"/>
          <w:szCs w:val="32"/>
          <w:lang w:eastAsia="zh-CN"/>
          <w14:textFill>
            <w14:solidFill>
              <w14:schemeClr w14:val="tx1"/>
            </w14:solidFill>
          </w14:textFill>
        </w:rPr>
        <w:t>债券</w:t>
      </w:r>
      <w:r>
        <w:rPr>
          <w:rFonts w:hint="eastAsia" w:ascii="仿宋_GB2312" w:hAnsi="仿宋_GB2312" w:eastAsia="仿宋_GB2312" w:cs="仿宋_GB2312"/>
          <w:color w:val="000000" w:themeColor="text1"/>
          <w:spacing w:val="-4"/>
          <w:sz w:val="32"/>
          <w:szCs w:val="32"/>
          <w14:textFill>
            <w14:solidFill>
              <w14:schemeClr w14:val="tx1"/>
            </w14:solidFill>
          </w14:textFill>
        </w:rPr>
        <w:t>收入5700万元，收入总计23.6亿元。全年支出完成12.59亿元，占调整预算的57.5%，加债务还本支出1.23亿元、调出资金1.6亿元、结转下年8.18亿元，支出总计23.6亿元。当年</w:t>
      </w:r>
      <w:r>
        <w:rPr>
          <w:rFonts w:hint="eastAsia" w:ascii="仿宋_GB2312" w:hAnsi="仿宋_GB2312" w:eastAsia="仿宋_GB2312" w:cs="仿宋_GB2312"/>
          <w:color w:val="000000" w:themeColor="text1"/>
          <w:spacing w:val="-4"/>
          <w:sz w:val="32"/>
          <w:szCs w:val="32"/>
          <w:lang w:eastAsia="zh-CN"/>
          <w14:textFill>
            <w14:solidFill>
              <w14:schemeClr w14:val="tx1"/>
            </w14:solidFill>
          </w14:textFill>
        </w:rPr>
        <w:t>政府性</w:t>
      </w:r>
      <w:r>
        <w:rPr>
          <w:rFonts w:hint="eastAsia" w:ascii="仿宋_GB2312" w:hAnsi="仿宋_GB2312" w:eastAsia="仿宋_GB2312" w:cs="仿宋_GB2312"/>
          <w:color w:val="000000" w:themeColor="text1"/>
          <w:spacing w:val="-4"/>
          <w:sz w:val="32"/>
          <w:szCs w:val="32"/>
          <w14:textFill>
            <w14:solidFill>
              <w14:schemeClr w14:val="tx1"/>
            </w14:solidFill>
          </w14:textFill>
        </w:rPr>
        <w:t>基金预算收支平衡。</w:t>
      </w:r>
    </w:p>
    <w:p w14:paraId="443782D0">
      <w:pPr>
        <w:keepNext w:val="0"/>
        <w:keepLines w:val="0"/>
        <w:pageBreakBefore w:val="0"/>
        <w:widowControl w:val="0"/>
        <w:kinsoku/>
        <w:wordWrap/>
        <w:overflowPunct/>
        <w:autoSpaceDE/>
        <w:autoSpaceDN/>
        <w:bidi w:val="0"/>
        <w:spacing w:line="620" w:lineRule="exact"/>
        <w:ind w:firstLine="640" w:firstLineChars="200"/>
        <w:rPr>
          <w:rFonts w:hint="eastAsia" w:ascii="楷体_GB2312" w:hAnsi="楷体_GB2312" w:eastAsia="楷体_GB2312"/>
          <w:bCs/>
          <w:color w:val="000000" w:themeColor="text1"/>
          <w:sz w:val="32"/>
          <w:szCs w:val="32"/>
          <w14:textFill>
            <w14:solidFill>
              <w14:schemeClr w14:val="tx1"/>
            </w14:solidFill>
          </w14:textFill>
        </w:rPr>
      </w:pPr>
      <w:r>
        <w:rPr>
          <w:rFonts w:hint="eastAsia" w:ascii="楷体_GB2312" w:hAnsi="楷体_GB2312" w:eastAsia="楷体_GB2312"/>
          <w:bCs/>
          <w:color w:val="000000" w:themeColor="text1"/>
          <w:sz w:val="32"/>
          <w:szCs w:val="32"/>
          <w14:textFill>
            <w14:solidFill>
              <w14:schemeClr w14:val="tx1"/>
            </w14:solidFill>
          </w14:textFill>
        </w:rPr>
        <w:t>——社会保险基金预算执行情况</w:t>
      </w:r>
    </w:p>
    <w:p w14:paraId="37209107">
      <w:pPr>
        <w:keepNext w:val="0"/>
        <w:keepLines w:val="0"/>
        <w:pageBreakBefore w:val="0"/>
        <w:widowControl w:val="0"/>
        <w:kinsoku/>
        <w:wordWrap/>
        <w:overflowPunct/>
        <w:autoSpaceDE/>
        <w:autoSpaceDN/>
        <w:bidi w:val="0"/>
        <w:spacing w:line="620" w:lineRule="exact"/>
        <w:ind w:firstLine="640" w:firstLineChars="200"/>
        <w:rPr>
          <w:rFonts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14:textFill>
            <w14:solidFill>
              <w14:schemeClr w14:val="tx1"/>
            </w14:solidFill>
          </w14:textFill>
        </w:rPr>
        <w:t>2024年，全区</w:t>
      </w:r>
      <w:r>
        <w:rPr>
          <w:rFonts w:hint="eastAsia" w:ascii="仿宋_GB2312" w:hAnsi="仿宋_GB2312" w:eastAsia="仿宋_GB2312" w:cs="仿宋_GB2312"/>
          <w:color w:val="000000" w:themeColor="text1"/>
          <w:spacing w:val="-4"/>
          <w:kern w:val="0"/>
          <w:sz w:val="32"/>
          <w:szCs w:val="32"/>
          <w14:textFill>
            <w14:solidFill>
              <w14:schemeClr w14:val="tx1"/>
            </w14:solidFill>
          </w14:textFill>
        </w:rPr>
        <w:t>社会保险基金预算收入完成9.26</w:t>
      </w:r>
      <w:r>
        <w:rPr>
          <w:rFonts w:hint="eastAsia" w:ascii="仿宋_GB2312" w:hAnsi="仿宋_GB2312" w:eastAsia="仿宋_GB2312" w:cs="仿宋_GB2312"/>
          <w:color w:val="000000" w:themeColor="text1"/>
          <w:sz w:val="32"/>
          <w:szCs w:val="32"/>
          <w14:textFill>
            <w14:solidFill>
              <w14:schemeClr w14:val="tx1"/>
            </w14:solidFill>
          </w14:textFill>
        </w:rPr>
        <w:t>亿</w:t>
      </w:r>
      <w:r>
        <w:rPr>
          <w:rFonts w:hint="eastAsia" w:ascii="仿宋_GB2312" w:hAnsi="仿宋_GB2312" w:eastAsia="仿宋_GB2312" w:cs="仿宋_GB2312"/>
          <w:color w:val="000000" w:themeColor="text1"/>
          <w:spacing w:val="-4"/>
          <w:kern w:val="0"/>
          <w:sz w:val="32"/>
          <w:szCs w:val="32"/>
          <w14:textFill>
            <w14:solidFill>
              <w14:schemeClr w14:val="tx1"/>
            </w14:solidFill>
          </w14:textFill>
        </w:rPr>
        <w:t>元，</w:t>
      </w:r>
      <w:r>
        <w:rPr>
          <w:rFonts w:hint="eastAsia" w:ascii="仿宋_GB2312" w:hAnsi="仿宋_GB2312" w:eastAsia="仿宋_GB2312" w:cs="仿宋_GB2312"/>
          <w:color w:val="000000" w:themeColor="text1"/>
          <w:spacing w:val="-4"/>
          <w:sz w:val="32"/>
          <w:szCs w:val="32"/>
          <w14:textFill>
            <w14:solidFill>
              <w14:schemeClr w14:val="tx1"/>
            </w14:solidFill>
          </w14:textFill>
        </w:rPr>
        <w:t>占调整预算的98.1%，</w:t>
      </w:r>
      <w:r>
        <w:rPr>
          <w:rFonts w:hint="eastAsia" w:ascii="仿宋_GB2312" w:hAnsi="仿宋_GB2312" w:eastAsia="仿宋_GB2312" w:cs="仿宋_GB2312"/>
          <w:color w:val="000000" w:themeColor="text1"/>
          <w:spacing w:val="-4"/>
          <w:kern w:val="0"/>
          <w:sz w:val="32"/>
          <w:szCs w:val="32"/>
          <w14:textFill>
            <w14:solidFill>
              <w14:schemeClr w14:val="tx1"/>
            </w14:solidFill>
          </w14:textFill>
        </w:rPr>
        <w:t>其中</w:t>
      </w:r>
      <w:r>
        <w:rPr>
          <w:rFonts w:hint="eastAsia" w:ascii="仿宋_GB2312" w:hAnsi="仿宋_GB2312" w:eastAsia="仿宋_GB2312" w:cs="仿宋_GB2312"/>
          <w:color w:val="000000" w:themeColor="text1"/>
          <w:sz w:val="32"/>
          <w:szCs w:val="32"/>
          <w14:textFill>
            <w14:solidFill>
              <w14:schemeClr w14:val="tx1"/>
            </w14:solidFill>
          </w14:textFill>
        </w:rPr>
        <w:t>机关事业单位基本养老保险基金收入4.46亿元，城乡居民基本养老保险基金收入4.8亿元。</w:t>
      </w:r>
    </w:p>
    <w:p w14:paraId="7FC6A66E">
      <w:pPr>
        <w:keepNext w:val="0"/>
        <w:keepLines w:val="0"/>
        <w:pageBreakBefore w:val="0"/>
        <w:widowControl w:val="0"/>
        <w:kinsoku/>
        <w:wordWrap/>
        <w:overflowPunct/>
        <w:autoSpaceDE/>
        <w:autoSpaceDN/>
        <w:bidi w:val="0"/>
        <w:spacing w:line="620" w:lineRule="exact"/>
        <w:ind w:firstLine="640" w:firstLineChars="200"/>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14:textFill>
            <w14:solidFill>
              <w14:schemeClr w14:val="tx1"/>
            </w14:solidFill>
          </w14:textFill>
        </w:rPr>
        <w:t>2024年，全区</w:t>
      </w:r>
      <w:r>
        <w:rPr>
          <w:rFonts w:hint="eastAsia" w:ascii="仿宋_GB2312" w:hAnsi="仿宋_GB2312" w:eastAsia="仿宋_GB2312" w:cs="仿宋_GB2312"/>
          <w:color w:val="000000" w:themeColor="text1"/>
          <w:spacing w:val="-4"/>
          <w:kern w:val="0"/>
          <w:sz w:val="32"/>
          <w:szCs w:val="32"/>
          <w14:textFill>
            <w14:solidFill>
              <w14:schemeClr w14:val="tx1"/>
            </w14:solidFill>
          </w14:textFill>
        </w:rPr>
        <w:t>社会保险基金预算</w:t>
      </w:r>
      <w:r>
        <w:rPr>
          <w:rFonts w:hint="eastAsia" w:ascii="仿宋_GB2312" w:hAnsi="仿宋_GB2312" w:eastAsia="仿宋_GB2312" w:cs="仿宋_GB2312"/>
          <w:color w:val="000000" w:themeColor="text1"/>
          <w:sz w:val="32"/>
          <w:szCs w:val="32"/>
          <w14:textFill>
            <w14:solidFill>
              <w14:schemeClr w14:val="tx1"/>
            </w14:solidFill>
          </w14:textFill>
        </w:rPr>
        <w:t>支出</w:t>
      </w:r>
      <w:r>
        <w:rPr>
          <w:rFonts w:hint="eastAsia" w:ascii="仿宋_GB2312" w:hAnsi="仿宋_GB2312" w:eastAsia="仿宋_GB2312" w:cs="仿宋_GB2312"/>
          <w:color w:val="000000" w:themeColor="text1"/>
          <w:spacing w:val="-4"/>
          <w:kern w:val="0"/>
          <w:sz w:val="32"/>
          <w:szCs w:val="32"/>
          <w14:textFill>
            <w14:solidFill>
              <w14:schemeClr w14:val="tx1"/>
            </w14:solidFill>
          </w14:textFill>
        </w:rPr>
        <w:t>完成8.67亿</w:t>
      </w:r>
      <w:r>
        <w:rPr>
          <w:rFonts w:hint="eastAsia" w:ascii="仿宋_GB2312" w:hAnsi="仿宋_GB2312" w:eastAsia="仿宋_GB2312" w:cs="仿宋_GB2312"/>
          <w:color w:val="000000" w:themeColor="text1"/>
          <w:sz w:val="32"/>
          <w:szCs w:val="32"/>
          <w14:textFill>
            <w14:solidFill>
              <w14:schemeClr w14:val="tx1"/>
            </w14:solidFill>
          </w14:textFill>
        </w:rPr>
        <w:t>元，</w:t>
      </w:r>
      <w:r>
        <w:rPr>
          <w:rFonts w:hint="eastAsia" w:ascii="仿宋_GB2312" w:hAnsi="仿宋_GB2312" w:eastAsia="仿宋_GB2312" w:cs="仿宋_GB2312"/>
          <w:color w:val="000000" w:themeColor="text1"/>
          <w:spacing w:val="-4"/>
          <w:sz w:val="32"/>
          <w:szCs w:val="32"/>
          <w14:textFill>
            <w14:solidFill>
              <w14:schemeClr w14:val="tx1"/>
            </w14:solidFill>
          </w14:textFill>
        </w:rPr>
        <w:t>占调整预算的97%，</w:t>
      </w:r>
      <w:r>
        <w:rPr>
          <w:rFonts w:hint="eastAsia" w:ascii="仿宋_GB2312" w:hAnsi="仿宋_GB2312" w:eastAsia="仿宋_GB2312" w:cs="仿宋_GB2312"/>
          <w:color w:val="000000" w:themeColor="text1"/>
          <w:spacing w:val="-4"/>
          <w:kern w:val="0"/>
          <w:sz w:val="32"/>
          <w:szCs w:val="32"/>
          <w14:textFill>
            <w14:solidFill>
              <w14:schemeClr w14:val="tx1"/>
            </w14:solidFill>
          </w14:textFill>
        </w:rPr>
        <w:t>其中</w:t>
      </w:r>
      <w:r>
        <w:rPr>
          <w:rFonts w:hint="eastAsia" w:ascii="仿宋_GB2312" w:hAnsi="仿宋_GB2312" w:eastAsia="仿宋_GB2312" w:cs="仿宋_GB2312"/>
          <w:color w:val="000000" w:themeColor="text1"/>
          <w:sz w:val="32"/>
          <w:szCs w:val="32"/>
          <w14:textFill>
            <w14:solidFill>
              <w14:schemeClr w14:val="tx1"/>
            </w14:solidFill>
          </w14:textFill>
        </w:rPr>
        <w:t>机关事业单位基本养老保险基金支出4.9亿元，城乡居民基本养老保险基金支出3.77亿元。</w:t>
      </w:r>
    </w:p>
    <w:p w14:paraId="41451834">
      <w:pPr>
        <w:keepNext w:val="0"/>
        <w:keepLines w:val="0"/>
        <w:pageBreakBefore w:val="0"/>
        <w:widowControl w:val="0"/>
        <w:kinsoku/>
        <w:wordWrap/>
        <w:overflowPunct/>
        <w:autoSpaceDE/>
        <w:autoSpaceDN/>
        <w:bidi w:val="0"/>
        <w:spacing w:line="620" w:lineRule="exact"/>
        <w:ind w:firstLine="640" w:firstLineChars="200"/>
        <w:rPr>
          <w:rFonts w:hint="eastAsia" w:ascii="楷体_GB2312" w:hAnsi="楷体_GB2312" w:eastAsia="楷体_GB2312"/>
          <w:bCs/>
          <w:color w:val="000000" w:themeColor="text1"/>
          <w:sz w:val="32"/>
          <w:szCs w:val="32"/>
          <w14:textFill>
            <w14:solidFill>
              <w14:schemeClr w14:val="tx1"/>
            </w14:solidFill>
          </w14:textFill>
        </w:rPr>
      </w:pPr>
      <w:r>
        <w:rPr>
          <w:rFonts w:hint="eastAsia" w:ascii="楷体_GB2312" w:hAnsi="楷体_GB2312" w:eastAsia="楷体_GB2312"/>
          <w:bCs/>
          <w:color w:val="000000" w:themeColor="text1"/>
          <w:sz w:val="32"/>
          <w:szCs w:val="32"/>
          <w14:textFill>
            <w14:solidFill>
              <w14:schemeClr w14:val="tx1"/>
            </w14:solidFill>
          </w14:textFill>
        </w:rPr>
        <w:t>——国有资本经营预算执行情况</w:t>
      </w:r>
    </w:p>
    <w:p w14:paraId="292B8E03">
      <w:pPr>
        <w:keepNext w:val="0"/>
        <w:keepLines w:val="0"/>
        <w:pageBreakBefore w:val="0"/>
        <w:widowControl w:val="0"/>
        <w:kinsoku/>
        <w:wordWrap/>
        <w:overflowPunct/>
        <w:autoSpaceDE/>
        <w:autoSpaceDN/>
        <w:bidi w:val="0"/>
        <w:spacing w:line="620" w:lineRule="exact"/>
        <w:ind w:firstLine="624" w:firstLineChars="200"/>
        <w:rPr>
          <w:rFonts w:hint="eastAsia" w:ascii="仿宋_GB2312" w:hAnsi="仿宋_GB2312" w:eastAsia="仿宋_GB2312" w:cs="仿宋_GB2312"/>
          <w:color w:val="000000" w:themeColor="text1"/>
          <w:spacing w:val="-4"/>
          <w:kern w:val="0"/>
          <w:sz w:val="32"/>
          <w:szCs w:val="32"/>
          <w14:textFill>
            <w14:solidFill>
              <w14:schemeClr w14:val="tx1"/>
            </w14:solidFill>
          </w14:textFill>
        </w:rPr>
      </w:pPr>
      <w:r>
        <w:rPr>
          <w:rFonts w:hint="eastAsia" w:ascii="仿宋_GB2312" w:hAnsi="仿宋_GB2312" w:eastAsia="仿宋_GB2312" w:cs="仿宋_GB2312"/>
          <w:color w:val="000000" w:themeColor="text1"/>
          <w:spacing w:val="-4"/>
          <w:kern w:val="0"/>
          <w:sz w:val="32"/>
          <w:szCs w:val="32"/>
          <w14:textFill>
            <w14:solidFill>
              <w14:schemeClr w14:val="tx1"/>
            </w14:solidFill>
          </w14:textFill>
        </w:rPr>
        <w:t>2024年，全区国有资本经营预算上级补助收入20万元。支出20万元，为解决历史遗留问题及改革成本支出。当年国有资本经营预算收支平衡。</w:t>
      </w:r>
    </w:p>
    <w:p w14:paraId="51612B2E">
      <w:pPr>
        <w:keepNext w:val="0"/>
        <w:keepLines w:val="0"/>
        <w:pageBreakBefore w:val="0"/>
        <w:widowControl w:val="0"/>
        <w:kinsoku/>
        <w:wordWrap/>
        <w:overflowPunct/>
        <w:autoSpaceDE/>
        <w:autoSpaceDN/>
        <w:bidi w:val="0"/>
        <w:spacing w:line="620" w:lineRule="exact"/>
        <w:ind w:firstLine="640" w:firstLineChars="200"/>
        <w:rPr>
          <w:rFonts w:ascii="楷体_GB2312" w:hAnsi="楷体_GB2312" w:eastAsia="楷体_GB2312"/>
          <w:bCs/>
          <w:color w:val="000000" w:themeColor="text1"/>
          <w:sz w:val="32"/>
          <w:szCs w:val="32"/>
          <w14:textFill>
            <w14:solidFill>
              <w14:schemeClr w14:val="tx1"/>
            </w14:solidFill>
          </w14:textFill>
        </w:rPr>
      </w:pPr>
      <w:r>
        <w:rPr>
          <w:rFonts w:hint="eastAsia" w:ascii="楷体_GB2312" w:hAnsi="楷体_GB2312" w:eastAsia="楷体_GB2312"/>
          <w:bCs/>
          <w:color w:val="000000" w:themeColor="text1"/>
          <w:sz w:val="32"/>
          <w:szCs w:val="32"/>
          <w14:textFill>
            <w14:solidFill>
              <w14:schemeClr w14:val="tx1"/>
            </w14:solidFill>
          </w14:textFill>
        </w:rPr>
        <w:t>——地方政府债券使用情况</w:t>
      </w:r>
    </w:p>
    <w:p w14:paraId="7E8B4ACA">
      <w:pPr>
        <w:keepNext w:val="0"/>
        <w:keepLines w:val="0"/>
        <w:pageBreakBefore w:val="0"/>
        <w:widowControl w:val="0"/>
        <w:kinsoku/>
        <w:wordWrap/>
        <w:overflowPunct/>
        <w:autoSpaceDE/>
        <w:autoSpaceDN/>
        <w:bidi w:val="0"/>
        <w:spacing w:line="620" w:lineRule="exact"/>
        <w:ind w:firstLine="640" w:firstLineChars="200"/>
        <w:rPr>
          <w:rFonts w:hint="eastAsia" w:ascii="仿宋_GB2312" w:hAnsi="仿宋_GB2312" w:eastAsia="仿宋_GB2312" w:cs="仿宋_GB2312"/>
          <w:bCs/>
          <w:color w:val="000000" w:themeColor="text1"/>
          <w:sz w:val="32"/>
          <w:szCs w:val="32"/>
          <w14:textFill>
            <w14:solidFill>
              <w14:schemeClr w14:val="tx1"/>
            </w14:solidFill>
          </w14:textFill>
        </w:rPr>
      </w:pPr>
      <w:r>
        <w:rPr>
          <w:rFonts w:hint="eastAsia" w:ascii="仿宋_GB2312" w:hAnsi="仿宋_GB2312" w:eastAsia="仿宋_GB2312" w:cs="仿宋_GB2312"/>
          <w:bCs/>
          <w:color w:val="000000" w:themeColor="text1"/>
          <w:sz w:val="32"/>
          <w:szCs w:val="32"/>
          <w14:textFill>
            <w14:solidFill>
              <w14:schemeClr w14:val="tx1"/>
            </w14:solidFill>
          </w14:textFill>
        </w:rPr>
        <w:t>2024年，全区争引新增政府债券6.8亿元，其中新增一般</w:t>
      </w:r>
      <w:r>
        <w:rPr>
          <w:rFonts w:hint="eastAsia" w:ascii="仿宋_GB2312" w:hAnsi="仿宋_GB2312" w:eastAsia="仿宋_GB2312" w:cs="仿宋_GB2312"/>
          <w:bCs/>
          <w:color w:val="000000" w:themeColor="text1"/>
          <w:sz w:val="32"/>
          <w:szCs w:val="32"/>
          <w:lang w:eastAsia="zh-CN"/>
          <w14:textFill>
            <w14:solidFill>
              <w14:schemeClr w14:val="tx1"/>
            </w14:solidFill>
          </w14:textFill>
        </w:rPr>
        <w:t>债券</w:t>
      </w:r>
      <w:r>
        <w:rPr>
          <w:rFonts w:hint="eastAsia" w:ascii="仿宋_GB2312" w:hAnsi="仿宋_GB2312" w:eastAsia="仿宋_GB2312" w:cs="仿宋_GB2312"/>
          <w:bCs/>
          <w:color w:val="000000" w:themeColor="text1"/>
          <w:sz w:val="32"/>
          <w:szCs w:val="32"/>
          <w14:textFill>
            <w14:solidFill>
              <w14:schemeClr w14:val="tx1"/>
            </w14:solidFill>
          </w14:textFill>
        </w:rPr>
        <w:t>1.36亿元，专项债券5.44亿元，主要用于</w:t>
      </w:r>
      <w:r>
        <w:rPr>
          <w:rFonts w:hint="eastAsia" w:ascii="仿宋_GB2312" w:hAnsi="仿宋_GB2312" w:eastAsia="仿宋_GB2312" w:cs="仿宋_GB2312"/>
          <w:color w:val="000000" w:themeColor="text1"/>
          <w:sz w:val="32"/>
          <w:szCs w:val="32"/>
          <w14:textFill>
            <w14:solidFill>
              <w14:schemeClr w14:val="tx1"/>
            </w14:solidFill>
          </w14:textFill>
        </w:rPr>
        <w:t>城建、卫生、教育等领域。</w:t>
      </w:r>
    </w:p>
    <w:p w14:paraId="5F3FC226">
      <w:pPr>
        <w:keepNext w:val="0"/>
        <w:keepLines w:val="0"/>
        <w:pageBreakBefore w:val="0"/>
        <w:widowControl w:val="0"/>
        <w:kinsoku/>
        <w:wordWrap/>
        <w:overflowPunct/>
        <w:autoSpaceDE/>
        <w:autoSpaceDN/>
        <w:bidi w:val="0"/>
        <w:spacing w:line="620" w:lineRule="exact"/>
        <w:ind w:firstLine="640" w:firstLineChars="200"/>
        <w:rPr>
          <w:rFonts w:hint="eastAsia" w:ascii="仿宋_GB2312" w:hAnsi="仿宋_GB2312" w:eastAsia="仿宋_GB2312"/>
          <w:color w:val="000000" w:themeColor="text1"/>
          <w:sz w:val="32"/>
          <w:szCs w:val="32"/>
          <w14:textFill>
            <w14:solidFill>
              <w14:schemeClr w14:val="tx1"/>
            </w14:solidFill>
          </w14:textFill>
        </w:rPr>
      </w:pPr>
      <w:r>
        <w:rPr>
          <w:rFonts w:hint="eastAsia" w:ascii="仿宋_GB2312" w:hAnsi="宋体" w:eastAsia="仿宋_GB2312" w:cs="宋体"/>
          <w:color w:val="000000" w:themeColor="text1"/>
          <w:sz w:val="32"/>
          <w:szCs w:val="32"/>
          <w14:textFill>
            <w14:solidFill>
              <w14:schemeClr w14:val="tx1"/>
            </w14:solidFill>
          </w14:textFill>
        </w:rPr>
        <w:t>需要说明的是：一是根据省财政厅统计口径，2024年藁城区全区一般公共预算收入完成54.43亿元（其中藁城区域完成19.67亿元，经开区域完成34.76亿元）；二是上述预算执行情况均为快报数，待上级批复决算事项后，再向区人大常委会报告</w:t>
      </w:r>
      <w:r>
        <w:rPr>
          <w:rFonts w:hint="eastAsia" w:ascii="仿宋_GB2312" w:hAnsi="仿宋_GB2312" w:eastAsia="仿宋_GB2312"/>
          <w:color w:val="000000" w:themeColor="text1"/>
          <w:sz w:val="32"/>
          <w:szCs w:val="32"/>
          <w14:textFill>
            <w14:solidFill>
              <w14:schemeClr w14:val="tx1"/>
            </w14:solidFill>
          </w14:textFill>
        </w:rPr>
        <w:t>。</w:t>
      </w:r>
    </w:p>
    <w:p w14:paraId="6D45E8FB">
      <w:pPr>
        <w:pStyle w:val="13"/>
        <w:keepNext w:val="0"/>
        <w:keepLines w:val="0"/>
        <w:pageBreakBefore w:val="0"/>
        <w:widowControl w:val="0"/>
        <w:kinsoku/>
        <w:wordWrap/>
        <w:overflowPunct/>
        <w:autoSpaceDE/>
        <w:autoSpaceDN/>
        <w:bidi w:val="0"/>
        <w:spacing w:line="620" w:lineRule="exact"/>
        <w:ind w:left="0" w:leftChars="0" w:firstLine="640"/>
        <w:rPr>
          <w:rFonts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14:textFill>
            <w14:solidFill>
              <w14:schemeClr w14:val="tx1"/>
            </w14:solidFill>
          </w14:textFill>
        </w:rPr>
        <w:t>2024年，我们认真执行区三届人民代表大会第四次会议有关决议和区人大常委会要求，落实积极的财政政策适度加力、提质增效要求，努力克服财政困难，优化财政支出结构，有力促进了全区经济社会高质量发展。</w:t>
      </w:r>
    </w:p>
    <w:p w14:paraId="6438E11D">
      <w:pPr>
        <w:keepNext w:val="0"/>
        <w:keepLines w:val="0"/>
        <w:pageBreakBefore w:val="0"/>
        <w:widowControl w:val="0"/>
        <w:kinsoku/>
        <w:wordWrap/>
        <w:overflowPunct/>
        <w:autoSpaceDE/>
        <w:autoSpaceDN/>
        <w:bidi w:val="0"/>
        <w:spacing w:line="620" w:lineRule="exact"/>
        <w:ind w:firstLine="640" w:firstLineChars="200"/>
        <w:rPr>
          <w:rFonts w:ascii="仿宋_GB2312" w:hAnsi="仿宋_GB2312" w:eastAsia="仿宋_GB2312" w:cs="仿宋_GB2312"/>
          <w:bCs/>
          <w:color w:val="000000" w:themeColor="text1"/>
          <w:sz w:val="32"/>
          <w:szCs w:val="32"/>
          <w14:textFill>
            <w14:solidFill>
              <w14:schemeClr w14:val="tx1"/>
            </w14:solidFill>
          </w14:textFill>
        </w:rPr>
      </w:pPr>
      <w:r>
        <w:rPr>
          <w:rFonts w:hint="eastAsia" w:ascii="楷体_GB2312" w:hAnsi="楷体_GB2312" w:eastAsia="楷体_GB2312" w:cs="楷体_GB2312"/>
          <w:color w:val="000000" w:themeColor="text1"/>
          <w:sz w:val="32"/>
          <w:szCs w:val="32"/>
          <w14:textFill>
            <w14:solidFill>
              <w14:schemeClr w14:val="tx1"/>
            </w14:solidFill>
          </w14:textFill>
        </w:rPr>
        <w:t>（一）提升政策效能，积蓄经济发展动能</w:t>
      </w:r>
      <w:r>
        <w:rPr>
          <w:rFonts w:hint="eastAsia" w:ascii="仿宋_GB2312" w:hAnsi="仿宋_GB2312" w:eastAsia="仿宋_GB2312" w:cs="仿宋_GB2312"/>
          <w:color w:val="000000" w:themeColor="text1"/>
          <w:sz w:val="32"/>
          <w:szCs w:val="32"/>
          <w14:textFill>
            <w14:solidFill>
              <w14:schemeClr w14:val="tx1"/>
            </w14:solidFill>
          </w14:textFill>
        </w:rPr>
        <w:t>。不折不扣落实税费优惠政策，多渠道开展政策宣传，有效激发市场主体活力。加大企业补贴资金争引力度，更好发挥财政政策和资金的引导作用，已为39家企业申报资金970万元。落实</w:t>
      </w:r>
      <w:r>
        <w:rPr>
          <w:rFonts w:hint="eastAsia" w:ascii="仿宋_GB2312" w:hAnsi="仿宋_GB2312" w:eastAsia="仿宋_GB2312" w:cs="仿宋_GB2312"/>
          <w:bCs/>
          <w:color w:val="000000" w:themeColor="text1"/>
          <w:sz w:val="32"/>
          <w:szCs w:val="32"/>
          <w14:textFill>
            <w14:solidFill>
              <w14:schemeClr w14:val="tx1"/>
            </w14:solidFill>
          </w14:textFill>
        </w:rPr>
        <w:t>耕地地力保护、高标准农田建设、政策性农业保险等奖补资金1.7亿元，确保粮食生产安全。</w:t>
      </w:r>
    </w:p>
    <w:p w14:paraId="43679C62">
      <w:pPr>
        <w:pStyle w:val="9"/>
        <w:keepNext w:val="0"/>
        <w:keepLines w:val="0"/>
        <w:pageBreakBefore w:val="0"/>
        <w:widowControl w:val="0"/>
        <w:kinsoku/>
        <w:wordWrap/>
        <w:overflowPunct/>
        <w:autoSpaceDE/>
        <w:autoSpaceDN/>
        <w:bidi w:val="0"/>
        <w:spacing w:after="0" w:afterLines="0" w:line="620" w:lineRule="exact"/>
        <w:ind w:left="0" w:leftChars="0" w:firstLine="640"/>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楷体_GB2312" w:hAnsi="楷体_GB2312" w:eastAsia="楷体_GB2312" w:cs="楷体_GB2312"/>
          <w:color w:val="000000" w:themeColor="text1"/>
          <w:sz w:val="32"/>
          <w:szCs w:val="32"/>
          <w:shd w:val="clear" w:color="auto" w:fill="FFFFFF"/>
          <w14:textFill>
            <w14:solidFill>
              <w14:schemeClr w14:val="tx1"/>
            </w14:solidFill>
          </w14:textFill>
        </w:rPr>
        <w:t>（二）统筹财政资源，增强财政保障能力。</w:t>
      </w:r>
      <w:r>
        <w:rPr>
          <w:rFonts w:hint="eastAsia" w:ascii="仿宋_GB2312" w:hAnsi="仿宋_GB2312" w:eastAsia="仿宋_GB2312" w:cs="仿宋_GB2312"/>
          <w:bCs/>
          <w:color w:val="000000" w:themeColor="text1"/>
          <w:sz w:val="32"/>
          <w:szCs w:val="32"/>
          <w14:textFill>
            <w14:solidFill>
              <w14:schemeClr w14:val="tx1"/>
            </w14:solidFill>
          </w14:textFill>
        </w:rPr>
        <w:t>抢抓超长期特别国债、新增地方专项债券等重大机遇，努力在重要政策、重大项目、资金分配上争取更大支持。全年共争取上级转移支付资金19.77亿元，一般债券和专项债券资金6.8亿元，</w:t>
      </w:r>
      <w:r>
        <w:rPr>
          <w:rFonts w:hint="eastAsia" w:ascii="仿宋_GB2312" w:hAnsi="仿宋_GB2312" w:eastAsia="仿宋_GB2312" w:cs="仿宋_GB2312"/>
          <w:color w:val="000000" w:themeColor="text1"/>
          <w:sz w:val="32"/>
          <w:szCs w:val="32"/>
          <w14:textFill>
            <w14:solidFill>
              <w14:schemeClr w14:val="tx1"/>
            </w14:solidFill>
          </w14:textFill>
        </w:rPr>
        <w:t>增发国债申请项目3个，申请金额1.46亿元，超长期国债申请项目1个，申请金额2420万元，有力支持了全区各项社会事业发展。积极探索资产盘活途径，提升资产变现能力和盈利能力，对供水经营权、公租房、广告位经营权等资产进行转让，实现财政收入4.5亿元。</w:t>
      </w:r>
      <w:r>
        <w:rPr>
          <w:rFonts w:hint="eastAsia" w:ascii="仿宋_GB2312" w:hAnsi="仿宋_GB2312" w:eastAsia="仿宋_GB2312" w:cs="仿宋_GB2312"/>
          <w:color w:val="000000" w:themeColor="text1"/>
          <w:sz w:val="32"/>
          <w14:textFill>
            <w14:solidFill>
              <w14:schemeClr w14:val="tx1"/>
            </w14:solidFill>
          </w14:textFill>
        </w:rPr>
        <w:t>坚持把推进项目建设作为推动高质量发展的重要发力点，认真推进现代食品产业园、教育产业园、石井及南马村城中村改造、人民医院、华睿府等重点项目。</w:t>
      </w:r>
      <w:r>
        <w:rPr>
          <w:rFonts w:hint="eastAsia" w:ascii="仿宋_GB2312" w:hAnsi="仿宋_GB2312" w:eastAsia="仿宋_GB2312" w:cs="仿宋_GB2312"/>
          <w:color w:val="000000" w:themeColor="text1"/>
          <w:sz w:val="32"/>
          <w:szCs w:val="32"/>
          <w14:textFill>
            <w14:solidFill>
              <w14:schemeClr w14:val="tx1"/>
            </w14:solidFill>
          </w14:textFill>
        </w:rPr>
        <w:t>组织建投公司与央企国企、金融机构、社会资本等单位密切对接，探索融资合作新途径，全年融资到位资金15.69亿元。</w:t>
      </w:r>
    </w:p>
    <w:p w14:paraId="0B9BD832">
      <w:pPr>
        <w:keepNext w:val="0"/>
        <w:keepLines w:val="0"/>
        <w:pageBreakBefore w:val="0"/>
        <w:widowControl w:val="0"/>
        <w:kinsoku/>
        <w:wordWrap/>
        <w:overflowPunct/>
        <w:autoSpaceDE/>
        <w:autoSpaceDN/>
        <w:bidi w:val="0"/>
        <w:spacing w:line="620" w:lineRule="exact"/>
        <w:ind w:firstLine="640" w:firstLineChars="200"/>
        <w:rPr>
          <w:rFonts w:ascii="仿宋_GB2312" w:hAnsi="仿宋_GB2312" w:eastAsia="仿宋_GB2312" w:cs="仿宋_GB2312"/>
          <w:color w:val="000000" w:themeColor="text1"/>
          <w:sz w:val="32"/>
          <w:szCs w:val="32"/>
          <w14:textFill>
            <w14:solidFill>
              <w14:schemeClr w14:val="tx1"/>
            </w14:solidFill>
          </w14:textFill>
        </w:rPr>
      </w:pPr>
      <w:r>
        <w:rPr>
          <w:rFonts w:hint="eastAsia" w:ascii="楷体_GB2312" w:hAnsi="楷体_GB2312" w:eastAsia="楷体_GB2312" w:cs="楷体_GB2312"/>
          <w:color w:val="000000" w:themeColor="text1"/>
          <w:sz w:val="32"/>
          <w:szCs w:val="32"/>
          <w14:textFill>
            <w14:solidFill>
              <w14:schemeClr w14:val="tx1"/>
            </w14:solidFill>
          </w14:textFill>
        </w:rPr>
        <w:t>（三）坚持以人为本，持续增进民生福祉。</w:t>
      </w:r>
      <w:r>
        <w:rPr>
          <w:rFonts w:hint="eastAsia" w:ascii="仿宋_GB2312" w:hAnsi="仿宋_GB2312" w:eastAsia="仿宋_GB2312" w:cs="仿宋_GB2312"/>
          <w:bCs/>
          <w:color w:val="000000" w:themeColor="text1"/>
          <w:sz w:val="32"/>
          <w:szCs w:val="32"/>
          <w14:textFill>
            <w14:solidFill>
              <w14:schemeClr w14:val="tx1"/>
            </w14:solidFill>
          </w14:textFill>
        </w:rPr>
        <w:t>坚持“三保”优先原则，全年“三保”支出23.8亿元。坚持尽力而为、量力而行，兜准兜牢民生底线，全区民生领域支出38.86亿元，占一般公共预算支出的87.1%，其中教育支出15.2亿元、社保和就业支出8.77亿元、卫生健康支出3.12亿元。</w:t>
      </w:r>
      <w:r>
        <w:rPr>
          <w:rFonts w:hint="eastAsia" w:ascii="仿宋_GB2312" w:hAnsi="仿宋_GB2312" w:eastAsia="仿宋_GB2312" w:cs="仿宋_GB2312"/>
          <w:color w:val="000000" w:themeColor="text1"/>
          <w:sz w:val="32"/>
          <w:szCs w:val="32"/>
          <w14:textFill>
            <w14:solidFill>
              <w14:schemeClr w14:val="tx1"/>
            </w14:solidFill>
          </w14:textFill>
        </w:rPr>
        <w:t>积极贯彻落实省大气污染防治部署，全年落实资金9203万元，用于支持大气环保治理、监测能力建设等工作，巩固空气质量“退后十”成果。加强农村公益事业建设财政奖补项目管理，</w:t>
      </w:r>
      <w:r>
        <w:rPr>
          <w:rFonts w:hint="eastAsia" w:ascii="仿宋_GB2312" w:hAnsi="宋体" w:eastAsia="仿宋_GB2312"/>
          <w:color w:val="000000" w:themeColor="text1"/>
          <w:sz w:val="32"/>
          <w:szCs w:val="32"/>
          <w14:textFill>
            <w14:solidFill>
              <w14:schemeClr w14:val="tx1"/>
            </w14:solidFill>
          </w14:textFill>
        </w:rPr>
        <w:t>全区共申报农村公益事业建设项目村62个，红色美丽乡村再提升项目1个，争取财政奖补资金1665万元。</w:t>
      </w:r>
    </w:p>
    <w:p w14:paraId="0BA00C87">
      <w:pPr>
        <w:keepNext w:val="0"/>
        <w:keepLines w:val="0"/>
        <w:pageBreakBefore w:val="0"/>
        <w:widowControl w:val="0"/>
        <w:kinsoku/>
        <w:wordWrap/>
        <w:overflowPunct/>
        <w:autoSpaceDE/>
        <w:autoSpaceDN/>
        <w:bidi w:val="0"/>
        <w:spacing w:line="620" w:lineRule="exact"/>
        <w:ind w:firstLine="640" w:firstLineChars="200"/>
        <w:rPr>
          <w:rFonts w:ascii="仿宋_GB2312" w:hAnsi="仿宋_GB2312" w:eastAsia="仿宋_GB2312" w:cs="仿宋_GB2312"/>
          <w:color w:val="000000" w:themeColor="text1"/>
          <w:sz w:val="32"/>
          <w:szCs w:val="32"/>
          <w14:textFill>
            <w14:solidFill>
              <w14:schemeClr w14:val="tx1"/>
            </w14:solidFill>
          </w14:textFill>
        </w:rPr>
      </w:pPr>
      <w:r>
        <w:rPr>
          <w:rFonts w:hint="eastAsia" w:ascii="楷体_GB2312" w:hAnsi="楷体_GB2312" w:eastAsia="楷体_GB2312" w:cs="楷体_GB2312"/>
          <w:color w:val="000000" w:themeColor="text1"/>
          <w:sz w:val="32"/>
          <w:szCs w:val="32"/>
          <w14:textFill>
            <w14:solidFill>
              <w14:schemeClr w14:val="tx1"/>
            </w14:solidFill>
          </w14:textFill>
        </w:rPr>
        <w:t>（四）推进制度创新，不断优化管理效能。</w:t>
      </w:r>
      <w:r>
        <w:rPr>
          <w:rFonts w:hint="eastAsia" w:ascii="仿宋_GB2312" w:hAnsi="仿宋_GB2312" w:eastAsia="仿宋_GB2312" w:cs="仿宋_GB2312"/>
          <w:color w:val="000000" w:themeColor="text1"/>
          <w:sz w:val="32"/>
          <w:szCs w:val="32"/>
          <w14:textFill>
            <w14:solidFill>
              <w14:schemeClr w14:val="tx1"/>
            </w14:solidFill>
          </w14:textFill>
        </w:rPr>
        <w:t>持续推进预算支出标准体系建设，制定了16类72个部门项目绩效指标的分行业分领域标准体系，为优化财政资源配置、提高财政资金使用效益提供支撑。持续深化政府采购制度改革，深入推进“双盲”评审，优化政府采购流程，营造公开透明、阳光高效的政府采购营商环境，全区累计政府采购合同备案金额2.66亿元，其中面向中小企业采购金额2.28亿元，占合同总金额的85.7%。评审工作始终严把评审质量关和资金节约关，加强对中介服务机构的监督管理，不断提升项目评审工作效能，全年完成评审项目227个，报审金额16.33亿元，审定金额14.88亿元，审减率8.9%。强化预算绩效管理，开展3个项目重点绩效评价和2936个专项项目绩效自评工作，建立绩效评价结果与预算安排挂钩机制，进一步拓展绩效评价的深度和广度，不断提高绩效评价质量，促进财政资金精准投入。完善行政事业单位和企业国有资产管理制度，扎实做好国有资产综合报告工作。</w:t>
      </w:r>
    </w:p>
    <w:p w14:paraId="3720A497">
      <w:pPr>
        <w:keepNext w:val="0"/>
        <w:keepLines w:val="0"/>
        <w:pageBreakBefore w:val="0"/>
        <w:widowControl w:val="0"/>
        <w:kinsoku/>
        <w:wordWrap/>
        <w:overflowPunct/>
        <w:autoSpaceDE/>
        <w:autoSpaceDN/>
        <w:bidi w:val="0"/>
        <w:spacing w:line="620" w:lineRule="exact"/>
        <w:ind w:firstLine="640" w:firstLineChars="200"/>
        <w:rPr>
          <w:rFonts w:ascii="仿宋_GB2312" w:hAnsi="仿宋_GB2312" w:eastAsia="仿宋_GB2312" w:cs="仿宋_GB2312"/>
          <w:color w:val="000000" w:themeColor="text1"/>
          <w:sz w:val="32"/>
          <w:szCs w:val="32"/>
          <w:shd w:val="clear" w:color="auto" w:fill="FFFFFF"/>
          <w14:textFill>
            <w14:solidFill>
              <w14:schemeClr w14:val="tx1"/>
            </w14:solidFill>
          </w14:textFill>
        </w:rPr>
      </w:pPr>
      <w:r>
        <w:rPr>
          <w:rFonts w:hint="eastAsia" w:ascii="楷体_GB2312" w:hAnsi="楷体_GB2312" w:eastAsia="楷体_GB2312" w:cs="楷体_GB2312"/>
          <w:color w:val="000000" w:themeColor="text1"/>
          <w:sz w:val="32"/>
          <w:szCs w:val="32"/>
          <w14:textFill>
            <w14:solidFill>
              <w14:schemeClr w14:val="tx1"/>
            </w14:solidFill>
          </w14:textFill>
        </w:rPr>
        <w:t>（五）守牢安全底线，有效防控财政风险。</w:t>
      </w:r>
      <w:r>
        <w:rPr>
          <w:rFonts w:hint="eastAsia" w:ascii="仿宋_GB2312" w:hAnsi="仿宋_GB2312" w:eastAsia="仿宋_GB2312" w:cs="仿宋_GB2312"/>
          <w:bCs/>
          <w:color w:val="000000" w:themeColor="text1"/>
          <w:sz w:val="32"/>
          <w:szCs w:val="32"/>
          <w14:textFill>
            <w14:solidFill>
              <w14:schemeClr w14:val="tx1"/>
            </w14:solidFill>
          </w14:textFill>
        </w:rPr>
        <w:t>加强政府债务管理，建立和完善地方政府性债务风险评估和预警机制，确保政府债务风险总体可控，强化还本付息预算约束，认真落实政府债务风险化解规划和隐性债务风险化解方案。加强暂付款管理工作，根据财政承受能力，最大限度化解暂付款，缩减暂付款规模，并严格控制增量。兜牢“三保”底线，压实“三保”主体责任，加强</w:t>
      </w:r>
      <w:r>
        <w:rPr>
          <w:rFonts w:hint="eastAsia" w:ascii="仿宋_GB2312" w:hAnsi="仿宋_GB2312" w:eastAsia="仿宋_GB2312" w:cs="仿宋_GB2312"/>
          <w:color w:val="000000" w:themeColor="text1"/>
          <w:kern w:val="0"/>
          <w:sz w:val="32"/>
          <w:szCs w:val="32"/>
          <w14:textFill>
            <w14:solidFill>
              <w14:schemeClr w14:val="tx1"/>
            </w14:solidFill>
          </w14:textFill>
        </w:rPr>
        <w:t>“三保”预算执行监管，确保“三保”资金按时足额保障到位。</w:t>
      </w:r>
      <w:r>
        <w:rPr>
          <w:rFonts w:hint="eastAsia" w:ascii="仿宋_GB2312" w:hAnsi="仿宋_GB2312" w:eastAsia="仿宋_GB2312" w:cs="仿宋_GB2312"/>
          <w:bCs/>
          <w:color w:val="000000" w:themeColor="text1"/>
          <w:sz w:val="32"/>
          <w:szCs w:val="32"/>
          <w14:textFill>
            <w14:solidFill>
              <w14:schemeClr w14:val="tx1"/>
            </w14:solidFill>
          </w14:textFill>
        </w:rPr>
        <w:t>加强财会监督，扎实开展财会监督检查专项行动，强化会计信息质量、惠民惠农“一卡通”等领域专项检查，完善部门内控内审制度，坚持当下改和长久立相结合，严肃财经纪律，为财政事业安全健康发展保驾护航。</w:t>
      </w:r>
    </w:p>
    <w:p w14:paraId="2F0B5FF7">
      <w:pPr>
        <w:keepNext w:val="0"/>
        <w:keepLines w:val="0"/>
        <w:pageBreakBefore w:val="0"/>
        <w:widowControl w:val="0"/>
        <w:kinsoku/>
        <w:wordWrap/>
        <w:overflowPunct/>
        <w:autoSpaceDE/>
        <w:autoSpaceDN/>
        <w:bidi w:val="0"/>
        <w:spacing w:line="620" w:lineRule="exact"/>
        <w:ind w:firstLine="640" w:firstLineChars="200"/>
        <w:rPr>
          <w:rFonts w:ascii="仿宋_GB2312" w:eastAsia="仿宋_GB2312"/>
          <w:b/>
          <w:bCs/>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各位代表，过去一年，面对复杂多变的财政经济形势，取得以上成绩，来之不易，</w:t>
      </w:r>
      <w:r>
        <w:rPr>
          <w:rFonts w:ascii="仿宋_GB2312" w:eastAsia="仿宋_GB2312"/>
          <w:color w:val="000000" w:themeColor="text1"/>
          <w:sz w:val="32"/>
          <w:szCs w:val="32"/>
          <w14:textFill>
            <w14:solidFill>
              <w14:schemeClr w14:val="tx1"/>
            </w14:solidFill>
          </w14:textFill>
        </w:rPr>
        <w:t>在</w:t>
      </w:r>
      <w:r>
        <w:rPr>
          <w:rFonts w:hint="eastAsia" w:ascii="仿宋_GB2312" w:eastAsia="仿宋_GB2312"/>
          <w:color w:val="000000" w:themeColor="text1"/>
          <w:sz w:val="32"/>
          <w:szCs w:val="32"/>
          <w14:textFill>
            <w14:solidFill>
              <w14:schemeClr w14:val="tx1"/>
            </w14:solidFill>
          </w14:textFill>
        </w:rPr>
        <w:t>总结成绩</w:t>
      </w:r>
      <w:r>
        <w:rPr>
          <w:rFonts w:ascii="仿宋_GB2312" w:eastAsia="仿宋_GB2312"/>
          <w:color w:val="000000" w:themeColor="text1"/>
          <w:sz w:val="32"/>
          <w:szCs w:val="32"/>
          <w14:textFill>
            <w14:solidFill>
              <w14:schemeClr w14:val="tx1"/>
            </w14:solidFill>
          </w14:textFill>
        </w:rPr>
        <w:t>的同时，我们也清醒</w:t>
      </w:r>
      <w:r>
        <w:rPr>
          <w:rFonts w:hint="eastAsia" w:ascii="仿宋_GB2312" w:eastAsia="仿宋_GB2312"/>
          <w:color w:val="000000" w:themeColor="text1"/>
          <w:sz w:val="32"/>
          <w:szCs w:val="32"/>
          <w14:textFill>
            <w14:solidFill>
              <w14:schemeClr w14:val="tx1"/>
            </w14:solidFill>
          </w14:textFill>
        </w:rPr>
        <w:t>地看</w:t>
      </w:r>
      <w:r>
        <w:rPr>
          <w:rFonts w:ascii="仿宋_GB2312" w:eastAsia="仿宋_GB2312"/>
          <w:color w:val="000000" w:themeColor="text1"/>
          <w:sz w:val="32"/>
          <w:szCs w:val="32"/>
          <w14:textFill>
            <w14:solidFill>
              <w14:schemeClr w14:val="tx1"/>
            </w14:solidFill>
          </w14:textFill>
        </w:rPr>
        <w:t>到，</w:t>
      </w:r>
      <w:r>
        <w:rPr>
          <w:rFonts w:hint="eastAsia" w:ascii="仿宋_GB2312" w:hAnsi="仿宋_GB2312" w:eastAsia="仿宋_GB2312" w:cs="仿宋_GB2312"/>
          <w:color w:val="000000" w:themeColor="text1"/>
          <w:sz w:val="32"/>
          <w:szCs w:val="32"/>
          <w:shd w:val="clear" w:color="auto" w:fill="FFFFFF"/>
          <w14:textFill>
            <w14:solidFill>
              <w14:schemeClr w14:val="tx1"/>
            </w14:solidFill>
          </w14:textFill>
        </w:rPr>
        <w:t>全区财政工作还面临着很多困难和挑战，主要是</w:t>
      </w:r>
      <w:r>
        <w:rPr>
          <w:rFonts w:hint="eastAsia" w:ascii="仿宋_GB2312" w:eastAsia="仿宋_GB2312"/>
          <w:color w:val="000000" w:themeColor="text1"/>
          <w:sz w:val="32"/>
          <w:szCs w:val="32"/>
          <w14:textFill>
            <w14:solidFill>
              <w14:schemeClr w14:val="tx1"/>
            </w14:solidFill>
          </w14:textFill>
        </w:rPr>
        <w:t>财源增收基础不够广阔，组织收入难度进一步加大，</w:t>
      </w:r>
      <w:r>
        <w:rPr>
          <w:rFonts w:hint="eastAsia" w:ascii="仿宋_GB2312" w:hAnsi="仿宋" w:eastAsia="仿宋_GB2312"/>
          <w:color w:val="000000" w:themeColor="text1"/>
          <w:sz w:val="32"/>
          <w:szCs w:val="32"/>
          <w14:textFill>
            <w14:solidFill>
              <w14:schemeClr w14:val="tx1"/>
            </w14:solidFill>
          </w14:textFill>
        </w:rPr>
        <w:t>可用财力持续趋紧；刚性支出不断增加，财政收支矛盾异常突出；</w:t>
      </w:r>
      <w:r>
        <w:rPr>
          <w:rFonts w:hint="eastAsia" w:ascii="仿宋_GB2312" w:hAnsi="宋体" w:eastAsia="仿宋_GB2312" w:cs="仿宋_GB2312"/>
          <w:color w:val="000000" w:themeColor="text1"/>
          <w:sz w:val="32"/>
          <w:szCs w:val="32"/>
          <w14:textFill>
            <w14:solidFill>
              <w14:schemeClr w14:val="tx1"/>
            </w14:solidFill>
          </w14:textFill>
        </w:rPr>
        <w:t>土地出让进度缓慢，当年</w:t>
      </w:r>
      <w:r>
        <w:rPr>
          <w:rFonts w:ascii="仿宋_GB2312" w:hAnsi="宋体" w:eastAsia="仿宋_GB2312" w:cs="仿宋_GB2312"/>
          <w:color w:val="000000" w:themeColor="text1"/>
          <w:sz w:val="32"/>
          <w:szCs w:val="32"/>
          <w14:textFill>
            <w14:solidFill>
              <w14:schemeClr w14:val="tx1"/>
            </w14:solidFill>
          </w14:textFill>
        </w:rPr>
        <w:t>土地出让收入</w:t>
      </w:r>
      <w:r>
        <w:rPr>
          <w:rFonts w:hint="eastAsia" w:ascii="仿宋_GB2312" w:hAnsi="宋体" w:eastAsia="仿宋_GB2312" w:cs="仿宋_GB2312"/>
          <w:color w:val="000000" w:themeColor="text1"/>
          <w:sz w:val="32"/>
          <w:szCs w:val="32"/>
          <w14:textFill>
            <w14:solidFill>
              <w14:schemeClr w14:val="tx1"/>
            </w14:solidFill>
          </w14:textFill>
        </w:rPr>
        <w:t>未达预期；绩效管理刚性约束不够，资金使用效益有待进一步提升。对于这些问题，我们将高度重视，坚持问题导向，强化工作措施，认真加以解决，</w:t>
      </w:r>
      <w:r>
        <w:rPr>
          <w:rFonts w:hint="eastAsia" w:ascii="仿宋_GB2312" w:hAnsi="仿宋_GB2312" w:eastAsia="仿宋_GB2312" w:cs="仿宋_GB2312"/>
          <w:color w:val="000000" w:themeColor="text1"/>
          <w:sz w:val="32"/>
          <w:szCs w:val="32"/>
          <w14:textFill>
            <w14:solidFill>
              <w14:schemeClr w14:val="tx1"/>
            </w14:solidFill>
          </w14:textFill>
        </w:rPr>
        <w:t>努力提升财政工作水平。</w:t>
      </w:r>
    </w:p>
    <w:p w14:paraId="41291397">
      <w:pPr>
        <w:pStyle w:val="13"/>
        <w:keepNext w:val="0"/>
        <w:keepLines w:val="0"/>
        <w:pageBreakBefore w:val="0"/>
        <w:widowControl w:val="0"/>
        <w:kinsoku/>
        <w:wordWrap/>
        <w:overflowPunct/>
        <w:autoSpaceDE/>
        <w:autoSpaceDN/>
        <w:bidi w:val="0"/>
        <w:spacing w:line="620" w:lineRule="exact"/>
        <w:ind w:left="0" w:leftChars="0" w:firstLine="640"/>
        <w:rPr>
          <w:rFonts w:ascii="黑体" w:hAnsi="黑体" w:eastAsia="黑体"/>
          <w:color w:val="000000" w:themeColor="text1"/>
          <w:sz w:val="32"/>
          <w:szCs w:val="32"/>
          <w14:textFill>
            <w14:solidFill>
              <w14:schemeClr w14:val="tx1"/>
            </w14:solidFill>
          </w14:textFill>
        </w:rPr>
      </w:pPr>
      <w:r>
        <w:rPr>
          <w:rFonts w:hint="eastAsia" w:ascii="黑体" w:hAnsi="黑体" w:eastAsia="黑体"/>
          <w:color w:val="000000" w:themeColor="text1"/>
          <w:sz w:val="32"/>
          <w:szCs w:val="32"/>
          <w14:textFill>
            <w14:solidFill>
              <w14:schemeClr w14:val="tx1"/>
            </w14:solidFill>
          </w14:textFill>
        </w:rPr>
        <w:t>二、2025年预算草案</w:t>
      </w:r>
    </w:p>
    <w:p w14:paraId="4836B2E5">
      <w:pPr>
        <w:pStyle w:val="15"/>
        <w:keepNext w:val="0"/>
        <w:keepLines w:val="0"/>
        <w:pageBreakBefore w:val="0"/>
        <w:widowControl w:val="0"/>
        <w:kinsoku/>
        <w:wordWrap/>
        <w:overflowPunct/>
        <w:autoSpaceDE/>
        <w:autoSpaceDN/>
        <w:bidi w:val="0"/>
        <w:spacing w:line="620" w:lineRule="exact"/>
        <w:ind w:firstLine="640" w:firstLineChars="200"/>
        <w:rPr>
          <w:rFonts w:ascii="楷体_GB2312" w:hAnsi="楷体_GB2312" w:eastAsia="楷体_GB2312" w:cs="楷体_GB2312"/>
          <w:color w:val="000000" w:themeColor="text1"/>
          <w:kern w:val="0"/>
          <w:sz w:val="32"/>
          <w:szCs w:val="32"/>
          <w14:textFill>
            <w14:solidFill>
              <w14:schemeClr w14:val="tx1"/>
            </w14:solidFill>
          </w14:textFill>
        </w:rPr>
      </w:pPr>
      <w:r>
        <w:rPr>
          <w:rFonts w:hint="eastAsia" w:ascii="仿宋_GB2312" w:hAnsi="仿宋_GB2312" w:eastAsia="仿宋_GB2312" w:cs="仿宋_GB2312"/>
          <w:color w:val="000000" w:themeColor="text1"/>
          <w:sz w:val="32"/>
          <w:szCs w:val="32"/>
          <w14:textFill>
            <w14:solidFill>
              <w14:schemeClr w14:val="tx1"/>
            </w14:solidFill>
          </w14:textFill>
        </w:rPr>
        <w:t>2025年是贯彻落实党的二十届三中全会精神的开局之年，是深入实施“十四五”规划的收官之年，做好预算编制工作意义重大，要准确把握财政工作的新形势新任务新要求。2025年预算编制和财政工作的指导思想是：</w:t>
      </w:r>
      <w:r>
        <w:rPr>
          <w:rFonts w:hint="eastAsia" w:ascii="楷体_GB2312" w:hAnsi="楷体_GB2312" w:eastAsia="楷体_GB2312" w:cs="楷体_GB2312"/>
          <w:color w:val="000000" w:themeColor="text1"/>
          <w:kern w:val="0"/>
          <w:sz w:val="32"/>
          <w:szCs w:val="32"/>
          <w14:textFill>
            <w14:solidFill>
              <w14:schemeClr w14:val="tx1"/>
            </w14:solidFill>
          </w14:textFill>
        </w:rPr>
        <w:t>坚持以习近平新时代中国特色社会主义思想为指导，深入贯彻党的二十大和二十届二中、三中全会精神，认真落实省委十届六次、七次全会、市委十一届七次、八次全会和区委三届六次、七次全会部署要求，坚持稳中求进工作总基调，完整、准确、全面贯彻新发展理念，加快构建新发展格局，着力推动高质量发展，加强财政收支统筹，兜住兜牢“三保”底线，更好发挥财政职能作用，深入推动财税体制改革，提高财政资金绩效，加强政府债务管理，为开创藁城高质量发展新局面提供有力财政支撑。</w:t>
      </w:r>
    </w:p>
    <w:p w14:paraId="30A23FE8">
      <w:pPr>
        <w:pStyle w:val="13"/>
        <w:keepNext w:val="0"/>
        <w:keepLines w:val="0"/>
        <w:pageBreakBefore w:val="0"/>
        <w:widowControl w:val="0"/>
        <w:kinsoku/>
        <w:wordWrap/>
        <w:overflowPunct/>
        <w:autoSpaceDE/>
        <w:autoSpaceDN/>
        <w:bidi w:val="0"/>
        <w:spacing w:line="620" w:lineRule="exact"/>
        <w:ind w:left="0" w:leftChars="0" w:firstLine="640"/>
        <w:rPr>
          <w:rFonts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14:textFill>
            <w14:solidFill>
              <w14:schemeClr w14:val="tx1"/>
            </w14:solidFill>
          </w14:textFill>
        </w:rPr>
        <w:t>基于以上指导思想，2025年，预算草案总体安排情况如下：</w:t>
      </w:r>
    </w:p>
    <w:p w14:paraId="30E05C43">
      <w:pPr>
        <w:keepNext w:val="0"/>
        <w:keepLines w:val="0"/>
        <w:pageBreakBefore w:val="0"/>
        <w:widowControl w:val="0"/>
        <w:kinsoku/>
        <w:wordWrap/>
        <w:overflowPunct/>
        <w:autoSpaceDE/>
        <w:autoSpaceDN/>
        <w:bidi w:val="0"/>
        <w:spacing w:line="620" w:lineRule="exact"/>
        <w:ind w:firstLine="640" w:firstLineChars="200"/>
        <w:rPr>
          <w:rFonts w:hint="eastAsia" w:ascii="楷体_GB2312" w:hAnsi="楷体_GB2312" w:eastAsia="楷体_GB2312"/>
          <w:bCs/>
          <w:color w:val="000000" w:themeColor="text1"/>
          <w:sz w:val="32"/>
          <w:szCs w:val="32"/>
          <w14:textFill>
            <w14:solidFill>
              <w14:schemeClr w14:val="tx1"/>
            </w14:solidFill>
          </w14:textFill>
        </w:rPr>
      </w:pPr>
      <w:r>
        <w:rPr>
          <w:rFonts w:hint="eastAsia" w:ascii="楷体_GB2312" w:hAnsi="楷体_GB2312" w:eastAsia="楷体_GB2312"/>
          <w:bCs/>
          <w:color w:val="000000" w:themeColor="text1"/>
          <w:sz w:val="32"/>
          <w:szCs w:val="32"/>
          <w14:textFill>
            <w14:solidFill>
              <w14:schemeClr w14:val="tx1"/>
            </w14:solidFill>
          </w14:textFill>
        </w:rPr>
        <w:t>（一）一般公共预算安排情况</w:t>
      </w:r>
    </w:p>
    <w:p w14:paraId="26199BC1">
      <w:pPr>
        <w:keepNext w:val="0"/>
        <w:keepLines w:val="0"/>
        <w:pageBreakBefore w:val="0"/>
        <w:widowControl w:val="0"/>
        <w:kinsoku/>
        <w:wordWrap/>
        <w:overflowPunct/>
        <w:autoSpaceDE/>
        <w:autoSpaceDN/>
        <w:bidi w:val="0"/>
        <w:spacing w:line="620" w:lineRule="exact"/>
        <w:ind w:firstLine="624" w:firstLineChars="200"/>
        <w:rPr>
          <w:rFonts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pacing w:val="-4"/>
          <w:kern w:val="0"/>
          <w:sz w:val="32"/>
          <w:szCs w:val="32"/>
          <w14:textFill>
            <w14:solidFill>
              <w14:schemeClr w14:val="tx1"/>
            </w14:solidFill>
          </w14:textFill>
        </w:rPr>
        <w:t>1.收入预算。</w:t>
      </w:r>
      <w:r>
        <w:rPr>
          <w:rFonts w:hint="eastAsia" w:ascii="仿宋_GB2312" w:hAnsi="仿宋_GB2312" w:eastAsia="仿宋_GB2312" w:cs="仿宋_GB2312"/>
          <w:color w:val="000000" w:themeColor="text1"/>
          <w:spacing w:val="-4"/>
          <w:sz w:val="32"/>
          <w:szCs w:val="32"/>
          <w14:textFill>
            <w14:solidFill>
              <w14:schemeClr w14:val="tx1"/>
            </w14:solidFill>
          </w14:textFill>
        </w:rPr>
        <w:t>2025年，综合研判我区实际情况，一般公共预算收入计划安排20.41亿元，可比增长5%。</w:t>
      </w:r>
    </w:p>
    <w:p w14:paraId="032BEBE6">
      <w:pPr>
        <w:keepNext w:val="0"/>
        <w:keepLines w:val="0"/>
        <w:pageBreakBefore w:val="0"/>
        <w:widowControl w:val="0"/>
        <w:tabs>
          <w:tab w:val="left" w:pos="1050"/>
        </w:tabs>
        <w:kinsoku/>
        <w:wordWrap/>
        <w:overflowPunct/>
        <w:autoSpaceDE/>
        <w:autoSpaceDN/>
        <w:bidi w:val="0"/>
        <w:adjustRightInd w:val="0"/>
        <w:snapToGrid w:val="0"/>
        <w:spacing w:line="620" w:lineRule="exact"/>
        <w:ind w:firstLine="624" w:firstLineChars="200"/>
        <w:rPr>
          <w:rFonts w:ascii="仿宋_GB2312" w:hAnsi="仿宋_GB2312" w:eastAsia="仿宋_GB2312" w:cs="仿宋_GB2312"/>
          <w:color w:val="000000" w:themeColor="text1"/>
          <w:spacing w:val="-4"/>
          <w:sz w:val="32"/>
          <w:szCs w:val="32"/>
          <w14:textFill>
            <w14:solidFill>
              <w14:schemeClr w14:val="tx1"/>
            </w14:solidFill>
          </w14:textFill>
        </w:rPr>
      </w:pPr>
      <w:r>
        <w:rPr>
          <w:rFonts w:hint="eastAsia" w:ascii="仿宋_GB2312" w:hAnsi="仿宋_GB2312" w:eastAsia="仿宋_GB2312" w:cs="仿宋_GB2312"/>
          <w:color w:val="000000" w:themeColor="text1"/>
          <w:spacing w:val="-4"/>
          <w:sz w:val="32"/>
          <w:szCs w:val="32"/>
          <w14:textFill>
            <w14:solidFill>
              <w14:schemeClr w14:val="tx1"/>
            </w14:solidFill>
          </w14:textFill>
        </w:rPr>
        <w:t>2.支出预算。2025年，一般公共预算支出计划安排59.23亿元，其中重点科目安排支出情况为：一般公共服务4.5亿元、公共安全6396万元、教育17.2亿元、社会保障和就业12.92亿元、卫生健康4.61亿元、节能环保1.12亿元、城乡社区3.15亿元、农林水8.15亿元、预备费4000万元。</w:t>
      </w:r>
    </w:p>
    <w:p w14:paraId="3E74EF94">
      <w:pPr>
        <w:keepNext w:val="0"/>
        <w:keepLines w:val="0"/>
        <w:pageBreakBefore w:val="0"/>
        <w:widowControl w:val="0"/>
        <w:kinsoku/>
        <w:wordWrap/>
        <w:overflowPunct/>
        <w:autoSpaceDE/>
        <w:autoSpaceDN/>
        <w:bidi w:val="0"/>
        <w:spacing w:line="620" w:lineRule="exact"/>
        <w:ind w:firstLine="624" w:firstLineChars="200"/>
        <w:rPr>
          <w:rFonts w:ascii="仿宋_GB2312" w:hAnsi="仿宋_GB2312" w:eastAsia="仿宋_GB2312" w:cs="仿宋_GB2312"/>
          <w:color w:val="000000" w:themeColor="text1"/>
          <w:spacing w:val="-4"/>
          <w:sz w:val="32"/>
          <w:szCs w:val="32"/>
          <w14:textFill>
            <w14:solidFill>
              <w14:schemeClr w14:val="tx1"/>
            </w14:solidFill>
          </w14:textFill>
        </w:rPr>
      </w:pPr>
      <w:r>
        <w:rPr>
          <w:rFonts w:hint="eastAsia" w:ascii="仿宋_GB2312" w:hAnsi="仿宋_GB2312" w:eastAsia="仿宋_GB2312" w:cs="仿宋_GB2312"/>
          <w:color w:val="000000" w:themeColor="text1"/>
          <w:spacing w:val="-4"/>
          <w:sz w:val="32"/>
          <w:szCs w:val="32"/>
          <w14:textFill>
            <w14:solidFill>
              <w14:schemeClr w14:val="tx1"/>
            </w14:solidFill>
          </w14:textFill>
        </w:rPr>
        <w:t>3.平衡情况。一般公共预算收入20.41亿元，加上级补助收入15.99亿元，调入预算稳定调节基金2.6亿元，上年结转收入6.15亿元，调入资金2.7亿元，再融资</w:t>
      </w:r>
      <w:r>
        <w:rPr>
          <w:rFonts w:hint="eastAsia" w:ascii="仿宋_GB2312" w:hAnsi="仿宋_GB2312" w:eastAsia="仿宋_GB2312" w:cs="仿宋_GB2312"/>
          <w:color w:val="000000" w:themeColor="text1"/>
          <w:spacing w:val="-4"/>
          <w:sz w:val="32"/>
          <w:szCs w:val="32"/>
          <w:lang w:eastAsia="zh-CN"/>
          <w14:textFill>
            <w14:solidFill>
              <w14:schemeClr w14:val="tx1"/>
            </w14:solidFill>
          </w14:textFill>
        </w:rPr>
        <w:t>债券</w:t>
      </w:r>
      <w:r>
        <w:rPr>
          <w:rFonts w:hint="eastAsia" w:ascii="仿宋_GB2312" w:hAnsi="仿宋_GB2312" w:eastAsia="仿宋_GB2312" w:cs="仿宋_GB2312"/>
          <w:color w:val="000000" w:themeColor="text1"/>
          <w:spacing w:val="-4"/>
          <w:sz w:val="32"/>
          <w:szCs w:val="32"/>
          <w14:textFill>
            <w14:solidFill>
              <w14:schemeClr w14:val="tx1"/>
            </w14:solidFill>
          </w14:textFill>
        </w:rPr>
        <w:t>收入3600万元，收入总计48.21亿元；一般公共预算支出59.23亿元，加上解上级支出-11.42亿元，</w:t>
      </w:r>
      <w:r>
        <w:rPr>
          <w:rFonts w:hint="eastAsia" w:ascii="仿宋_GB2312" w:hAnsi="仿宋_GB2312" w:eastAsia="仿宋_GB2312" w:cs="仿宋_GB2312"/>
          <w:color w:val="000000" w:themeColor="text1"/>
          <w:spacing w:val="-4"/>
          <w:sz w:val="32"/>
          <w:szCs w:val="32"/>
          <w:lang w:eastAsia="zh-CN"/>
          <w14:textFill>
            <w14:solidFill>
              <w14:schemeClr w14:val="tx1"/>
            </w14:solidFill>
          </w14:textFill>
        </w:rPr>
        <w:t>债务</w:t>
      </w:r>
      <w:r>
        <w:rPr>
          <w:rFonts w:hint="eastAsia" w:ascii="仿宋_GB2312" w:hAnsi="仿宋_GB2312" w:eastAsia="仿宋_GB2312" w:cs="仿宋_GB2312"/>
          <w:color w:val="000000" w:themeColor="text1"/>
          <w:spacing w:val="-4"/>
          <w:sz w:val="32"/>
          <w:szCs w:val="32"/>
          <w14:textFill>
            <w14:solidFill>
              <w14:schemeClr w14:val="tx1"/>
            </w14:solidFill>
          </w14:textFill>
        </w:rPr>
        <w:t>还本支出4000万元，支出总计48.21亿元。当年一般公共预算收支平衡。</w:t>
      </w:r>
    </w:p>
    <w:p w14:paraId="289885DB">
      <w:pPr>
        <w:keepNext w:val="0"/>
        <w:keepLines w:val="0"/>
        <w:pageBreakBefore w:val="0"/>
        <w:widowControl w:val="0"/>
        <w:kinsoku/>
        <w:wordWrap/>
        <w:overflowPunct/>
        <w:autoSpaceDE/>
        <w:autoSpaceDN/>
        <w:bidi w:val="0"/>
        <w:spacing w:line="620" w:lineRule="exact"/>
        <w:ind w:firstLine="640" w:firstLineChars="200"/>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14:textFill>
            <w14:solidFill>
              <w14:schemeClr w14:val="tx1"/>
            </w14:solidFill>
          </w14:textFill>
        </w:rPr>
        <w:t>2025年，</w:t>
      </w:r>
      <w:r>
        <w:rPr>
          <w:rFonts w:hint="eastAsia" w:ascii="仿宋_GB2312" w:hAnsi="仿宋_GB2312" w:eastAsia="仿宋_GB2312" w:cs="仿宋_GB2312"/>
          <w:color w:val="000000" w:themeColor="text1"/>
          <w:spacing w:val="-4"/>
          <w:sz w:val="32"/>
          <w:szCs w:val="32"/>
          <w14:textFill>
            <w14:solidFill>
              <w14:schemeClr w14:val="tx1"/>
            </w14:solidFill>
          </w14:textFill>
        </w:rPr>
        <w:t>全区</w:t>
      </w:r>
      <w:r>
        <w:rPr>
          <w:rFonts w:hint="eastAsia" w:ascii="仿宋_GB2312" w:hAnsi="仿宋_GB2312" w:eastAsia="仿宋_GB2312" w:cs="仿宋_GB2312"/>
          <w:color w:val="000000" w:themeColor="text1"/>
          <w:spacing w:val="-4"/>
          <w:sz w:val="32"/>
          <w:szCs w:val="32"/>
          <w:lang w:eastAsia="zh-CN"/>
          <w14:textFill>
            <w14:solidFill>
              <w14:schemeClr w14:val="tx1"/>
            </w14:solidFill>
          </w14:textFill>
        </w:rPr>
        <w:t>“三公”经费</w:t>
      </w:r>
      <w:r>
        <w:rPr>
          <w:rFonts w:hint="eastAsia" w:ascii="仿宋_GB2312" w:hAnsi="仿宋_GB2312" w:eastAsia="仿宋_GB2312" w:cs="仿宋_GB2312"/>
          <w:color w:val="000000" w:themeColor="text1"/>
          <w:spacing w:val="-4"/>
          <w:sz w:val="32"/>
          <w:szCs w:val="32"/>
          <w14:textFill>
            <w14:solidFill>
              <w14:schemeClr w14:val="tx1"/>
            </w14:solidFill>
          </w14:textFill>
        </w:rPr>
        <w:t>支出计划安排820万元，与上年基本持平，略有下降</w:t>
      </w:r>
      <w:r>
        <w:rPr>
          <w:rFonts w:hint="eastAsia" w:ascii="仿宋_GB2312" w:hAnsi="仿宋_GB2312" w:eastAsia="仿宋_GB2312" w:cs="仿宋_GB2312"/>
          <w:color w:val="000000" w:themeColor="text1"/>
          <w:sz w:val="32"/>
          <w:szCs w:val="32"/>
          <w14:textFill>
            <w14:solidFill>
              <w14:schemeClr w14:val="tx1"/>
            </w14:solidFill>
          </w14:textFill>
        </w:rPr>
        <w:t>。</w:t>
      </w:r>
    </w:p>
    <w:p w14:paraId="33995E30">
      <w:pPr>
        <w:keepNext w:val="0"/>
        <w:keepLines w:val="0"/>
        <w:pageBreakBefore w:val="0"/>
        <w:widowControl w:val="0"/>
        <w:kinsoku/>
        <w:wordWrap/>
        <w:overflowPunct/>
        <w:autoSpaceDE/>
        <w:autoSpaceDN/>
        <w:bidi w:val="0"/>
        <w:spacing w:line="620" w:lineRule="exact"/>
        <w:ind w:firstLine="640" w:firstLineChars="200"/>
        <w:rPr>
          <w:rFonts w:hint="eastAsia" w:ascii="楷体_GB2312" w:hAnsi="楷体_GB2312" w:eastAsia="楷体_GB2312"/>
          <w:color w:val="000000" w:themeColor="text1"/>
          <w:sz w:val="32"/>
          <w:szCs w:val="32"/>
          <w14:textFill>
            <w14:solidFill>
              <w14:schemeClr w14:val="tx1"/>
            </w14:solidFill>
          </w14:textFill>
        </w:rPr>
      </w:pPr>
      <w:r>
        <w:rPr>
          <w:rFonts w:hint="eastAsia" w:ascii="楷体_GB2312" w:hAnsi="楷体_GB2312" w:eastAsia="楷体_GB2312"/>
          <w:color w:val="000000" w:themeColor="text1"/>
          <w:sz w:val="32"/>
          <w:szCs w:val="32"/>
          <w14:textFill>
            <w14:solidFill>
              <w14:schemeClr w14:val="tx1"/>
            </w14:solidFill>
          </w14:textFill>
        </w:rPr>
        <w:t>（二）政府性基金预算安排情况</w:t>
      </w:r>
    </w:p>
    <w:p w14:paraId="69824070">
      <w:pPr>
        <w:keepNext w:val="0"/>
        <w:keepLines w:val="0"/>
        <w:pageBreakBefore w:val="0"/>
        <w:widowControl w:val="0"/>
        <w:kinsoku/>
        <w:wordWrap/>
        <w:overflowPunct/>
        <w:autoSpaceDE/>
        <w:autoSpaceDN/>
        <w:bidi w:val="0"/>
        <w:spacing w:line="620" w:lineRule="exact"/>
        <w:ind w:firstLine="640" w:firstLineChars="200"/>
        <w:rPr>
          <w:rFonts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14:textFill>
            <w14:solidFill>
              <w14:schemeClr w14:val="tx1"/>
            </w14:solidFill>
          </w14:textFill>
        </w:rPr>
        <w:t>2025年，政府性基金预算收入计划安排20亿元，主要为国有土地出让收入19.27亿元、城市基础设施配套费6234万元、污水处理费900万元、彩票公益金180万元。加上级补助收入3754万元，上年结转8.18亿元，再融资债券收入8.87亿元，收入总计37.43亿元。</w:t>
      </w:r>
    </w:p>
    <w:p w14:paraId="28CDAD2F">
      <w:pPr>
        <w:keepNext w:val="0"/>
        <w:keepLines w:val="0"/>
        <w:pageBreakBefore w:val="0"/>
        <w:widowControl w:val="0"/>
        <w:kinsoku/>
        <w:wordWrap/>
        <w:overflowPunct/>
        <w:autoSpaceDE/>
        <w:autoSpaceDN/>
        <w:bidi w:val="0"/>
        <w:spacing w:line="620" w:lineRule="exact"/>
        <w:ind w:firstLine="640" w:firstLineChars="200"/>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14:textFill>
            <w14:solidFill>
              <w14:schemeClr w14:val="tx1"/>
            </w14:solidFill>
          </w14:textFill>
        </w:rPr>
        <w:t>根据基金预算以收定支原则，相应安排政府性基金预算支出25.47亿元，</w:t>
      </w:r>
      <w:r>
        <w:rPr>
          <w:rFonts w:hint="eastAsia" w:ascii="仿宋_GB2312" w:hAnsi="仿宋_GB2312" w:eastAsia="仿宋_GB2312" w:cs="仿宋_GB2312"/>
          <w:color w:val="000000" w:themeColor="text1"/>
          <w:spacing w:val="-4"/>
          <w:sz w:val="32"/>
          <w:szCs w:val="32"/>
          <w14:textFill>
            <w14:solidFill>
              <w14:schemeClr w14:val="tx1"/>
            </w14:solidFill>
          </w14:textFill>
        </w:rPr>
        <w:t>加债务还本支出9.86亿元，</w:t>
      </w:r>
      <w:bookmarkStart w:id="0" w:name="_GoBack"/>
      <w:bookmarkEnd w:id="0"/>
      <w:r>
        <w:rPr>
          <w:rFonts w:hint="eastAsia" w:ascii="仿宋_GB2312" w:hAnsi="仿宋_GB2312" w:eastAsia="仿宋_GB2312" w:cs="仿宋_GB2312"/>
          <w:color w:val="000000" w:themeColor="text1"/>
          <w:spacing w:val="-4"/>
          <w:sz w:val="32"/>
          <w:szCs w:val="32"/>
          <w14:textFill>
            <w14:solidFill>
              <w14:schemeClr w14:val="tx1"/>
            </w14:solidFill>
          </w14:textFill>
        </w:rPr>
        <w:t>调出资金2.1亿元，</w:t>
      </w:r>
      <w:r>
        <w:rPr>
          <w:rFonts w:hint="eastAsia" w:ascii="仿宋_GB2312" w:hAnsi="仿宋_GB2312" w:eastAsia="仿宋_GB2312" w:cs="仿宋_GB2312"/>
          <w:color w:val="000000" w:themeColor="text1"/>
          <w:sz w:val="32"/>
          <w:szCs w:val="32"/>
          <w14:textFill>
            <w14:solidFill>
              <w14:schemeClr w14:val="tx1"/>
            </w14:solidFill>
          </w14:textFill>
        </w:rPr>
        <w:t>支出总计37.43亿元</w:t>
      </w:r>
      <w:r>
        <w:rPr>
          <w:rFonts w:hint="eastAsia" w:ascii="仿宋_GB2312" w:hAnsi="仿宋_GB2312" w:eastAsia="仿宋_GB2312" w:cs="仿宋_GB2312"/>
          <w:color w:val="000000" w:themeColor="text1"/>
          <w:spacing w:val="-4"/>
          <w:sz w:val="32"/>
          <w:szCs w:val="32"/>
          <w14:textFill>
            <w14:solidFill>
              <w14:schemeClr w14:val="tx1"/>
            </w14:solidFill>
          </w14:textFill>
        </w:rPr>
        <w:t>。当年</w:t>
      </w:r>
      <w:r>
        <w:rPr>
          <w:rFonts w:hint="eastAsia" w:ascii="仿宋_GB2312" w:hAnsi="仿宋_GB2312" w:eastAsia="仿宋_GB2312" w:cs="仿宋_GB2312"/>
          <w:color w:val="000000" w:themeColor="text1"/>
          <w:spacing w:val="-4"/>
          <w:sz w:val="32"/>
          <w:szCs w:val="32"/>
          <w:lang w:eastAsia="zh-CN"/>
          <w14:textFill>
            <w14:solidFill>
              <w14:schemeClr w14:val="tx1"/>
            </w14:solidFill>
          </w14:textFill>
        </w:rPr>
        <w:t>政府性</w:t>
      </w:r>
      <w:r>
        <w:rPr>
          <w:rFonts w:hint="eastAsia" w:ascii="仿宋_GB2312" w:hAnsi="仿宋_GB2312" w:eastAsia="仿宋_GB2312" w:cs="仿宋_GB2312"/>
          <w:color w:val="000000" w:themeColor="text1"/>
          <w:spacing w:val="-4"/>
          <w:sz w:val="32"/>
          <w:szCs w:val="32"/>
          <w14:textFill>
            <w14:solidFill>
              <w14:schemeClr w14:val="tx1"/>
            </w14:solidFill>
          </w14:textFill>
        </w:rPr>
        <w:t>基金预算收支平衡。</w:t>
      </w:r>
    </w:p>
    <w:p w14:paraId="7E2AD59F">
      <w:pPr>
        <w:keepNext w:val="0"/>
        <w:keepLines w:val="0"/>
        <w:pageBreakBefore w:val="0"/>
        <w:widowControl w:val="0"/>
        <w:kinsoku/>
        <w:wordWrap/>
        <w:overflowPunct/>
        <w:autoSpaceDE/>
        <w:autoSpaceDN/>
        <w:bidi w:val="0"/>
        <w:spacing w:line="620" w:lineRule="exact"/>
        <w:ind w:firstLine="640" w:firstLineChars="200"/>
        <w:rPr>
          <w:rFonts w:hint="eastAsia" w:ascii="楷体_GB2312" w:hAnsi="楷体_GB2312" w:eastAsia="楷体_GB2312"/>
          <w:color w:val="000000" w:themeColor="text1"/>
          <w:sz w:val="32"/>
          <w:szCs w:val="32"/>
          <w14:textFill>
            <w14:solidFill>
              <w14:schemeClr w14:val="tx1"/>
            </w14:solidFill>
          </w14:textFill>
        </w:rPr>
      </w:pPr>
      <w:r>
        <w:rPr>
          <w:rFonts w:hint="eastAsia" w:ascii="楷体_GB2312" w:hAnsi="楷体_GB2312" w:eastAsia="楷体_GB2312"/>
          <w:color w:val="000000" w:themeColor="text1"/>
          <w:sz w:val="32"/>
          <w:szCs w:val="32"/>
          <w14:textFill>
            <w14:solidFill>
              <w14:schemeClr w14:val="tx1"/>
            </w14:solidFill>
          </w14:textFill>
        </w:rPr>
        <w:t>（三）社会保险基金预算安排情况</w:t>
      </w:r>
    </w:p>
    <w:p w14:paraId="4D1CDE97">
      <w:pPr>
        <w:keepNext w:val="0"/>
        <w:keepLines w:val="0"/>
        <w:pageBreakBefore w:val="0"/>
        <w:widowControl w:val="0"/>
        <w:kinsoku/>
        <w:wordWrap/>
        <w:overflowPunct/>
        <w:autoSpaceDE/>
        <w:autoSpaceDN/>
        <w:bidi w:val="0"/>
        <w:spacing w:line="620" w:lineRule="exact"/>
        <w:ind w:firstLine="640" w:firstLineChars="200"/>
        <w:rPr>
          <w:rFonts w:ascii="仿宋_GB2312" w:hAnsi="仿宋_GB2312" w:eastAsia="仿宋_GB2312"/>
          <w:color w:val="000000" w:themeColor="text1"/>
          <w:sz w:val="32"/>
          <w:szCs w:val="32"/>
          <w14:textFill>
            <w14:solidFill>
              <w14:schemeClr w14:val="tx1"/>
            </w14:solidFill>
          </w14:textFill>
        </w:rPr>
      </w:pPr>
      <w:r>
        <w:rPr>
          <w:rFonts w:hint="eastAsia" w:ascii="仿宋_GB2312" w:hAnsi="仿宋_GB2312" w:eastAsia="仿宋_GB2312"/>
          <w:color w:val="000000" w:themeColor="text1"/>
          <w:sz w:val="32"/>
          <w:szCs w:val="32"/>
          <w14:textFill>
            <w14:solidFill>
              <w14:schemeClr w14:val="tx1"/>
            </w14:solidFill>
          </w14:textFill>
        </w:rPr>
        <w:t>2025年，全区社会保险基金预算收入计划安排10.15亿元，其中城乡居民基本养老保险基金收入5.19亿元，机关事业单位养老保险基金收入4.96亿元。</w:t>
      </w:r>
    </w:p>
    <w:p w14:paraId="4AAE2842">
      <w:pPr>
        <w:keepNext w:val="0"/>
        <w:keepLines w:val="0"/>
        <w:pageBreakBefore w:val="0"/>
        <w:widowControl w:val="0"/>
        <w:kinsoku/>
        <w:wordWrap/>
        <w:overflowPunct/>
        <w:autoSpaceDE/>
        <w:autoSpaceDN/>
        <w:bidi w:val="0"/>
        <w:spacing w:line="620" w:lineRule="exact"/>
        <w:ind w:firstLine="640" w:firstLineChars="200"/>
        <w:rPr>
          <w:rFonts w:hint="eastAsia" w:ascii="仿宋_GB2312" w:hAnsi="仿宋_GB2312" w:eastAsia="仿宋_GB2312"/>
          <w:color w:val="000000" w:themeColor="text1"/>
          <w:sz w:val="32"/>
          <w:szCs w:val="32"/>
          <w14:textFill>
            <w14:solidFill>
              <w14:schemeClr w14:val="tx1"/>
            </w14:solidFill>
          </w14:textFill>
        </w:rPr>
      </w:pPr>
      <w:r>
        <w:rPr>
          <w:rFonts w:hint="eastAsia" w:ascii="仿宋_GB2312" w:hAnsi="仿宋_GB2312" w:eastAsia="仿宋_GB2312"/>
          <w:color w:val="000000" w:themeColor="text1"/>
          <w:sz w:val="32"/>
          <w:szCs w:val="32"/>
          <w14:textFill>
            <w14:solidFill>
              <w14:schemeClr w14:val="tx1"/>
            </w14:solidFill>
          </w14:textFill>
        </w:rPr>
        <w:t>2025年，全区社会保险基金预算支出计划安排9.29亿元，其中城乡居民基本养老保险基金支出4.16亿元，机关事业单位养老保险基金支出5.13亿元。</w:t>
      </w:r>
    </w:p>
    <w:p w14:paraId="3C43FCF0">
      <w:pPr>
        <w:keepNext w:val="0"/>
        <w:keepLines w:val="0"/>
        <w:pageBreakBefore w:val="0"/>
        <w:widowControl w:val="0"/>
        <w:kinsoku/>
        <w:wordWrap/>
        <w:overflowPunct/>
        <w:autoSpaceDE/>
        <w:autoSpaceDN/>
        <w:bidi w:val="0"/>
        <w:snapToGrid w:val="0"/>
        <w:spacing w:line="620" w:lineRule="exact"/>
        <w:ind w:firstLine="640" w:firstLineChars="200"/>
        <w:rPr>
          <w:rFonts w:hint="eastAsia" w:ascii="仿宋_GB2312" w:hAnsi="仿宋_GB2312" w:eastAsia="仿宋_GB2312"/>
          <w:color w:val="000000" w:themeColor="text1"/>
          <w:sz w:val="32"/>
          <w:szCs w:val="32"/>
          <w14:textFill>
            <w14:solidFill>
              <w14:schemeClr w14:val="tx1"/>
            </w14:solidFill>
          </w14:textFill>
        </w:rPr>
      </w:pPr>
      <w:r>
        <w:rPr>
          <w:rFonts w:hint="eastAsia" w:ascii="仿宋_GB2312" w:hAnsi="仿宋_GB2312" w:eastAsia="仿宋_GB2312"/>
          <w:color w:val="000000" w:themeColor="text1"/>
          <w:sz w:val="32"/>
          <w:szCs w:val="32"/>
          <w14:textFill>
            <w14:solidFill>
              <w14:schemeClr w14:val="tx1"/>
            </w14:solidFill>
          </w14:textFill>
        </w:rPr>
        <w:t>年末滚存结余13.5亿元。</w:t>
      </w:r>
    </w:p>
    <w:p w14:paraId="13BE7711">
      <w:pPr>
        <w:keepNext w:val="0"/>
        <w:keepLines w:val="0"/>
        <w:pageBreakBefore w:val="0"/>
        <w:widowControl w:val="0"/>
        <w:kinsoku/>
        <w:wordWrap/>
        <w:overflowPunct/>
        <w:autoSpaceDE/>
        <w:autoSpaceDN/>
        <w:bidi w:val="0"/>
        <w:snapToGrid w:val="0"/>
        <w:spacing w:line="620" w:lineRule="exact"/>
        <w:ind w:firstLine="640" w:firstLineChars="200"/>
        <w:rPr>
          <w:rFonts w:hint="eastAsia" w:ascii="楷体_GB2312" w:hAnsi="楷体_GB2312" w:eastAsia="楷体_GB2312"/>
          <w:color w:val="000000" w:themeColor="text1"/>
          <w:sz w:val="32"/>
          <w:szCs w:val="32"/>
          <w14:textFill>
            <w14:solidFill>
              <w14:schemeClr w14:val="tx1"/>
            </w14:solidFill>
          </w14:textFill>
        </w:rPr>
      </w:pPr>
      <w:r>
        <w:rPr>
          <w:rFonts w:hint="eastAsia" w:ascii="楷体_GB2312" w:hAnsi="楷体_GB2312" w:eastAsia="楷体_GB2312"/>
          <w:color w:val="000000" w:themeColor="text1"/>
          <w:sz w:val="32"/>
          <w:szCs w:val="32"/>
          <w14:textFill>
            <w14:solidFill>
              <w14:schemeClr w14:val="tx1"/>
            </w14:solidFill>
          </w14:textFill>
        </w:rPr>
        <w:t>（四）国有资本经营预算安排情况</w:t>
      </w:r>
    </w:p>
    <w:p w14:paraId="2727BFB7">
      <w:pPr>
        <w:keepNext w:val="0"/>
        <w:keepLines w:val="0"/>
        <w:pageBreakBefore w:val="0"/>
        <w:widowControl w:val="0"/>
        <w:kinsoku/>
        <w:wordWrap/>
        <w:overflowPunct/>
        <w:autoSpaceDE/>
        <w:autoSpaceDN/>
        <w:bidi w:val="0"/>
        <w:spacing w:line="620" w:lineRule="exact"/>
        <w:ind w:firstLine="640" w:firstLineChars="200"/>
        <w:rPr>
          <w:rFonts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2025年，全区国有资本经营预算收入计划安排2亿元。根据国有资本经营预算有关规定调入一般公共预算6000万元后，实际可用于安排支出的收入</w:t>
      </w:r>
      <w:r>
        <w:rPr>
          <w:rFonts w:hint="eastAsia" w:ascii="仿宋_GB2312" w:hAnsi="宋体" w:eastAsia="仿宋_GB2312"/>
          <w:color w:val="000000" w:themeColor="text1"/>
          <w:sz w:val="32"/>
          <w:szCs w:val="32"/>
          <w14:textFill>
            <w14:solidFill>
              <w14:schemeClr w14:val="tx1"/>
            </w14:solidFill>
          </w14:textFill>
        </w:rPr>
        <w:t>为1.4</w:t>
      </w:r>
      <w:r>
        <w:rPr>
          <w:rFonts w:hint="eastAsia" w:ascii="仿宋_GB2312" w:eastAsia="仿宋_GB2312"/>
          <w:color w:val="000000" w:themeColor="text1"/>
          <w:sz w:val="32"/>
          <w:szCs w:val="32"/>
          <w14:textFill>
            <w14:solidFill>
              <w14:schemeClr w14:val="tx1"/>
            </w14:solidFill>
          </w14:textFill>
        </w:rPr>
        <w:t>亿元。</w:t>
      </w:r>
    </w:p>
    <w:p w14:paraId="2969BFE0">
      <w:pPr>
        <w:keepNext w:val="0"/>
        <w:keepLines w:val="0"/>
        <w:pageBreakBefore w:val="0"/>
        <w:widowControl w:val="0"/>
        <w:kinsoku/>
        <w:wordWrap/>
        <w:overflowPunct/>
        <w:autoSpaceDE/>
        <w:autoSpaceDN/>
        <w:bidi w:val="0"/>
        <w:snapToGrid w:val="0"/>
        <w:spacing w:line="620" w:lineRule="exact"/>
        <w:ind w:firstLine="640" w:firstLineChars="200"/>
        <w:rPr>
          <w:rFonts w:hint="eastAsia" w:ascii="仿宋_GB2312" w:hAnsi="宋体"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按照以收定支的原则，相应安排</w:t>
      </w:r>
      <w:r>
        <w:rPr>
          <w:rFonts w:hint="eastAsia" w:ascii="仿宋_GB2312" w:hAnsi="宋体" w:eastAsia="仿宋_GB2312"/>
          <w:color w:val="000000" w:themeColor="text1"/>
          <w:sz w:val="32"/>
          <w:szCs w:val="32"/>
          <w14:textFill>
            <w14:solidFill>
              <w14:schemeClr w14:val="tx1"/>
            </w14:solidFill>
          </w14:textFill>
        </w:rPr>
        <w:t>支出1.4亿</w:t>
      </w:r>
      <w:r>
        <w:rPr>
          <w:rFonts w:hint="eastAsia" w:ascii="仿宋_GB2312" w:eastAsia="仿宋_GB2312"/>
          <w:color w:val="000000" w:themeColor="text1"/>
          <w:sz w:val="32"/>
          <w:szCs w:val="32"/>
          <w14:textFill>
            <w14:solidFill>
              <w14:schemeClr w14:val="tx1"/>
            </w14:solidFill>
          </w14:textFill>
        </w:rPr>
        <w:t>元，全部</w:t>
      </w:r>
      <w:r>
        <w:rPr>
          <w:rFonts w:hint="eastAsia" w:ascii="仿宋_GB2312" w:hAnsi="宋体" w:eastAsia="仿宋_GB2312"/>
          <w:color w:val="000000" w:themeColor="text1"/>
          <w:sz w:val="32"/>
          <w:szCs w:val="32"/>
          <w14:textFill>
            <w14:solidFill>
              <w14:schemeClr w14:val="tx1"/>
            </w14:solidFill>
          </w14:textFill>
        </w:rPr>
        <w:t>用于解决历史遗留问题及改革成本支出。</w:t>
      </w:r>
    </w:p>
    <w:p w14:paraId="09D0659D">
      <w:pPr>
        <w:keepNext w:val="0"/>
        <w:keepLines w:val="0"/>
        <w:pageBreakBefore w:val="0"/>
        <w:widowControl w:val="0"/>
        <w:kinsoku/>
        <w:wordWrap/>
        <w:overflowPunct/>
        <w:autoSpaceDE/>
        <w:autoSpaceDN/>
        <w:bidi w:val="0"/>
        <w:snapToGrid w:val="0"/>
        <w:spacing w:line="620" w:lineRule="exact"/>
        <w:ind w:firstLine="640" w:firstLineChars="200"/>
        <w:rPr>
          <w:rFonts w:ascii="楷体_GB2312" w:eastAsia="楷体_GB2312"/>
          <w:b/>
          <w:color w:val="000000" w:themeColor="text1"/>
          <w:sz w:val="32"/>
          <w:szCs w:val="32"/>
          <w14:textFill>
            <w14:solidFill>
              <w14:schemeClr w14:val="tx1"/>
            </w14:solidFill>
          </w14:textFill>
        </w:rPr>
      </w:pPr>
      <w:r>
        <w:rPr>
          <w:rFonts w:hint="eastAsia" w:ascii="楷体_GB2312" w:eastAsia="楷体_GB2312"/>
          <w:bCs/>
          <w:color w:val="000000" w:themeColor="text1"/>
          <w:sz w:val="32"/>
          <w:szCs w:val="32"/>
          <w14:textFill>
            <w14:solidFill>
              <w14:schemeClr w14:val="tx1"/>
            </w14:solidFill>
          </w14:textFill>
        </w:rPr>
        <w:t>（五）债券还本付息预算安排情况</w:t>
      </w:r>
    </w:p>
    <w:p w14:paraId="46695139">
      <w:pPr>
        <w:keepNext w:val="0"/>
        <w:keepLines w:val="0"/>
        <w:pageBreakBefore w:val="0"/>
        <w:widowControl w:val="0"/>
        <w:kinsoku/>
        <w:wordWrap/>
        <w:overflowPunct/>
        <w:autoSpaceDE/>
        <w:autoSpaceDN/>
        <w:bidi w:val="0"/>
        <w:snapToGrid w:val="0"/>
        <w:spacing w:line="620" w:lineRule="exact"/>
        <w:ind w:firstLine="640" w:firstLineChars="200"/>
        <w:rPr>
          <w:rFonts w:ascii="仿宋_GB2312" w:eastAsia="仿宋_GB2312"/>
          <w:bCs/>
          <w:color w:val="000000" w:themeColor="text1"/>
          <w:sz w:val="32"/>
          <w:szCs w:val="32"/>
          <w14:textFill>
            <w14:solidFill>
              <w14:schemeClr w14:val="tx1"/>
            </w14:solidFill>
          </w14:textFill>
        </w:rPr>
      </w:pPr>
      <w:r>
        <w:rPr>
          <w:rFonts w:hint="eastAsia" w:ascii="仿宋_GB2312" w:eastAsia="仿宋_GB2312"/>
          <w:bCs/>
          <w:color w:val="000000" w:themeColor="text1"/>
          <w:sz w:val="32"/>
          <w:szCs w:val="32"/>
          <w14:textFill>
            <w14:solidFill>
              <w14:schemeClr w14:val="tx1"/>
            </w14:solidFill>
          </w14:textFill>
        </w:rPr>
        <w:t>区级统筹各类资金14.76亿元，用于债券还本付息，其中一般公共预算安排7373万元、政府性基金预算安排14.02亿元。</w:t>
      </w:r>
    </w:p>
    <w:p w14:paraId="0E60A9FB">
      <w:pPr>
        <w:pStyle w:val="13"/>
        <w:keepNext w:val="0"/>
        <w:keepLines w:val="0"/>
        <w:pageBreakBefore w:val="0"/>
        <w:widowControl w:val="0"/>
        <w:kinsoku/>
        <w:wordWrap/>
        <w:overflowPunct/>
        <w:autoSpaceDE/>
        <w:autoSpaceDN/>
        <w:bidi w:val="0"/>
        <w:spacing w:line="620" w:lineRule="exact"/>
        <w:ind w:left="0" w:leftChars="0" w:firstLine="640"/>
        <w:rPr>
          <w:rFonts w:hint="eastAsia" w:ascii="楷体_GB2312" w:hAnsi="楷体_GB2312" w:eastAsia="楷体_GB2312" w:cs="楷体_GB2312"/>
          <w:color w:val="000000" w:themeColor="text1"/>
          <w:sz w:val="32"/>
          <w:szCs w:val="32"/>
          <w14:textFill>
            <w14:solidFill>
              <w14:schemeClr w14:val="tx1"/>
            </w14:solidFill>
          </w14:textFill>
        </w:rPr>
      </w:pPr>
      <w:r>
        <w:rPr>
          <w:rFonts w:hint="eastAsia" w:ascii="楷体_GB2312" w:hAnsi="楷体_GB2312" w:eastAsia="楷体_GB2312" w:cs="楷体_GB2312"/>
          <w:bCs/>
          <w:color w:val="000000" w:themeColor="text1"/>
          <w:sz w:val="32"/>
          <w:szCs w:val="32"/>
          <w14:textFill>
            <w14:solidFill>
              <w14:schemeClr w14:val="tx1"/>
            </w14:solidFill>
          </w14:textFill>
        </w:rPr>
        <w:t>（六）需要说明的事项</w:t>
      </w:r>
    </w:p>
    <w:p w14:paraId="6800E00F">
      <w:pPr>
        <w:keepNext w:val="0"/>
        <w:keepLines w:val="0"/>
        <w:pageBreakBefore w:val="0"/>
        <w:widowControl w:val="0"/>
        <w:kinsoku/>
        <w:wordWrap/>
        <w:overflowPunct/>
        <w:autoSpaceDE/>
        <w:autoSpaceDN/>
        <w:bidi w:val="0"/>
        <w:spacing w:line="620" w:lineRule="exact"/>
        <w:ind w:firstLine="643" w:firstLineChars="200"/>
        <w:rPr>
          <w:rFonts w:hint="eastAsia" w:ascii="黑体" w:hAnsi="黑体" w:eastAsia="黑体"/>
          <w:color w:val="000000" w:themeColor="text1"/>
          <w:sz w:val="32"/>
          <w:szCs w:val="32"/>
          <w14:textFill>
            <w14:solidFill>
              <w14:schemeClr w14:val="tx1"/>
            </w14:solidFill>
          </w14:textFill>
        </w:rPr>
      </w:pPr>
      <w:r>
        <w:rPr>
          <w:rFonts w:hint="eastAsia" w:ascii="仿宋_GB2312" w:hAnsi="仿宋_GB2312" w:eastAsia="仿宋_GB2312" w:cs="仿宋_GB2312"/>
          <w:b/>
          <w:bCs/>
          <w:color w:val="000000" w:themeColor="text1"/>
          <w:sz w:val="32"/>
          <w:szCs w:val="32"/>
          <w14:textFill>
            <w14:solidFill>
              <w14:schemeClr w14:val="tx1"/>
            </w14:solidFill>
          </w14:textFill>
        </w:rPr>
        <w:t>一是</w:t>
      </w:r>
      <w:r>
        <w:rPr>
          <w:rFonts w:hint="eastAsia" w:ascii="仿宋_GB2312" w:hAnsi="仿宋_GB2312" w:eastAsia="仿宋_GB2312" w:cs="仿宋_GB2312"/>
          <w:color w:val="000000" w:themeColor="text1"/>
          <w:sz w:val="32"/>
          <w:szCs w:val="32"/>
          <w14:textFill>
            <w14:solidFill>
              <w14:schemeClr w14:val="tx1"/>
            </w14:solidFill>
          </w14:textFill>
        </w:rPr>
        <w:t>2025年我区上报续发行政府专项债券项目11个，共计11.3亿元，</w:t>
      </w:r>
      <w:r>
        <w:rPr>
          <w:rFonts w:hint="eastAsia" w:ascii="仿宋_GB2312" w:hAnsi="仿宋_GB2312" w:eastAsia="仿宋_GB2312" w:cs="仿宋_GB2312"/>
          <w:bCs/>
          <w:color w:val="000000" w:themeColor="text1"/>
          <w:sz w:val="32"/>
          <w:szCs w:val="32"/>
          <w14:textFill>
            <w14:solidFill>
              <w14:schemeClr w14:val="tx1"/>
            </w14:solidFill>
          </w14:textFill>
        </w:rPr>
        <w:t>由于省代发政府性债券额度尚未确定，预算草案中未安排政府债券收支情况，待省下达具体额度后，再向区人大常委会报告调整方案。</w:t>
      </w:r>
      <w:r>
        <w:rPr>
          <w:rFonts w:hint="eastAsia" w:ascii="仿宋_GB2312" w:hAnsi="仿宋_GB2312" w:eastAsia="仿宋_GB2312" w:cs="仿宋_GB2312"/>
          <w:b/>
          <w:color w:val="000000" w:themeColor="text1"/>
          <w:sz w:val="32"/>
          <w:szCs w:val="32"/>
          <w14:textFill>
            <w14:solidFill>
              <w14:schemeClr w14:val="tx1"/>
            </w14:solidFill>
          </w14:textFill>
        </w:rPr>
        <w:t>二是</w:t>
      </w:r>
      <w:r>
        <w:rPr>
          <w:rFonts w:hint="eastAsia" w:ascii="仿宋_GB2312" w:hAnsi="仿宋_GB2312" w:eastAsia="仿宋_GB2312" w:cs="仿宋_GB2312"/>
          <w:bCs/>
          <w:color w:val="000000" w:themeColor="text1"/>
          <w:sz w:val="32"/>
          <w:szCs w:val="32"/>
          <w14:textFill>
            <w14:solidFill>
              <w14:schemeClr w14:val="tx1"/>
            </w14:solidFill>
          </w14:textFill>
        </w:rPr>
        <w:t>根据《预算法》有关规定，在预算草案经人民代表大会批准前，预拨了优抚对象抚恤金、低保特困人员补助等急需事项资金。</w:t>
      </w:r>
    </w:p>
    <w:p w14:paraId="74C987E9">
      <w:pPr>
        <w:pStyle w:val="16"/>
        <w:keepNext w:val="0"/>
        <w:keepLines w:val="0"/>
        <w:pageBreakBefore w:val="0"/>
        <w:widowControl w:val="0"/>
        <w:kinsoku/>
        <w:wordWrap/>
        <w:overflowPunct/>
        <w:autoSpaceDE/>
        <w:autoSpaceDN/>
        <w:bidi w:val="0"/>
        <w:spacing w:before="0" w:beforeLines="0" w:beforeAutospacing="0" w:after="0" w:afterLines="0" w:afterAutospacing="0" w:line="620" w:lineRule="exact"/>
        <w:ind w:firstLine="640" w:firstLineChars="200"/>
        <w:rPr>
          <w:rFonts w:ascii="黑体" w:hAnsi="黑体" w:eastAsia="黑体" w:cs="黑体"/>
          <w:color w:val="000000" w:themeColor="text1"/>
          <w:sz w:val="32"/>
          <w:szCs w:val="32"/>
          <w14:textFill>
            <w14:solidFill>
              <w14:schemeClr w14:val="tx1"/>
            </w14:solidFill>
          </w14:textFill>
        </w:rPr>
      </w:pPr>
      <w:r>
        <w:rPr>
          <w:rFonts w:hint="eastAsia" w:ascii="黑体" w:hAnsi="黑体" w:eastAsia="黑体" w:cs="黑体"/>
          <w:color w:val="000000" w:themeColor="text1"/>
          <w:sz w:val="32"/>
          <w:szCs w:val="32"/>
          <w14:textFill>
            <w14:solidFill>
              <w14:schemeClr w14:val="tx1"/>
            </w14:solidFill>
          </w14:textFill>
        </w:rPr>
        <w:t>三、切实做好2025年财政管理和预算执行工作</w:t>
      </w:r>
    </w:p>
    <w:p w14:paraId="6B023139">
      <w:pPr>
        <w:pStyle w:val="16"/>
        <w:keepNext w:val="0"/>
        <w:keepLines w:val="0"/>
        <w:pageBreakBefore w:val="0"/>
        <w:widowControl w:val="0"/>
        <w:kinsoku/>
        <w:wordWrap/>
        <w:overflowPunct/>
        <w:autoSpaceDE/>
        <w:autoSpaceDN/>
        <w:bidi w:val="0"/>
        <w:spacing w:before="0" w:beforeLines="0" w:beforeAutospacing="0" w:after="0" w:afterLines="0" w:afterAutospacing="0" w:line="620" w:lineRule="exact"/>
        <w:ind w:firstLine="640" w:firstLineChars="200"/>
        <w:jc w:val="both"/>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14:textFill>
            <w14:solidFill>
              <w14:schemeClr w14:val="tx1"/>
            </w14:solidFill>
          </w14:textFill>
        </w:rPr>
        <w:t>2025年，围绕区委确定的中心工作，强化财政资源和预算统筹，打好政策“组合拳”，不断提高资金使用效益和政策效能。</w:t>
      </w:r>
    </w:p>
    <w:p w14:paraId="25C482D3">
      <w:pPr>
        <w:keepNext w:val="0"/>
        <w:keepLines w:val="0"/>
        <w:pageBreakBefore w:val="0"/>
        <w:widowControl w:val="0"/>
        <w:kinsoku/>
        <w:wordWrap/>
        <w:overflowPunct/>
        <w:autoSpaceDE/>
        <w:autoSpaceDN/>
        <w:bidi w:val="0"/>
        <w:spacing w:line="620" w:lineRule="exact"/>
        <w:ind w:firstLine="640" w:firstLineChars="200"/>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楷体_GB2312" w:hAnsi="楷体_GB2312" w:eastAsia="楷体_GB2312" w:cs="楷体_GB2312"/>
          <w:color w:val="000000" w:themeColor="text1"/>
          <w:sz w:val="32"/>
          <w:szCs w:val="32"/>
          <w14:textFill>
            <w14:solidFill>
              <w14:schemeClr w14:val="tx1"/>
            </w14:solidFill>
          </w14:textFill>
        </w:rPr>
        <w:t>（一）加强财政收支统筹。</w:t>
      </w:r>
      <w:r>
        <w:rPr>
          <w:rFonts w:hint="eastAsia" w:ascii="仿宋_GB2312" w:hAnsi="仿宋_GB2312" w:eastAsia="仿宋_GB2312" w:cs="仿宋_GB2312"/>
          <w:color w:val="000000" w:themeColor="text1"/>
          <w:sz w:val="32"/>
          <w:szCs w:val="32"/>
          <w14:textFill>
            <w14:solidFill>
              <w14:schemeClr w14:val="tx1"/>
            </w14:solidFill>
          </w14:textFill>
        </w:rPr>
        <w:t>坚持依法依规组织收入，加强重点税源、重点企业跟踪监测和分析预测，同时放眼中小税源，进一步加强对零散税种的征缴，做到依法征收、应收尽收；加大招商引资力度，增强经济发展韧性，做大财源蛋糕，实现税收持续平稳增长。强化零基预算理念，坚持有保有压，合理安排财政各项支出，坚决压缩一般性、非急需、非刚性支出，加强重点支出的保障力度；优化调整财政支出结构，更好发挥财政资金最大效益。</w:t>
      </w:r>
    </w:p>
    <w:p w14:paraId="63975D5B">
      <w:pPr>
        <w:pStyle w:val="16"/>
        <w:keepNext w:val="0"/>
        <w:keepLines w:val="0"/>
        <w:pageBreakBefore w:val="0"/>
        <w:widowControl w:val="0"/>
        <w:kinsoku/>
        <w:wordWrap/>
        <w:overflowPunct/>
        <w:autoSpaceDE/>
        <w:autoSpaceDN/>
        <w:bidi w:val="0"/>
        <w:spacing w:before="0" w:beforeLines="0" w:beforeAutospacing="0" w:after="0" w:afterLines="0" w:afterAutospacing="0" w:line="620" w:lineRule="exact"/>
        <w:ind w:firstLine="640" w:firstLineChars="200"/>
        <w:jc w:val="both"/>
        <w:rPr>
          <w:rFonts w:ascii="仿宋_GB2312" w:hAnsi="仿宋_GB2312" w:eastAsia="仿宋_GB2312" w:cs="仿宋_GB2312"/>
          <w:color w:val="000000" w:themeColor="text1"/>
          <w:sz w:val="32"/>
          <w:szCs w:val="32"/>
          <w14:textFill>
            <w14:solidFill>
              <w14:schemeClr w14:val="tx1"/>
            </w14:solidFill>
          </w14:textFill>
        </w:rPr>
      </w:pPr>
      <w:r>
        <w:rPr>
          <w:rFonts w:hint="eastAsia" w:ascii="楷体_GB2312" w:hAnsi="楷体_GB2312" w:eastAsia="楷体_GB2312" w:cs="楷体_GB2312"/>
          <w:color w:val="000000" w:themeColor="text1"/>
          <w:sz w:val="32"/>
          <w:szCs w:val="32"/>
          <w14:textFill>
            <w14:solidFill>
              <w14:schemeClr w14:val="tx1"/>
            </w14:solidFill>
          </w14:textFill>
        </w:rPr>
        <w:t>（二）发挥财政调控作用</w:t>
      </w:r>
      <w:r>
        <w:rPr>
          <w:rFonts w:hint="eastAsia" w:ascii="仿宋_GB2312" w:hAnsi="仿宋_GB2312" w:eastAsia="仿宋_GB2312" w:cs="仿宋_GB2312"/>
          <w:color w:val="000000" w:themeColor="text1"/>
          <w:sz w:val="32"/>
          <w:szCs w:val="32"/>
          <w14:textFill>
            <w14:solidFill>
              <w14:schemeClr w14:val="tx1"/>
            </w14:solidFill>
          </w14:textFill>
        </w:rPr>
        <w:t>。牢牢把握积极的财政政策适度加力、提质增效要求，加大宣传惠企政策，增强财政政策的针对性有效性，激发各类市场主体的活力。积极抢抓政策机遇，科学合理用好地方政府债券和超长期国债，释放政策红利，不断增强经济发展的内生动力。大力支持传统产业改造升级和战略性新兴产业培育壮大，助力企业发展，夯实财政增收基础。</w:t>
      </w:r>
    </w:p>
    <w:p w14:paraId="7F3AC9B8">
      <w:pPr>
        <w:keepNext w:val="0"/>
        <w:keepLines w:val="0"/>
        <w:pageBreakBefore w:val="0"/>
        <w:widowControl w:val="0"/>
        <w:tabs>
          <w:tab w:val="left" w:pos="725"/>
        </w:tabs>
        <w:kinsoku/>
        <w:wordWrap/>
        <w:overflowPunct/>
        <w:autoSpaceDE/>
        <w:autoSpaceDN/>
        <w:bidi w:val="0"/>
        <w:spacing w:line="620" w:lineRule="exact"/>
        <w:ind w:firstLine="640" w:firstLineChars="200"/>
        <w:jc w:val="left"/>
        <w:rPr>
          <w:rFonts w:ascii="仿宋_GB2312" w:hAnsi="仿宋_GB2312" w:eastAsia="仿宋_GB2312" w:cs="仿宋_GB2312"/>
          <w:color w:val="000000" w:themeColor="text1"/>
          <w:sz w:val="32"/>
          <w:szCs w:val="32"/>
          <w14:textFill>
            <w14:solidFill>
              <w14:schemeClr w14:val="tx1"/>
            </w14:solidFill>
          </w14:textFill>
        </w:rPr>
      </w:pPr>
      <w:r>
        <w:rPr>
          <w:rFonts w:hint="eastAsia" w:ascii="楷体_GB2312" w:hAnsi="楷体_GB2312" w:eastAsia="楷体_GB2312" w:cs="楷体_GB2312"/>
          <w:color w:val="000000" w:themeColor="text1"/>
          <w:sz w:val="32"/>
          <w:szCs w:val="32"/>
          <w14:textFill>
            <w14:solidFill>
              <w14:schemeClr w14:val="tx1"/>
            </w14:solidFill>
          </w14:textFill>
        </w:rPr>
        <w:t>（三）持续深化财政改革。</w:t>
      </w:r>
      <w:r>
        <w:rPr>
          <w:rFonts w:hint="eastAsia" w:ascii="仿宋_GB2312" w:hAnsi="仿宋_GB2312" w:eastAsia="仿宋_GB2312" w:cs="仿宋_GB2312"/>
          <w:color w:val="000000" w:themeColor="text1"/>
          <w:sz w:val="32"/>
          <w:szCs w:val="32"/>
          <w14:textFill>
            <w14:solidFill>
              <w14:schemeClr w14:val="tx1"/>
            </w14:solidFill>
          </w14:textFill>
        </w:rPr>
        <w:t>按照市以下财政体制改革方案要求，全面落实新的分税制分享模式改革，对标上级实施知识产权领域财政事权和支出责任划分改革，积极落实上级财政转移支付制度，不断提升全区预算管理科学化水平。持续</w:t>
      </w:r>
      <w:r>
        <w:rPr>
          <w:rFonts w:hint="eastAsia" w:ascii="仿宋_GB2312" w:hAnsi="仿宋_GB2312" w:eastAsia="仿宋_GB2312" w:cs="仿宋_GB2312"/>
          <w:snapToGrid w:val="0"/>
          <w:color w:val="000000" w:themeColor="text1"/>
          <w:sz w:val="32"/>
          <w:szCs w:val="32"/>
          <w14:textFill>
            <w14:solidFill>
              <w14:schemeClr w14:val="tx1"/>
            </w14:solidFill>
          </w14:textFill>
        </w:rPr>
        <w:t>深入推进预算绩效管理改革，</w:t>
      </w:r>
      <w:r>
        <w:rPr>
          <w:rFonts w:hint="eastAsia" w:ascii="仿宋_GB2312" w:hAnsi="仿宋_GB2312" w:eastAsia="仿宋_GB2312" w:cs="仿宋_GB2312"/>
          <w:color w:val="000000" w:themeColor="text1"/>
          <w:sz w:val="32"/>
          <w:szCs w:val="32"/>
          <w14:textFill>
            <w14:solidFill>
              <w14:schemeClr w14:val="tx1"/>
            </w14:solidFill>
          </w14:textFill>
        </w:rPr>
        <w:t>推进项目标准化体系和绩效指标体系建设，</w:t>
      </w:r>
      <w:r>
        <w:rPr>
          <w:rFonts w:hint="eastAsia" w:ascii="仿宋_GB2312" w:hAnsi="仿宋_GB2312" w:eastAsia="仿宋_GB2312" w:cs="仿宋_GB2312"/>
          <w:snapToGrid w:val="0"/>
          <w:color w:val="000000" w:themeColor="text1"/>
          <w:sz w:val="32"/>
          <w:szCs w:val="32"/>
          <w14:textFill>
            <w14:solidFill>
              <w14:schemeClr w14:val="tx1"/>
            </w14:solidFill>
          </w14:textFill>
        </w:rPr>
        <w:t>用好绩效这一手段，强化预算各环节管理，注重评价结果运用，建立健全现代预算制度。加强行政事业性国有资产管理，稳步推进政府采购制度改革，全面提升财政治理效能。</w:t>
      </w:r>
    </w:p>
    <w:p w14:paraId="47EF1B2E">
      <w:pPr>
        <w:keepNext w:val="0"/>
        <w:keepLines w:val="0"/>
        <w:pageBreakBefore w:val="0"/>
        <w:widowControl w:val="0"/>
        <w:kinsoku/>
        <w:wordWrap/>
        <w:overflowPunct/>
        <w:autoSpaceDE/>
        <w:autoSpaceDN/>
        <w:bidi w:val="0"/>
        <w:spacing w:line="620" w:lineRule="exact"/>
        <w:ind w:firstLine="640" w:firstLineChars="200"/>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楷体_GB2312" w:hAnsi="楷体_GB2312" w:eastAsia="楷体_GB2312" w:cs="楷体_GB2312"/>
          <w:color w:val="000000" w:themeColor="text1"/>
          <w:sz w:val="32"/>
          <w:szCs w:val="32"/>
          <w14:textFill>
            <w14:solidFill>
              <w14:schemeClr w14:val="tx1"/>
            </w14:solidFill>
          </w14:textFill>
        </w:rPr>
        <w:t>（四）筑牢财政安全底线。</w:t>
      </w:r>
      <w:r>
        <w:rPr>
          <w:rFonts w:hint="eastAsia" w:ascii="仿宋_GB2312" w:hAnsi="仿宋_GB2312" w:eastAsia="仿宋_GB2312" w:cs="仿宋_GB2312"/>
          <w:color w:val="000000" w:themeColor="text1"/>
          <w:sz w:val="32"/>
          <w:szCs w:val="32"/>
          <w14:textFill>
            <w14:solidFill>
              <w14:schemeClr w14:val="tx1"/>
            </w14:solidFill>
          </w14:textFill>
        </w:rPr>
        <w:t>坚持“三保”在财政支出中的优先顺序，完善预算审核、动态监控等机制，增强“三保”能力，筑牢兜实“三保”底线。建立政府债务管理机制，将政府债务还本付息纳入预算管理，确保足额偿还；坚决遏止隐性债务增量，采取有力措施化解存量债务，牢牢守住不发生系统性风险底线。</w:t>
      </w:r>
    </w:p>
    <w:p w14:paraId="4C412BA1">
      <w:pPr>
        <w:pStyle w:val="9"/>
        <w:keepNext w:val="0"/>
        <w:keepLines w:val="0"/>
        <w:pageBreakBefore w:val="0"/>
        <w:widowControl w:val="0"/>
        <w:kinsoku/>
        <w:wordWrap/>
        <w:overflowPunct/>
        <w:autoSpaceDE/>
        <w:autoSpaceDN/>
        <w:bidi w:val="0"/>
        <w:spacing w:after="0" w:afterLines="0" w:line="620" w:lineRule="exact"/>
        <w:ind w:left="0" w:leftChars="0" w:firstLine="640"/>
        <w:rPr>
          <w:rFonts w:ascii="仿宋_GB2312" w:hAnsi="仿宋_GB2312" w:eastAsia="仿宋_GB2312" w:cs="仿宋_GB2312"/>
          <w:color w:val="000000" w:themeColor="text1"/>
          <w:sz w:val="32"/>
          <w:szCs w:val="32"/>
          <w14:textFill>
            <w14:solidFill>
              <w14:schemeClr w14:val="tx1"/>
            </w14:solidFill>
          </w14:textFill>
        </w:rPr>
      </w:pPr>
      <w:r>
        <w:rPr>
          <w:rFonts w:hint="eastAsia" w:ascii="楷体_GB2312" w:hAnsi="楷体_GB2312" w:eastAsia="楷体_GB2312" w:cs="楷体_GB2312"/>
          <w:color w:val="000000" w:themeColor="text1"/>
          <w:sz w:val="32"/>
          <w:szCs w:val="32"/>
          <w14:textFill>
            <w14:solidFill>
              <w14:schemeClr w14:val="tx1"/>
            </w14:solidFill>
          </w14:textFill>
        </w:rPr>
        <w:t>（五）提高依法理财水平。</w:t>
      </w:r>
      <w:r>
        <w:rPr>
          <w:rFonts w:hint="eastAsia" w:ascii="仿宋_GB2312" w:hAnsi="仿宋_GB2312" w:eastAsia="仿宋_GB2312" w:cs="仿宋_GB2312"/>
          <w:color w:val="000000" w:themeColor="text1"/>
          <w:sz w:val="32"/>
          <w:szCs w:val="32"/>
          <w14:textFill>
            <w14:solidFill>
              <w14:schemeClr w14:val="tx1"/>
            </w14:solidFill>
          </w14:textFill>
        </w:rPr>
        <w:t>认真贯彻预算法及其实施条例，严格执行区人大审查批准的预算，严禁无预算、超预算支出。</w:t>
      </w:r>
      <w:r>
        <w:rPr>
          <w:rFonts w:hint="eastAsia" w:ascii="仿宋_GB2312" w:hAnsi="仿宋_GB2312" w:eastAsia="仿宋_GB2312" w:cs="仿宋_GB2312"/>
          <w:bCs/>
          <w:color w:val="000000" w:themeColor="text1"/>
          <w:sz w:val="32"/>
          <w:szCs w:val="32"/>
          <w14:textFill>
            <w14:solidFill>
              <w14:schemeClr w14:val="tx1"/>
            </w14:solidFill>
          </w14:textFill>
        </w:rPr>
        <w:t>加强财会监督，加大重点领域监督力度，推动财会监督与各类监督贯通协调，不断提升财会监督效能。深入推进预决算信息公开，细化公开内容，自觉接受人大和社会各界监督，让财政资金在阳光下运行。</w:t>
      </w:r>
    </w:p>
    <w:p w14:paraId="02C76ED6">
      <w:pPr>
        <w:keepNext w:val="0"/>
        <w:keepLines w:val="0"/>
        <w:pageBreakBefore w:val="0"/>
        <w:widowControl w:val="0"/>
        <w:kinsoku/>
        <w:wordWrap/>
        <w:overflowPunct/>
        <w:autoSpaceDE/>
        <w:autoSpaceDN/>
        <w:bidi w:val="0"/>
        <w:spacing w:line="620" w:lineRule="exact"/>
        <w:ind w:firstLine="640" w:firstLineChars="200"/>
        <w:rPr>
          <w:rFonts w:hint="eastAsia" w:ascii="仿宋_GB2312" w:eastAsia="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14:textFill>
            <w14:solidFill>
              <w14:schemeClr w14:val="tx1"/>
            </w14:solidFill>
          </w14:textFill>
        </w:rPr>
        <w:t>各位代表，做好今年财政工作任务艰巨、责任重大。2025年我们将更加紧密团结在以习近平同志为核心的党中央周围，在区委的坚强领导下，在区人大的监督指导下，团结一致，攻坚克难，凝心聚力，奋发进取，</w:t>
      </w:r>
      <w:r>
        <w:rPr>
          <w:rFonts w:hint="eastAsia" w:ascii="仿宋_GB2312" w:eastAsia="仿宋_GB2312"/>
          <w:color w:val="000000" w:themeColor="text1"/>
          <w:sz w:val="32"/>
          <w:szCs w:val="32"/>
          <w14:textFill>
            <w14:solidFill>
              <w14:schemeClr w14:val="tx1"/>
            </w14:solidFill>
          </w14:textFill>
        </w:rPr>
        <w:t>深化财税体制改革，推动财政资金聚力增效，为藁城经济社会高质量发展作出新的更大贡献。</w:t>
      </w:r>
    </w:p>
    <w:p w14:paraId="2E337E84">
      <w:pPr>
        <w:rPr>
          <w:rFonts w:hint="eastAsia"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br w:type="page"/>
      </w:r>
    </w:p>
    <w:p w14:paraId="29F07EE0">
      <w:pPr>
        <w:pStyle w:val="17"/>
        <w:keepNext w:val="0"/>
        <w:keepLines w:val="0"/>
        <w:pageBreakBefore w:val="0"/>
        <w:widowControl w:val="0"/>
        <w:kinsoku/>
        <w:wordWrap/>
        <w:overflowPunct/>
        <w:topLinePunct w:val="0"/>
        <w:autoSpaceDE/>
        <w:autoSpaceDN/>
        <w:bidi w:val="0"/>
        <w:adjustRightInd/>
        <w:snapToGrid/>
        <w:spacing w:line="620" w:lineRule="exact"/>
        <w:ind w:left="0" w:leftChars="0" w:firstLine="0" w:firstLineChars="0"/>
        <w:jc w:val="center"/>
        <w:textAlignment w:val="baseline"/>
        <w:rPr>
          <w:rFonts w:hint="eastAsia" w:ascii="方正小标宋简体" w:hAnsi="方正小标宋简体" w:eastAsia="方正小标宋简体" w:cs="方正小标宋简体"/>
          <w:color w:val="000000" w:themeColor="text1"/>
          <w:sz w:val="24"/>
          <w:szCs w:val="24"/>
          <w:highlight w:val="none"/>
          <w14:textFill>
            <w14:solidFill>
              <w14:schemeClr w14:val="tx1"/>
            </w14:solidFill>
          </w14:textFill>
        </w:rPr>
      </w:pPr>
    </w:p>
    <w:p w14:paraId="3D48E4A0">
      <w:pPr>
        <w:pStyle w:val="17"/>
        <w:keepNext w:val="0"/>
        <w:keepLines w:val="0"/>
        <w:pageBreakBefore w:val="0"/>
        <w:widowControl w:val="0"/>
        <w:kinsoku/>
        <w:wordWrap/>
        <w:overflowPunct/>
        <w:topLinePunct w:val="0"/>
        <w:autoSpaceDE/>
        <w:autoSpaceDN/>
        <w:bidi w:val="0"/>
        <w:adjustRightInd/>
        <w:snapToGrid/>
        <w:spacing w:line="620" w:lineRule="exact"/>
        <w:ind w:left="0" w:leftChars="0" w:firstLine="0" w:firstLineChars="0"/>
        <w:jc w:val="center"/>
        <w:textAlignment w:val="baseline"/>
        <w:rPr>
          <w:rFonts w:hint="eastAsia" w:ascii="方正小标宋简体" w:hAnsi="方正小标宋简体" w:eastAsia="方正小标宋简体" w:cs="方正小标宋简体"/>
          <w:color w:val="000000" w:themeColor="text1"/>
          <w:sz w:val="24"/>
          <w:szCs w:val="24"/>
          <w:highlight w:val="none"/>
          <w14:textFill>
            <w14:solidFill>
              <w14:schemeClr w14:val="tx1"/>
            </w14:solidFill>
          </w14:textFill>
        </w:rPr>
      </w:pPr>
    </w:p>
    <w:p w14:paraId="0BECF209">
      <w:pPr>
        <w:pStyle w:val="17"/>
        <w:keepNext w:val="0"/>
        <w:keepLines w:val="0"/>
        <w:pageBreakBefore w:val="0"/>
        <w:widowControl w:val="0"/>
        <w:kinsoku/>
        <w:wordWrap/>
        <w:overflowPunct/>
        <w:topLinePunct w:val="0"/>
        <w:autoSpaceDE/>
        <w:autoSpaceDN/>
        <w:bidi w:val="0"/>
        <w:adjustRightInd/>
        <w:snapToGrid/>
        <w:spacing w:line="620" w:lineRule="exact"/>
        <w:ind w:left="0" w:leftChars="0" w:firstLine="0" w:firstLineChars="0"/>
        <w:jc w:val="center"/>
        <w:textAlignment w:val="baseline"/>
        <w:rPr>
          <w:rFonts w:hint="eastAsia" w:ascii="方正小标宋简体" w:hAnsi="方正小标宋简体" w:eastAsia="方正小标宋简体" w:cs="方正小标宋简体"/>
          <w:color w:val="000000" w:themeColor="text1"/>
          <w:sz w:val="24"/>
          <w:szCs w:val="24"/>
          <w:highlight w:val="none"/>
          <w14:textFill>
            <w14:solidFill>
              <w14:schemeClr w14:val="tx1"/>
            </w14:solidFill>
          </w14:textFill>
        </w:rPr>
      </w:pPr>
    </w:p>
    <w:p w14:paraId="293AB737">
      <w:pPr>
        <w:pStyle w:val="17"/>
        <w:keepNext w:val="0"/>
        <w:keepLines w:val="0"/>
        <w:pageBreakBefore w:val="0"/>
        <w:widowControl w:val="0"/>
        <w:kinsoku/>
        <w:wordWrap/>
        <w:overflowPunct/>
        <w:topLinePunct w:val="0"/>
        <w:autoSpaceDE/>
        <w:autoSpaceDN/>
        <w:bidi w:val="0"/>
        <w:adjustRightInd/>
        <w:snapToGrid/>
        <w:spacing w:line="620" w:lineRule="exact"/>
        <w:ind w:left="0" w:leftChars="0" w:firstLine="0" w:firstLineChars="0"/>
        <w:jc w:val="center"/>
        <w:textAlignment w:val="baseline"/>
        <w:rPr>
          <w:rFonts w:hint="eastAsia" w:ascii="方正小标宋简体" w:hAnsi="方正小标宋简体" w:eastAsia="方正小标宋简体" w:cs="方正小标宋简体"/>
          <w:color w:val="000000" w:themeColor="text1"/>
          <w:sz w:val="24"/>
          <w:szCs w:val="24"/>
          <w:highlight w:val="none"/>
          <w14:textFill>
            <w14:solidFill>
              <w14:schemeClr w14:val="tx1"/>
            </w14:solidFill>
          </w14:textFill>
        </w:rPr>
      </w:pPr>
    </w:p>
    <w:p w14:paraId="2EF94920">
      <w:pPr>
        <w:pStyle w:val="17"/>
        <w:keepNext w:val="0"/>
        <w:keepLines w:val="0"/>
        <w:pageBreakBefore w:val="0"/>
        <w:widowControl w:val="0"/>
        <w:kinsoku/>
        <w:wordWrap/>
        <w:overflowPunct/>
        <w:topLinePunct w:val="0"/>
        <w:autoSpaceDE/>
        <w:autoSpaceDN/>
        <w:bidi w:val="0"/>
        <w:adjustRightInd/>
        <w:snapToGrid/>
        <w:spacing w:line="620" w:lineRule="exact"/>
        <w:ind w:left="0" w:leftChars="0" w:firstLine="0" w:firstLineChars="0"/>
        <w:jc w:val="center"/>
        <w:textAlignment w:val="baseline"/>
        <w:rPr>
          <w:rFonts w:hint="eastAsia" w:ascii="方正小标宋简体" w:hAnsi="方正小标宋简体" w:eastAsia="方正小标宋简体" w:cs="方正小标宋简体"/>
          <w:color w:val="000000" w:themeColor="text1"/>
          <w:sz w:val="24"/>
          <w:szCs w:val="24"/>
          <w:highlight w:val="none"/>
          <w14:textFill>
            <w14:solidFill>
              <w14:schemeClr w14:val="tx1"/>
            </w14:solidFill>
          </w14:textFill>
        </w:rPr>
      </w:pPr>
    </w:p>
    <w:p w14:paraId="279A502E">
      <w:pPr>
        <w:pStyle w:val="17"/>
        <w:keepNext w:val="0"/>
        <w:keepLines w:val="0"/>
        <w:pageBreakBefore w:val="0"/>
        <w:widowControl w:val="0"/>
        <w:kinsoku/>
        <w:wordWrap/>
        <w:overflowPunct/>
        <w:topLinePunct w:val="0"/>
        <w:autoSpaceDE/>
        <w:autoSpaceDN/>
        <w:bidi w:val="0"/>
        <w:adjustRightInd/>
        <w:snapToGrid/>
        <w:spacing w:line="620" w:lineRule="exact"/>
        <w:ind w:left="0" w:leftChars="0" w:firstLine="0" w:firstLineChars="0"/>
        <w:jc w:val="center"/>
        <w:textAlignment w:val="baseline"/>
        <w:rPr>
          <w:rFonts w:hint="eastAsia" w:ascii="方正小标宋简体" w:hAnsi="方正小标宋简体" w:eastAsia="方正小标宋简体" w:cs="方正小标宋简体"/>
          <w:color w:val="000000" w:themeColor="text1"/>
          <w:sz w:val="24"/>
          <w:szCs w:val="24"/>
          <w:highlight w:val="none"/>
          <w14:textFill>
            <w14:solidFill>
              <w14:schemeClr w14:val="tx1"/>
            </w14:solidFill>
          </w14:textFill>
        </w:rPr>
      </w:pPr>
    </w:p>
    <w:p w14:paraId="2CC6E1C4">
      <w:pPr>
        <w:pStyle w:val="17"/>
        <w:keepNext w:val="0"/>
        <w:keepLines w:val="0"/>
        <w:pageBreakBefore w:val="0"/>
        <w:widowControl w:val="0"/>
        <w:kinsoku/>
        <w:wordWrap/>
        <w:overflowPunct/>
        <w:topLinePunct w:val="0"/>
        <w:autoSpaceDE/>
        <w:autoSpaceDN/>
        <w:bidi w:val="0"/>
        <w:adjustRightInd/>
        <w:snapToGrid/>
        <w:spacing w:line="620" w:lineRule="exact"/>
        <w:ind w:left="0" w:leftChars="0" w:firstLine="0" w:firstLineChars="0"/>
        <w:jc w:val="center"/>
        <w:textAlignment w:val="baseline"/>
        <w:rPr>
          <w:rFonts w:hint="eastAsia" w:ascii="方正小标宋简体" w:hAnsi="方正小标宋简体" w:eastAsia="方正小标宋简体" w:cs="方正小标宋简体"/>
          <w:color w:val="000000" w:themeColor="text1"/>
          <w:sz w:val="44"/>
          <w:szCs w:val="44"/>
          <w:highlight w:val="none"/>
          <w14:textFill>
            <w14:solidFill>
              <w14:schemeClr w14:val="tx1"/>
            </w14:solidFill>
          </w14:textFill>
        </w:rPr>
      </w:pPr>
      <w:r>
        <w:rPr>
          <w:rFonts w:hint="eastAsia" w:ascii="方正小标宋简体" w:hAnsi="方正小标宋简体" w:eastAsia="方正小标宋简体" w:cs="方正小标宋简体"/>
          <w:color w:val="000000" w:themeColor="text1"/>
          <w:sz w:val="44"/>
          <w:szCs w:val="44"/>
          <w:highlight w:val="none"/>
          <w14:textFill>
            <w14:solidFill>
              <w14:schemeClr w14:val="tx1"/>
            </w14:solidFill>
          </w14:textFill>
        </w:rPr>
        <w:t>石家庄市藁城区</w:t>
      </w:r>
    </w:p>
    <w:p w14:paraId="5D9BF95D">
      <w:pPr>
        <w:pStyle w:val="17"/>
        <w:keepNext w:val="0"/>
        <w:keepLines w:val="0"/>
        <w:pageBreakBefore w:val="0"/>
        <w:widowControl w:val="0"/>
        <w:kinsoku/>
        <w:wordWrap/>
        <w:overflowPunct/>
        <w:topLinePunct w:val="0"/>
        <w:autoSpaceDE/>
        <w:autoSpaceDN/>
        <w:bidi w:val="0"/>
        <w:adjustRightInd/>
        <w:snapToGrid/>
        <w:spacing w:line="620" w:lineRule="exact"/>
        <w:ind w:left="0" w:leftChars="0" w:firstLine="0" w:firstLineChars="0"/>
        <w:jc w:val="center"/>
        <w:textAlignment w:val="baseline"/>
        <w:rPr>
          <w:rFonts w:hint="eastAsia" w:ascii="方正小标宋简体" w:hAnsi="方正小标宋简体" w:eastAsia="方正小标宋简体" w:cs="方正小标宋简体"/>
          <w:color w:val="000000" w:themeColor="text1"/>
          <w:sz w:val="44"/>
          <w:szCs w:val="44"/>
          <w:highlight w:val="none"/>
          <w14:textFill>
            <w14:solidFill>
              <w14:schemeClr w14:val="tx1"/>
            </w14:solidFill>
          </w14:textFill>
        </w:rPr>
      </w:pPr>
      <w:r>
        <w:rPr>
          <w:rFonts w:hint="eastAsia" w:ascii="方正小标宋简体" w:hAnsi="方正小标宋简体" w:eastAsia="方正小标宋简体" w:cs="方正小标宋简体"/>
          <w:color w:val="000000" w:themeColor="text1"/>
          <w:sz w:val="44"/>
          <w:szCs w:val="44"/>
          <w:highlight w:val="none"/>
          <w14:textFill>
            <w14:solidFill>
              <w14:schemeClr w14:val="tx1"/>
            </w14:solidFill>
          </w14:textFill>
        </w:rPr>
        <w:t>2024年预算执行情况和</w:t>
      </w:r>
    </w:p>
    <w:p w14:paraId="4662909E">
      <w:pPr>
        <w:pStyle w:val="17"/>
        <w:keepNext w:val="0"/>
        <w:keepLines w:val="0"/>
        <w:pageBreakBefore w:val="0"/>
        <w:widowControl w:val="0"/>
        <w:kinsoku/>
        <w:wordWrap/>
        <w:overflowPunct/>
        <w:topLinePunct w:val="0"/>
        <w:autoSpaceDE/>
        <w:autoSpaceDN/>
        <w:bidi w:val="0"/>
        <w:adjustRightInd/>
        <w:snapToGrid/>
        <w:spacing w:line="620" w:lineRule="exact"/>
        <w:ind w:left="0" w:leftChars="0" w:firstLine="0" w:firstLineChars="0"/>
        <w:jc w:val="center"/>
        <w:textAlignment w:val="baseline"/>
        <w:rPr>
          <w:rFonts w:hint="eastAsia" w:ascii="方正小标宋简体" w:hAnsi="方正小标宋简体" w:eastAsia="方正小标宋简体" w:cs="方正小标宋简体"/>
          <w:color w:val="000000" w:themeColor="text1"/>
          <w:sz w:val="44"/>
          <w:szCs w:val="44"/>
          <w:highlight w:val="none"/>
          <w14:textFill>
            <w14:solidFill>
              <w14:schemeClr w14:val="tx1"/>
            </w14:solidFill>
          </w14:textFill>
        </w:rPr>
      </w:pPr>
      <w:r>
        <w:rPr>
          <w:rFonts w:hint="eastAsia" w:ascii="方正小标宋简体" w:hAnsi="方正小标宋简体" w:eastAsia="方正小标宋简体" w:cs="方正小标宋简体"/>
          <w:color w:val="000000" w:themeColor="text1"/>
          <w:sz w:val="44"/>
          <w:szCs w:val="44"/>
          <w:highlight w:val="none"/>
          <w14:textFill>
            <w14:solidFill>
              <w14:schemeClr w14:val="tx1"/>
            </w14:solidFill>
          </w14:textFill>
        </w:rPr>
        <w:t>2025年预算草案的报告附表</w:t>
      </w:r>
    </w:p>
    <w:p w14:paraId="56CDF6F3">
      <w:pPr>
        <w:overflowPunct w:val="0"/>
        <w:spacing w:line="560" w:lineRule="exact"/>
        <w:ind w:firstLine="640" w:firstLineChars="200"/>
        <w:rPr>
          <w:rFonts w:hint="eastAsia" w:ascii="仿宋_GB2312" w:hAnsi="宋体" w:eastAsia="仿宋_GB2312"/>
          <w:color w:val="000000" w:themeColor="text1"/>
          <w:sz w:val="32"/>
          <w:szCs w:val="32"/>
          <w14:textFill>
            <w14:solidFill>
              <w14:schemeClr w14:val="tx1"/>
            </w14:solidFill>
          </w14:textFill>
        </w:rPr>
      </w:pPr>
    </w:p>
    <w:p w14:paraId="13895FB3">
      <w:pPr>
        <w:pStyle w:val="26"/>
        <w:rPr>
          <w:rFonts w:ascii="仿宋_GB2312" w:eastAsia="仿宋_GB2312"/>
          <w:color w:val="000000" w:themeColor="text1"/>
          <w:sz w:val="32"/>
          <w:szCs w:val="32"/>
          <w14:textFill>
            <w14:solidFill>
              <w14:schemeClr w14:val="tx1"/>
            </w14:solidFill>
          </w14:textFill>
        </w:rPr>
      </w:pPr>
    </w:p>
    <w:p w14:paraId="355209DF">
      <w:pPr>
        <w:rPr>
          <w:rFonts w:hint="eastAsia"/>
          <w:color w:val="000000" w:themeColor="text1"/>
          <w:lang w:eastAsia="zh-CN"/>
          <w14:textFill>
            <w14:solidFill>
              <w14:schemeClr w14:val="tx1"/>
            </w14:solidFill>
          </w14:textFill>
        </w:rPr>
        <w:sectPr>
          <w:footerReference r:id="rId3" w:type="default"/>
          <w:pgSz w:w="11906" w:h="16838"/>
          <w:pgMar w:top="1531" w:right="1559" w:bottom="2268" w:left="1559" w:header="851" w:footer="1701" w:gutter="0"/>
          <w:pgNumType w:fmt="decimal"/>
          <w:cols w:space="0" w:num="1"/>
          <w:rtlGutter w:val="0"/>
          <w:docGrid w:type="lines" w:linePitch="449" w:charSpace="0"/>
        </w:sectPr>
      </w:pPr>
    </w:p>
    <w:p w14:paraId="5FBDB703">
      <w:pPr>
        <w:rPr>
          <w:rFonts w:hint="eastAsia"/>
          <w:color w:val="000000" w:themeColor="text1"/>
          <w:lang w:eastAsia="zh-CN"/>
          <w14:textFill>
            <w14:solidFill>
              <w14:schemeClr w14:val="tx1"/>
            </w14:solidFill>
          </w14:textFill>
        </w:rPr>
        <w:sectPr>
          <w:footerReference r:id="rId4" w:type="default"/>
          <w:pgSz w:w="11906" w:h="16838"/>
          <w:pgMar w:top="1531" w:right="1559" w:bottom="2268" w:left="1559" w:header="851" w:footer="1701" w:gutter="0"/>
          <w:pgNumType w:fmt="decimal"/>
          <w:cols w:space="0" w:num="1"/>
          <w:rtlGutter w:val="0"/>
          <w:docGrid w:type="lines" w:linePitch="449" w:charSpace="0"/>
        </w:sectPr>
      </w:pPr>
    </w:p>
    <w:p w14:paraId="1E0A99FC">
      <w:pPr>
        <w:pStyle w:val="4"/>
        <w:rPr>
          <w:color w:val="000000" w:themeColor="text1"/>
          <w14:textFill>
            <w14:solidFill>
              <w14:schemeClr w14:val="tx1"/>
            </w14:solidFill>
          </w14:textFill>
        </w:rPr>
      </w:pPr>
    </w:p>
    <w:p w14:paraId="3F218FB9">
      <w:pPr>
        <w:pStyle w:val="4"/>
        <w:jc w:val="center"/>
        <w:rPr>
          <w:rFonts w:hint="eastAsia" w:ascii="方正小标宋简体" w:hAnsi="方正小标宋简体" w:eastAsia="方正小标宋简体" w:cs="方正小标宋简体"/>
          <w:color w:val="000000" w:themeColor="text1"/>
          <w:sz w:val="44"/>
          <w:szCs w:val="44"/>
          <w:highlight w:val="none"/>
          <w14:textFill>
            <w14:solidFill>
              <w14:schemeClr w14:val="tx1"/>
            </w14:solidFill>
          </w14:textFill>
        </w:rPr>
      </w:pPr>
      <w:r>
        <w:rPr>
          <w:rFonts w:hint="eastAsia"/>
          <w:b/>
          <w:bCs/>
          <w:color w:val="000000" w:themeColor="text1"/>
          <w:sz w:val="40"/>
          <w:szCs w:val="40"/>
          <w:lang w:eastAsia="zh-CN"/>
          <w14:textFill>
            <w14:solidFill>
              <w14:schemeClr w14:val="tx1"/>
            </w14:solidFill>
          </w14:textFill>
        </w:rPr>
        <w:t>目</w:t>
      </w:r>
      <w:r>
        <w:rPr>
          <w:rFonts w:hint="eastAsia"/>
          <w:b/>
          <w:bCs/>
          <w:color w:val="000000" w:themeColor="text1"/>
          <w:sz w:val="40"/>
          <w:szCs w:val="40"/>
          <w:lang w:val="en-US" w:eastAsia="zh-CN"/>
          <w14:textFill>
            <w14:solidFill>
              <w14:schemeClr w14:val="tx1"/>
            </w14:solidFill>
          </w14:textFill>
        </w:rPr>
        <w:t xml:space="preserve">  </w:t>
      </w:r>
      <w:r>
        <w:rPr>
          <w:rFonts w:hint="eastAsia"/>
          <w:b/>
          <w:bCs/>
          <w:color w:val="000000" w:themeColor="text1"/>
          <w:sz w:val="40"/>
          <w:szCs w:val="40"/>
          <w:lang w:eastAsia="zh-CN"/>
          <w14:textFill>
            <w14:solidFill>
              <w14:schemeClr w14:val="tx1"/>
            </w14:solidFill>
          </w14:textFill>
        </w:rPr>
        <w:t>录</w:t>
      </w:r>
    </w:p>
    <w:p w14:paraId="56F20CFA">
      <w:pPr>
        <w:pStyle w:val="17"/>
        <w:keepNext w:val="0"/>
        <w:keepLines w:val="0"/>
        <w:pageBreakBefore w:val="0"/>
        <w:widowControl w:val="0"/>
        <w:kinsoku/>
        <w:wordWrap/>
        <w:overflowPunct/>
        <w:topLinePunct w:val="0"/>
        <w:autoSpaceDE/>
        <w:autoSpaceDN/>
        <w:bidi w:val="0"/>
        <w:adjustRightInd/>
        <w:snapToGrid/>
        <w:spacing w:line="620" w:lineRule="exact"/>
        <w:ind w:left="0" w:leftChars="0" w:firstLine="0" w:firstLineChars="0"/>
        <w:jc w:val="center"/>
        <w:textAlignment w:val="baseline"/>
        <w:rPr>
          <w:rFonts w:hint="eastAsia" w:ascii="方正小标宋简体" w:hAnsi="方正小标宋简体" w:eastAsia="方正小标宋简体" w:cs="方正小标宋简体"/>
          <w:color w:val="000000" w:themeColor="text1"/>
          <w:sz w:val="44"/>
          <w:szCs w:val="44"/>
          <w:highlight w:val="none"/>
          <w14:textFill>
            <w14:solidFill>
              <w14:schemeClr w14:val="tx1"/>
            </w14:solidFill>
          </w14:textFill>
        </w:rPr>
      </w:pPr>
    </w:p>
    <w:tbl>
      <w:tblPr>
        <w:tblStyle w:val="10"/>
        <w:tblW w:w="7761"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846"/>
        <w:gridCol w:w="390"/>
        <w:gridCol w:w="6525"/>
      </w:tblGrid>
      <w:tr w14:paraId="02F750B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9" w:hRule="atLeast"/>
          <w:jc w:val="center"/>
        </w:trPr>
        <w:tc>
          <w:tcPr>
            <w:tcW w:w="846" w:type="dxa"/>
            <w:tcBorders>
              <w:top w:val="nil"/>
              <w:left w:val="nil"/>
              <w:bottom w:val="nil"/>
              <w:right w:val="nil"/>
            </w:tcBorders>
            <w:shd w:val="clear" w:color="auto" w:fill="auto"/>
            <w:noWrap/>
            <w:vAlign w:val="center"/>
          </w:tcPr>
          <w:p w14:paraId="0258BD98">
            <w:pPr>
              <w:keepNext w:val="0"/>
              <w:keepLines w:val="0"/>
              <w:widowControl/>
              <w:suppressLineNumbers w:val="0"/>
              <w:jc w:val="both"/>
              <w:textAlignment w:val="bottom"/>
              <w:rPr>
                <w:rFonts w:hint="eastAsia" w:ascii="宋体" w:hAnsi="宋体" w:eastAsia="宋体" w:cs="宋体"/>
                <w:i w:val="0"/>
                <w:iCs w:val="0"/>
                <w:color w:val="000000" w:themeColor="text1"/>
                <w:sz w:val="28"/>
                <w:szCs w:val="28"/>
                <w:u w:val="none"/>
                <w14:textFill>
                  <w14:solidFill>
                    <w14:schemeClr w14:val="tx1"/>
                  </w14:solidFill>
                </w14:textFill>
              </w:rPr>
            </w:pPr>
            <w:r>
              <w:rPr>
                <w:rFonts w:hint="eastAsia" w:ascii="宋体" w:hAnsi="宋体" w:eastAsia="宋体" w:cs="宋体"/>
                <w:i w:val="0"/>
                <w:iCs w:val="0"/>
                <w:color w:val="000000" w:themeColor="text1"/>
                <w:kern w:val="0"/>
                <w:sz w:val="28"/>
                <w:szCs w:val="28"/>
                <w:u w:val="none"/>
                <w:lang w:val="en-US" w:eastAsia="zh-CN" w:bidi="ar"/>
                <w14:textFill>
                  <w14:solidFill>
                    <w14:schemeClr w14:val="tx1"/>
                  </w14:solidFill>
                </w14:textFill>
              </w:rPr>
              <w:t>表1</w:t>
            </w:r>
          </w:p>
        </w:tc>
        <w:tc>
          <w:tcPr>
            <w:tcW w:w="390" w:type="dxa"/>
            <w:tcBorders>
              <w:top w:val="nil"/>
              <w:left w:val="nil"/>
              <w:bottom w:val="nil"/>
              <w:right w:val="nil"/>
            </w:tcBorders>
            <w:shd w:val="clear" w:color="auto" w:fill="auto"/>
            <w:noWrap/>
            <w:vAlign w:val="center"/>
          </w:tcPr>
          <w:p w14:paraId="1CF13241">
            <w:pPr>
              <w:keepNext w:val="0"/>
              <w:keepLines w:val="0"/>
              <w:widowControl/>
              <w:suppressLineNumbers w:val="0"/>
              <w:jc w:val="both"/>
              <w:textAlignment w:val="bottom"/>
              <w:rPr>
                <w:rFonts w:hint="eastAsia" w:ascii="宋体" w:hAnsi="宋体" w:eastAsia="宋体" w:cs="宋体"/>
                <w:i w:val="0"/>
                <w:iCs w:val="0"/>
                <w:color w:val="000000" w:themeColor="text1"/>
                <w:sz w:val="28"/>
                <w:szCs w:val="28"/>
                <w:u w:val="none"/>
                <w14:textFill>
                  <w14:solidFill>
                    <w14:schemeClr w14:val="tx1"/>
                  </w14:solidFill>
                </w14:textFill>
              </w:rPr>
            </w:pPr>
            <w:r>
              <w:rPr>
                <w:rFonts w:hint="eastAsia" w:ascii="宋体" w:hAnsi="宋体" w:eastAsia="宋体" w:cs="宋体"/>
                <w:i w:val="0"/>
                <w:iCs w:val="0"/>
                <w:color w:val="000000" w:themeColor="text1"/>
                <w:kern w:val="0"/>
                <w:sz w:val="28"/>
                <w:szCs w:val="28"/>
                <w:u w:val="none"/>
                <w:lang w:val="en-US" w:eastAsia="zh-CN" w:bidi="ar"/>
                <w14:textFill>
                  <w14:solidFill>
                    <w14:schemeClr w14:val="tx1"/>
                  </w14:solidFill>
                </w14:textFill>
              </w:rPr>
              <w:t>-</w:t>
            </w:r>
          </w:p>
        </w:tc>
        <w:tc>
          <w:tcPr>
            <w:tcW w:w="6525" w:type="dxa"/>
            <w:tcBorders>
              <w:top w:val="nil"/>
              <w:left w:val="nil"/>
              <w:bottom w:val="nil"/>
              <w:right w:val="nil"/>
            </w:tcBorders>
            <w:shd w:val="clear" w:color="auto" w:fill="auto"/>
            <w:noWrap/>
            <w:vAlign w:val="center"/>
          </w:tcPr>
          <w:p w14:paraId="08BB645A">
            <w:pPr>
              <w:keepNext w:val="0"/>
              <w:keepLines w:val="0"/>
              <w:widowControl/>
              <w:suppressLineNumbers w:val="0"/>
              <w:jc w:val="both"/>
              <w:textAlignment w:val="bottom"/>
              <w:rPr>
                <w:rFonts w:hint="eastAsia" w:ascii="宋体" w:hAnsi="宋体" w:eastAsia="宋体" w:cs="宋体"/>
                <w:i w:val="0"/>
                <w:iCs w:val="0"/>
                <w:color w:val="000000" w:themeColor="text1"/>
                <w:sz w:val="28"/>
                <w:szCs w:val="28"/>
                <w:u w:val="none"/>
                <w14:textFill>
                  <w14:solidFill>
                    <w14:schemeClr w14:val="tx1"/>
                  </w14:solidFill>
                </w14:textFill>
              </w:rPr>
            </w:pPr>
            <w:r>
              <w:rPr>
                <w:rFonts w:hint="eastAsia" w:ascii="宋体" w:hAnsi="宋体" w:eastAsia="宋体" w:cs="宋体"/>
                <w:i w:val="0"/>
                <w:iCs w:val="0"/>
                <w:color w:val="000000" w:themeColor="text1"/>
                <w:kern w:val="0"/>
                <w:sz w:val="28"/>
                <w:szCs w:val="28"/>
                <w:u w:val="none"/>
                <w:lang w:val="en-US" w:eastAsia="zh-CN" w:bidi="ar"/>
                <w14:textFill>
                  <w14:solidFill>
                    <w14:schemeClr w14:val="tx1"/>
                  </w14:solidFill>
                </w14:textFill>
              </w:rPr>
              <w:t>2024年区级一般公共预算收入完成情况表</w:t>
            </w:r>
          </w:p>
        </w:tc>
      </w:tr>
      <w:tr w14:paraId="0A96CA7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9" w:hRule="atLeast"/>
          <w:jc w:val="center"/>
        </w:trPr>
        <w:tc>
          <w:tcPr>
            <w:tcW w:w="846" w:type="dxa"/>
            <w:tcBorders>
              <w:top w:val="nil"/>
              <w:left w:val="nil"/>
              <w:bottom w:val="nil"/>
              <w:right w:val="nil"/>
            </w:tcBorders>
            <w:shd w:val="clear" w:color="auto" w:fill="auto"/>
            <w:noWrap/>
            <w:vAlign w:val="center"/>
          </w:tcPr>
          <w:p w14:paraId="178A8B16">
            <w:pPr>
              <w:keepNext w:val="0"/>
              <w:keepLines w:val="0"/>
              <w:widowControl/>
              <w:suppressLineNumbers w:val="0"/>
              <w:jc w:val="both"/>
              <w:textAlignment w:val="bottom"/>
              <w:rPr>
                <w:rFonts w:hint="eastAsia" w:ascii="宋体" w:hAnsi="宋体" w:eastAsia="宋体" w:cs="宋体"/>
                <w:i w:val="0"/>
                <w:iCs w:val="0"/>
                <w:color w:val="000000" w:themeColor="text1"/>
                <w:sz w:val="28"/>
                <w:szCs w:val="28"/>
                <w:u w:val="none"/>
                <w14:textFill>
                  <w14:solidFill>
                    <w14:schemeClr w14:val="tx1"/>
                  </w14:solidFill>
                </w14:textFill>
              </w:rPr>
            </w:pPr>
            <w:r>
              <w:rPr>
                <w:rFonts w:hint="eastAsia" w:ascii="宋体" w:hAnsi="宋体" w:eastAsia="宋体" w:cs="宋体"/>
                <w:i w:val="0"/>
                <w:iCs w:val="0"/>
                <w:color w:val="000000" w:themeColor="text1"/>
                <w:kern w:val="0"/>
                <w:sz w:val="28"/>
                <w:szCs w:val="28"/>
                <w:u w:val="none"/>
                <w:lang w:val="en-US" w:eastAsia="zh-CN" w:bidi="ar"/>
                <w14:textFill>
                  <w14:solidFill>
                    <w14:schemeClr w14:val="tx1"/>
                  </w14:solidFill>
                </w14:textFill>
              </w:rPr>
              <w:t>表2</w:t>
            </w:r>
          </w:p>
        </w:tc>
        <w:tc>
          <w:tcPr>
            <w:tcW w:w="390" w:type="dxa"/>
            <w:tcBorders>
              <w:top w:val="nil"/>
              <w:left w:val="nil"/>
              <w:bottom w:val="nil"/>
              <w:right w:val="nil"/>
            </w:tcBorders>
            <w:shd w:val="clear" w:color="auto" w:fill="auto"/>
            <w:noWrap/>
            <w:vAlign w:val="center"/>
          </w:tcPr>
          <w:p w14:paraId="09084C19">
            <w:pPr>
              <w:keepNext w:val="0"/>
              <w:keepLines w:val="0"/>
              <w:widowControl/>
              <w:suppressLineNumbers w:val="0"/>
              <w:jc w:val="both"/>
              <w:textAlignment w:val="bottom"/>
              <w:rPr>
                <w:rFonts w:hint="eastAsia" w:ascii="宋体" w:hAnsi="宋体" w:eastAsia="宋体" w:cs="宋体"/>
                <w:i w:val="0"/>
                <w:iCs w:val="0"/>
                <w:color w:val="000000" w:themeColor="text1"/>
                <w:sz w:val="28"/>
                <w:szCs w:val="28"/>
                <w:u w:val="none"/>
                <w14:textFill>
                  <w14:solidFill>
                    <w14:schemeClr w14:val="tx1"/>
                  </w14:solidFill>
                </w14:textFill>
              </w:rPr>
            </w:pPr>
            <w:r>
              <w:rPr>
                <w:rFonts w:hint="eastAsia" w:ascii="宋体" w:hAnsi="宋体" w:eastAsia="宋体" w:cs="宋体"/>
                <w:i w:val="0"/>
                <w:iCs w:val="0"/>
                <w:color w:val="000000" w:themeColor="text1"/>
                <w:kern w:val="0"/>
                <w:sz w:val="28"/>
                <w:szCs w:val="28"/>
                <w:u w:val="none"/>
                <w:lang w:val="en-US" w:eastAsia="zh-CN" w:bidi="ar"/>
                <w14:textFill>
                  <w14:solidFill>
                    <w14:schemeClr w14:val="tx1"/>
                  </w14:solidFill>
                </w14:textFill>
              </w:rPr>
              <w:t>-</w:t>
            </w:r>
          </w:p>
        </w:tc>
        <w:tc>
          <w:tcPr>
            <w:tcW w:w="6525" w:type="dxa"/>
            <w:tcBorders>
              <w:top w:val="nil"/>
              <w:left w:val="nil"/>
              <w:bottom w:val="nil"/>
              <w:right w:val="nil"/>
            </w:tcBorders>
            <w:shd w:val="clear" w:color="auto" w:fill="auto"/>
            <w:noWrap/>
            <w:vAlign w:val="center"/>
          </w:tcPr>
          <w:p w14:paraId="408A532F">
            <w:pPr>
              <w:keepNext w:val="0"/>
              <w:keepLines w:val="0"/>
              <w:widowControl/>
              <w:suppressLineNumbers w:val="0"/>
              <w:jc w:val="both"/>
              <w:textAlignment w:val="bottom"/>
              <w:rPr>
                <w:rFonts w:hint="eastAsia" w:ascii="宋体" w:hAnsi="宋体" w:eastAsia="宋体" w:cs="宋体"/>
                <w:i w:val="0"/>
                <w:iCs w:val="0"/>
                <w:color w:val="000000" w:themeColor="text1"/>
                <w:sz w:val="28"/>
                <w:szCs w:val="28"/>
                <w:u w:val="none"/>
                <w14:textFill>
                  <w14:solidFill>
                    <w14:schemeClr w14:val="tx1"/>
                  </w14:solidFill>
                </w14:textFill>
              </w:rPr>
            </w:pPr>
            <w:r>
              <w:rPr>
                <w:rFonts w:hint="eastAsia" w:ascii="宋体" w:hAnsi="宋体" w:eastAsia="宋体" w:cs="宋体"/>
                <w:i w:val="0"/>
                <w:iCs w:val="0"/>
                <w:color w:val="000000" w:themeColor="text1"/>
                <w:kern w:val="0"/>
                <w:sz w:val="28"/>
                <w:szCs w:val="28"/>
                <w:u w:val="none"/>
                <w:lang w:val="en-US" w:eastAsia="zh-CN" w:bidi="ar"/>
                <w14:textFill>
                  <w14:solidFill>
                    <w14:schemeClr w14:val="tx1"/>
                  </w14:solidFill>
                </w14:textFill>
              </w:rPr>
              <w:t>2024年区级一般公共预算支出完成情况表</w:t>
            </w:r>
          </w:p>
        </w:tc>
      </w:tr>
      <w:tr w14:paraId="0B953D9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9" w:hRule="atLeast"/>
          <w:jc w:val="center"/>
        </w:trPr>
        <w:tc>
          <w:tcPr>
            <w:tcW w:w="846" w:type="dxa"/>
            <w:tcBorders>
              <w:top w:val="nil"/>
              <w:left w:val="nil"/>
              <w:bottom w:val="nil"/>
              <w:right w:val="nil"/>
            </w:tcBorders>
            <w:shd w:val="clear" w:color="auto" w:fill="auto"/>
            <w:noWrap/>
            <w:vAlign w:val="center"/>
          </w:tcPr>
          <w:p w14:paraId="2E5F9A45">
            <w:pPr>
              <w:keepNext w:val="0"/>
              <w:keepLines w:val="0"/>
              <w:widowControl/>
              <w:suppressLineNumbers w:val="0"/>
              <w:jc w:val="both"/>
              <w:textAlignment w:val="bottom"/>
              <w:rPr>
                <w:rFonts w:hint="eastAsia" w:ascii="宋体" w:hAnsi="宋体" w:eastAsia="宋体" w:cs="宋体"/>
                <w:i w:val="0"/>
                <w:iCs w:val="0"/>
                <w:color w:val="000000" w:themeColor="text1"/>
                <w:sz w:val="28"/>
                <w:szCs w:val="28"/>
                <w:u w:val="none"/>
                <w14:textFill>
                  <w14:solidFill>
                    <w14:schemeClr w14:val="tx1"/>
                  </w14:solidFill>
                </w14:textFill>
              </w:rPr>
            </w:pPr>
            <w:r>
              <w:rPr>
                <w:rFonts w:hint="eastAsia" w:ascii="宋体" w:hAnsi="宋体" w:eastAsia="宋体" w:cs="宋体"/>
                <w:i w:val="0"/>
                <w:iCs w:val="0"/>
                <w:color w:val="000000" w:themeColor="text1"/>
                <w:kern w:val="0"/>
                <w:sz w:val="28"/>
                <w:szCs w:val="28"/>
                <w:u w:val="none"/>
                <w:lang w:val="en-US" w:eastAsia="zh-CN" w:bidi="ar"/>
                <w14:textFill>
                  <w14:solidFill>
                    <w14:schemeClr w14:val="tx1"/>
                  </w14:solidFill>
                </w14:textFill>
              </w:rPr>
              <w:t>表3</w:t>
            </w:r>
          </w:p>
        </w:tc>
        <w:tc>
          <w:tcPr>
            <w:tcW w:w="390" w:type="dxa"/>
            <w:tcBorders>
              <w:top w:val="nil"/>
              <w:left w:val="nil"/>
              <w:bottom w:val="nil"/>
              <w:right w:val="nil"/>
            </w:tcBorders>
            <w:shd w:val="clear" w:color="auto" w:fill="auto"/>
            <w:noWrap/>
            <w:vAlign w:val="center"/>
          </w:tcPr>
          <w:p w14:paraId="744F085C">
            <w:pPr>
              <w:keepNext w:val="0"/>
              <w:keepLines w:val="0"/>
              <w:widowControl/>
              <w:suppressLineNumbers w:val="0"/>
              <w:jc w:val="both"/>
              <w:textAlignment w:val="bottom"/>
              <w:rPr>
                <w:rFonts w:hint="eastAsia" w:ascii="宋体" w:hAnsi="宋体" w:eastAsia="宋体" w:cs="宋体"/>
                <w:i w:val="0"/>
                <w:iCs w:val="0"/>
                <w:color w:val="000000" w:themeColor="text1"/>
                <w:sz w:val="28"/>
                <w:szCs w:val="28"/>
                <w:u w:val="none"/>
                <w14:textFill>
                  <w14:solidFill>
                    <w14:schemeClr w14:val="tx1"/>
                  </w14:solidFill>
                </w14:textFill>
              </w:rPr>
            </w:pPr>
            <w:r>
              <w:rPr>
                <w:rFonts w:hint="eastAsia" w:ascii="宋体" w:hAnsi="宋体" w:eastAsia="宋体" w:cs="宋体"/>
                <w:i w:val="0"/>
                <w:iCs w:val="0"/>
                <w:color w:val="000000" w:themeColor="text1"/>
                <w:kern w:val="0"/>
                <w:sz w:val="28"/>
                <w:szCs w:val="28"/>
                <w:u w:val="none"/>
                <w:lang w:val="en-US" w:eastAsia="zh-CN" w:bidi="ar"/>
                <w14:textFill>
                  <w14:solidFill>
                    <w14:schemeClr w14:val="tx1"/>
                  </w14:solidFill>
                </w14:textFill>
              </w:rPr>
              <w:t>-</w:t>
            </w:r>
          </w:p>
        </w:tc>
        <w:tc>
          <w:tcPr>
            <w:tcW w:w="6525" w:type="dxa"/>
            <w:tcBorders>
              <w:top w:val="nil"/>
              <w:left w:val="nil"/>
              <w:bottom w:val="nil"/>
              <w:right w:val="nil"/>
            </w:tcBorders>
            <w:shd w:val="clear" w:color="auto" w:fill="auto"/>
            <w:noWrap/>
            <w:vAlign w:val="center"/>
          </w:tcPr>
          <w:p w14:paraId="378BA4E9">
            <w:pPr>
              <w:keepNext w:val="0"/>
              <w:keepLines w:val="0"/>
              <w:widowControl/>
              <w:suppressLineNumbers w:val="0"/>
              <w:jc w:val="both"/>
              <w:textAlignment w:val="bottom"/>
              <w:rPr>
                <w:rFonts w:hint="eastAsia" w:ascii="宋体" w:hAnsi="宋体" w:eastAsia="宋体" w:cs="宋体"/>
                <w:i w:val="0"/>
                <w:iCs w:val="0"/>
                <w:color w:val="000000" w:themeColor="text1"/>
                <w:sz w:val="28"/>
                <w:szCs w:val="28"/>
                <w:u w:val="none"/>
                <w14:textFill>
                  <w14:solidFill>
                    <w14:schemeClr w14:val="tx1"/>
                  </w14:solidFill>
                </w14:textFill>
              </w:rPr>
            </w:pPr>
            <w:r>
              <w:rPr>
                <w:rFonts w:hint="eastAsia" w:ascii="宋体" w:hAnsi="宋体" w:eastAsia="宋体" w:cs="宋体"/>
                <w:i w:val="0"/>
                <w:iCs w:val="0"/>
                <w:color w:val="000000" w:themeColor="text1"/>
                <w:kern w:val="0"/>
                <w:sz w:val="28"/>
                <w:szCs w:val="28"/>
                <w:u w:val="none"/>
                <w:lang w:val="en-US" w:eastAsia="zh-CN" w:bidi="ar"/>
                <w14:textFill>
                  <w14:solidFill>
                    <w14:schemeClr w14:val="tx1"/>
                  </w14:solidFill>
                </w14:textFill>
              </w:rPr>
              <w:t>2024年区级政府性基金预算收入完成情况表</w:t>
            </w:r>
          </w:p>
        </w:tc>
      </w:tr>
      <w:tr w14:paraId="4532CA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9" w:hRule="atLeast"/>
          <w:jc w:val="center"/>
        </w:trPr>
        <w:tc>
          <w:tcPr>
            <w:tcW w:w="846" w:type="dxa"/>
            <w:tcBorders>
              <w:top w:val="nil"/>
              <w:left w:val="nil"/>
              <w:bottom w:val="nil"/>
              <w:right w:val="nil"/>
            </w:tcBorders>
            <w:shd w:val="clear" w:color="auto" w:fill="auto"/>
            <w:noWrap/>
            <w:vAlign w:val="center"/>
          </w:tcPr>
          <w:p w14:paraId="5B0A5FA6">
            <w:pPr>
              <w:keepNext w:val="0"/>
              <w:keepLines w:val="0"/>
              <w:widowControl/>
              <w:suppressLineNumbers w:val="0"/>
              <w:jc w:val="both"/>
              <w:textAlignment w:val="bottom"/>
              <w:rPr>
                <w:rFonts w:hint="eastAsia" w:ascii="宋体" w:hAnsi="宋体" w:eastAsia="宋体" w:cs="宋体"/>
                <w:i w:val="0"/>
                <w:iCs w:val="0"/>
                <w:color w:val="000000" w:themeColor="text1"/>
                <w:sz w:val="28"/>
                <w:szCs w:val="28"/>
                <w:u w:val="none"/>
                <w14:textFill>
                  <w14:solidFill>
                    <w14:schemeClr w14:val="tx1"/>
                  </w14:solidFill>
                </w14:textFill>
              </w:rPr>
            </w:pPr>
            <w:r>
              <w:rPr>
                <w:rFonts w:hint="eastAsia" w:ascii="宋体" w:hAnsi="宋体" w:eastAsia="宋体" w:cs="宋体"/>
                <w:i w:val="0"/>
                <w:iCs w:val="0"/>
                <w:color w:val="000000" w:themeColor="text1"/>
                <w:kern w:val="0"/>
                <w:sz w:val="28"/>
                <w:szCs w:val="28"/>
                <w:u w:val="none"/>
                <w:lang w:val="en-US" w:eastAsia="zh-CN" w:bidi="ar"/>
                <w14:textFill>
                  <w14:solidFill>
                    <w14:schemeClr w14:val="tx1"/>
                  </w14:solidFill>
                </w14:textFill>
              </w:rPr>
              <w:t>表4</w:t>
            </w:r>
          </w:p>
        </w:tc>
        <w:tc>
          <w:tcPr>
            <w:tcW w:w="390" w:type="dxa"/>
            <w:tcBorders>
              <w:top w:val="nil"/>
              <w:left w:val="nil"/>
              <w:bottom w:val="nil"/>
              <w:right w:val="nil"/>
            </w:tcBorders>
            <w:shd w:val="clear" w:color="auto" w:fill="auto"/>
            <w:noWrap/>
            <w:vAlign w:val="center"/>
          </w:tcPr>
          <w:p w14:paraId="086A930D">
            <w:pPr>
              <w:keepNext w:val="0"/>
              <w:keepLines w:val="0"/>
              <w:widowControl/>
              <w:suppressLineNumbers w:val="0"/>
              <w:jc w:val="both"/>
              <w:textAlignment w:val="bottom"/>
              <w:rPr>
                <w:rFonts w:hint="eastAsia" w:ascii="宋体" w:hAnsi="宋体" w:eastAsia="宋体" w:cs="宋体"/>
                <w:i w:val="0"/>
                <w:iCs w:val="0"/>
                <w:color w:val="000000" w:themeColor="text1"/>
                <w:sz w:val="28"/>
                <w:szCs w:val="28"/>
                <w:u w:val="none"/>
                <w14:textFill>
                  <w14:solidFill>
                    <w14:schemeClr w14:val="tx1"/>
                  </w14:solidFill>
                </w14:textFill>
              </w:rPr>
            </w:pPr>
            <w:r>
              <w:rPr>
                <w:rFonts w:hint="eastAsia" w:ascii="宋体" w:hAnsi="宋体" w:eastAsia="宋体" w:cs="宋体"/>
                <w:i w:val="0"/>
                <w:iCs w:val="0"/>
                <w:color w:val="000000" w:themeColor="text1"/>
                <w:kern w:val="0"/>
                <w:sz w:val="28"/>
                <w:szCs w:val="28"/>
                <w:u w:val="none"/>
                <w:lang w:val="en-US" w:eastAsia="zh-CN" w:bidi="ar"/>
                <w14:textFill>
                  <w14:solidFill>
                    <w14:schemeClr w14:val="tx1"/>
                  </w14:solidFill>
                </w14:textFill>
              </w:rPr>
              <w:t>-</w:t>
            </w:r>
          </w:p>
        </w:tc>
        <w:tc>
          <w:tcPr>
            <w:tcW w:w="6525" w:type="dxa"/>
            <w:tcBorders>
              <w:top w:val="nil"/>
              <w:left w:val="nil"/>
              <w:bottom w:val="nil"/>
              <w:right w:val="nil"/>
            </w:tcBorders>
            <w:shd w:val="clear" w:color="auto" w:fill="auto"/>
            <w:noWrap/>
            <w:vAlign w:val="center"/>
          </w:tcPr>
          <w:p w14:paraId="208DE913">
            <w:pPr>
              <w:keepNext w:val="0"/>
              <w:keepLines w:val="0"/>
              <w:widowControl/>
              <w:suppressLineNumbers w:val="0"/>
              <w:jc w:val="both"/>
              <w:textAlignment w:val="bottom"/>
              <w:rPr>
                <w:rFonts w:hint="eastAsia" w:ascii="宋体" w:hAnsi="宋体" w:eastAsia="宋体" w:cs="宋体"/>
                <w:i w:val="0"/>
                <w:iCs w:val="0"/>
                <w:color w:val="000000" w:themeColor="text1"/>
                <w:sz w:val="28"/>
                <w:szCs w:val="28"/>
                <w:u w:val="none"/>
                <w14:textFill>
                  <w14:solidFill>
                    <w14:schemeClr w14:val="tx1"/>
                  </w14:solidFill>
                </w14:textFill>
              </w:rPr>
            </w:pPr>
            <w:r>
              <w:rPr>
                <w:rFonts w:hint="eastAsia" w:ascii="宋体" w:hAnsi="宋体" w:eastAsia="宋体" w:cs="宋体"/>
                <w:i w:val="0"/>
                <w:iCs w:val="0"/>
                <w:color w:val="000000" w:themeColor="text1"/>
                <w:kern w:val="0"/>
                <w:sz w:val="28"/>
                <w:szCs w:val="28"/>
                <w:u w:val="none"/>
                <w:lang w:val="en-US" w:eastAsia="zh-CN" w:bidi="ar"/>
                <w14:textFill>
                  <w14:solidFill>
                    <w14:schemeClr w14:val="tx1"/>
                  </w14:solidFill>
                </w14:textFill>
              </w:rPr>
              <w:t>2024年区级政府性基金预算支出完成情况表</w:t>
            </w:r>
          </w:p>
        </w:tc>
      </w:tr>
      <w:tr w14:paraId="78E58F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9" w:hRule="atLeast"/>
          <w:jc w:val="center"/>
        </w:trPr>
        <w:tc>
          <w:tcPr>
            <w:tcW w:w="846" w:type="dxa"/>
            <w:tcBorders>
              <w:top w:val="nil"/>
              <w:left w:val="nil"/>
              <w:bottom w:val="nil"/>
              <w:right w:val="nil"/>
            </w:tcBorders>
            <w:shd w:val="clear" w:color="auto" w:fill="auto"/>
            <w:noWrap/>
            <w:vAlign w:val="center"/>
          </w:tcPr>
          <w:p w14:paraId="290D8A18">
            <w:pPr>
              <w:keepNext w:val="0"/>
              <w:keepLines w:val="0"/>
              <w:widowControl/>
              <w:suppressLineNumbers w:val="0"/>
              <w:jc w:val="both"/>
              <w:textAlignment w:val="bottom"/>
              <w:rPr>
                <w:rFonts w:hint="eastAsia" w:ascii="宋体" w:hAnsi="宋体" w:eastAsia="宋体" w:cs="宋体"/>
                <w:i w:val="0"/>
                <w:iCs w:val="0"/>
                <w:color w:val="000000" w:themeColor="text1"/>
                <w:sz w:val="28"/>
                <w:szCs w:val="28"/>
                <w:u w:val="none"/>
                <w14:textFill>
                  <w14:solidFill>
                    <w14:schemeClr w14:val="tx1"/>
                  </w14:solidFill>
                </w14:textFill>
              </w:rPr>
            </w:pPr>
            <w:r>
              <w:rPr>
                <w:rFonts w:hint="eastAsia" w:ascii="宋体" w:hAnsi="宋体" w:eastAsia="宋体" w:cs="宋体"/>
                <w:i w:val="0"/>
                <w:iCs w:val="0"/>
                <w:color w:val="000000" w:themeColor="text1"/>
                <w:kern w:val="0"/>
                <w:sz w:val="28"/>
                <w:szCs w:val="28"/>
                <w:u w:val="none"/>
                <w:lang w:val="en-US" w:eastAsia="zh-CN" w:bidi="ar"/>
                <w14:textFill>
                  <w14:solidFill>
                    <w14:schemeClr w14:val="tx1"/>
                  </w14:solidFill>
                </w14:textFill>
              </w:rPr>
              <w:t>表5</w:t>
            </w:r>
          </w:p>
        </w:tc>
        <w:tc>
          <w:tcPr>
            <w:tcW w:w="390" w:type="dxa"/>
            <w:tcBorders>
              <w:top w:val="nil"/>
              <w:left w:val="nil"/>
              <w:bottom w:val="nil"/>
              <w:right w:val="nil"/>
            </w:tcBorders>
            <w:shd w:val="clear" w:color="auto" w:fill="auto"/>
            <w:noWrap/>
            <w:vAlign w:val="center"/>
          </w:tcPr>
          <w:p w14:paraId="38D0F618">
            <w:pPr>
              <w:keepNext w:val="0"/>
              <w:keepLines w:val="0"/>
              <w:widowControl/>
              <w:suppressLineNumbers w:val="0"/>
              <w:jc w:val="both"/>
              <w:textAlignment w:val="bottom"/>
              <w:rPr>
                <w:rFonts w:hint="eastAsia" w:ascii="宋体" w:hAnsi="宋体" w:eastAsia="宋体" w:cs="宋体"/>
                <w:i w:val="0"/>
                <w:iCs w:val="0"/>
                <w:color w:val="000000" w:themeColor="text1"/>
                <w:sz w:val="28"/>
                <w:szCs w:val="28"/>
                <w:u w:val="none"/>
                <w14:textFill>
                  <w14:solidFill>
                    <w14:schemeClr w14:val="tx1"/>
                  </w14:solidFill>
                </w14:textFill>
              </w:rPr>
            </w:pPr>
            <w:r>
              <w:rPr>
                <w:rFonts w:hint="eastAsia" w:ascii="宋体" w:hAnsi="宋体" w:eastAsia="宋体" w:cs="宋体"/>
                <w:i w:val="0"/>
                <w:iCs w:val="0"/>
                <w:color w:val="000000" w:themeColor="text1"/>
                <w:kern w:val="0"/>
                <w:sz w:val="28"/>
                <w:szCs w:val="28"/>
                <w:u w:val="none"/>
                <w:lang w:val="en-US" w:eastAsia="zh-CN" w:bidi="ar"/>
                <w14:textFill>
                  <w14:solidFill>
                    <w14:schemeClr w14:val="tx1"/>
                  </w14:solidFill>
                </w14:textFill>
              </w:rPr>
              <w:t>-</w:t>
            </w:r>
          </w:p>
        </w:tc>
        <w:tc>
          <w:tcPr>
            <w:tcW w:w="6525" w:type="dxa"/>
            <w:tcBorders>
              <w:top w:val="nil"/>
              <w:left w:val="nil"/>
              <w:bottom w:val="nil"/>
              <w:right w:val="nil"/>
            </w:tcBorders>
            <w:shd w:val="clear" w:color="auto" w:fill="auto"/>
            <w:noWrap/>
            <w:vAlign w:val="center"/>
          </w:tcPr>
          <w:p w14:paraId="5DD66207">
            <w:pPr>
              <w:keepNext w:val="0"/>
              <w:keepLines w:val="0"/>
              <w:widowControl/>
              <w:suppressLineNumbers w:val="0"/>
              <w:jc w:val="both"/>
              <w:textAlignment w:val="bottom"/>
              <w:rPr>
                <w:rFonts w:hint="eastAsia" w:ascii="宋体" w:hAnsi="宋体" w:eastAsia="宋体" w:cs="宋体"/>
                <w:i w:val="0"/>
                <w:iCs w:val="0"/>
                <w:color w:val="000000" w:themeColor="text1"/>
                <w:sz w:val="28"/>
                <w:szCs w:val="28"/>
                <w:u w:val="none"/>
                <w14:textFill>
                  <w14:solidFill>
                    <w14:schemeClr w14:val="tx1"/>
                  </w14:solidFill>
                </w14:textFill>
              </w:rPr>
            </w:pPr>
            <w:r>
              <w:rPr>
                <w:rFonts w:hint="eastAsia" w:ascii="宋体" w:hAnsi="宋体" w:eastAsia="宋体" w:cs="宋体"/>
                <w:i w:val="0"/>
                <w:iCs w:val="0"/>
                <w:color w:val="000000" w:themeColor="text1"/>
                <w:kern w:val="0"/>
                <w:sz w:val="28"/>
                <w:szCs w:val="28"/>
                <w:u w:val="none"/>
                <w:lang w:val="en-US" w:eastAsia="zh-CN" w:bidi="ar"/>
                <w14:textFill>
                  <w14:solidFill>
                    <w14:schemeClr w14:val="tx1"/>
                  </w14:solidFill>
                </w14:textFill>
              </w:rPr>
              <w:t>2024年区级社保基金预算收入完成情况表</w:t>
            </w:r>
          </w:p>
        </w:tc>
      </w:tr>
      <w:tr w14:paraId="5FBB15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9" w:hRule="atLeast"/>
          <w:jc w:val="center"/>
        </w:trPr>
        <w:tc>
          <w:tcPr>
            <w:tcW w:w="846" w:type="dxa"/>
            <w:tcBorders>
              <w:top w:val="nil"/>
              <w:left w:val="nil"/>
              <w:bottom w:val="nil"/>
              <w:right w:val="nil"/>
            </w:tcBorders>
            <w:shd w:val="clear" w:color="auto" w:fill="auto"/>
            <w:noWrap/>
            <w:vAlign w:val="center"/>
          </w:tcPr>
          <w:p w14:paraId="5A05D0D5">
            <w:pPr>
              <w:keepNext w:val="0"/>
              <w:keepLines w:val="0"/>
              <w:widowControl/>
              <w:suppressLineNumbers w:val="0"/>
              <w:jc w:val="both"/>
              <w:textAlignment w:val="bottom"/>
              <w:rPr>
                <w:rFonts w:hint="eastAsia" w:ascii="宋体" w:hAnsi="宋体" w:eastAsia="宋体" w:cs="宋体"/>
                <w:i w:val="0"/>
                <w:iCs w:val="0"/>
                <w:color w:val="000000" w:themeColor="text1"/>
                <w:sz w:val="28"/>
                <w:szCs w:val="28"/>
                <w:u w:val="none"/>
                <w14:textFill>
                  <w14:solidFill>
                    <w14:schemeClr w14:val="tx1"/>
                  </w14:solidFill>
                </w14:textFill>
              </w:rPr>
            </w:pPr>
            <w:r>
              <w:rPr>
                <w:rFonts w:hint="eastAsia" w:ascii="宋体" w:hAnsi="宋体" w:eastAsia="宋体" w:cs="宋体"/>
                <w:i w:val="0"/>
                <w:iCs w:val="0"/>
                <w:color w:val="000000" w:themeColor="text1"/>
                <w:kern w:val="0"/>
                <w:sz w:val="28"/>
                <w:szCs w:val="28"/>
                <w:u w:val="none"/>
                <w:lang w:val="en-US" w:eastAsia="zh-CN" w:bidi="ar"/>
                <w14:textFill>
                  <w14:solidFill>
                    <w14:schemeClr w14:val="tx1"/>
                  </w14:solidFill>
                </w14:textFill>
              </w:rPr>
              <w:t>表6</w:t>
            </w:r>
          </w:p>
        </w:tc>
        <w:tc>
          <w:tcPr>
            <w:tcW w:w="390" w:type="dxa"/>
            <w:tcBorders>
              <w:top w:val="nil"/>
              <w:left w:val="nil"/>
              <w:bottom w:val="nil"/>
              <w:right w:val="nil"/>
            </w:tcBorders>
            <w:shd w:val="clear" w:color="auto" w:fill="auto"/>
            <w:noWrap/>
            <w:vAlign w:val="center"/>
          </w:tcPr>
          <w:p w14:paraId="7CADBF71">
            <w:pPr>
              <w:keepNext w:val="0"/>
              <w:keepLines w:val="0"/>
              <w:widowControl/>
              <w:suppressLineNumbers w:val="0"/>
              <w:jc w:val="both"/>
              <w:textAlignment w:val="bottom"/>
              <w:rPr>
                <w:rFonts w:hint="eastAsia" w:ascii="宋体" w:hAnsi="宋体" w:eastAsia="宋体" w:cs="宋体"/>
                <w:i w:val="0"/>
                <w:iCs w:val="0"/>
                <w:color w:val="000000" w:themeColor="text1"/>
                <w:sz w:val="28"/>
                <w:szCs w:val="28"/>
                <w:u w:val="none"/>
                <w14:textFill>
                  <w14:solidFill>
                    <w14:schemeClr w14:val="tx1"/>
                  </w14:solidFill>
                </w14:textFill>
              </w:rPr>
            </w:pPr>
            <w:r>
              <w:rPr>
                <w:rFonts w:hint="eastAsia" w:ascii="宋体" w:hAnsi="宋体" w:eastAsia="宋体" w:cs="宋体"/>
                <w:i w:val="0"/>
                <w:iCs w:val="0"/>
                <w:color w:val="000000" w:themeColor="text1"/>
                <w:kern w:val="0"/>
                <w:sz w:val="28"/>
                <w:szCs w:val="28"/>
                <w:u w:val="none"/>
                <w:lang w:val="en-US" w:eastAsia="zh-CN" w:bidi="ar"/>
                <w14:textFill>
                  <w14:solidFill>
                    <w14:schemeClr w14:val="tx1"/>
                  </w14:solidFill>
                </w14:textFill>
              </w:rPr>
              <w:t>-</w:t>
            </w:r>
          </w:p>
        </w:tc>
        <w:tc>
          <w:tcPr>
            <w:tcW w:w="6525" w:type="dxa"/>
            <w:tcBorders>
              <w:top w:val="nil"/>
              <w:left w:val="nil"/>
              <w:bottom w:val="nil"/>
              <w:right w:val="nil"/>
            </w:tcBorders>
            <w:shd w:val="clear" w:color="auto" w:fill="auto"/>
            <w:noWrap/>
            <w:vAlign w:val="center"/>
          </w:tcPr>
          <w:p w14:paraId="3AF1B341">
            <w:pPr>
              <w:keepNext w:val="0"/>
              <w:keepLines w:val="0"/>
              <w:widowControl/>
              <w:suppressLineNumbers w:val="0"/>
              <w:jc w:val="both"/>
              <w:textAlignment w:val="bottom"/>
              <w:rPr>
                <w:rFonts w:hint="eastAsia" w:ascii="宋体" w:hAnsi="宋体" w:eastAsia="宋体" w:cs="宋体"/>
                <w:i w:val="0"/>
                <w:iCs w:val="0"/>
                <w:color w:val="000000" w:themeColor="text1"/>
                <w:sz w:val="28"/>
                <w:szCs w:val="28"/>
                <w:u w:val="none"/>
                <w14:textFill>
                  <w14:solidFill>
                    <w14:schemeClr w14:val="tx1"/>
                  </w14:solidFill>
                </w14:textFill>
              </w:rPr>
            </w:pPr>
            <w:r>
              <w:rPr>
                <w:rFonts w:hint="eastAsia" w:ascii="宋体" w:hAnsi="宋体" w:eastAsia="宋体" w:cs="宋体"/>
                <w:i w:val="0"/>
                <w:iCs w:val="0"/>
                <w:color w:val="000000" w:themeColor="text1"/>
                <w:kern w:val="0"/>
                <w:sz w:val="28"/>
                <w:szCs w:val="28"/>
                <w:u w:val="none"/>
                <w:lang w:val="en-US" w:eastAsia="zh-CN" w:bidi="ar"/>
                <w14:textFill>
                  <w14:solidFill>
                    <w14:schemeClr w14:val="tx1"/>
                  </w14:solidFill>
                </w14:textFill>
              </w:rPr>
              <w:t>2024年区级社保基金预算支出完成情况表</w:t>
            </w:r>
          </w:p>
        </w:tc>
      </w:tr>
      <w:tr w14:paraId="0D04D0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9" w:hRule="atLeast"/>
          <w:jc w:val="center"/>
        </w:trPr>
        <w:tc>
          <w:tcPr>
            <w:tcW w:w="846" w:type="dxa"/>
            <w:tcBorders>
              <w:top w:val="nil"/>
              <w:left w:val="nil"/>
              <w:bottom w:val="nil"/>
              <w:right w:val="nil"/>
            </w:tcBorders>
            <w:shd w:val="clear" w:color="auto" w:fill="auto"/>
            <w:noWrap/>
            <w:vAlign w:val="center"/>
          </w:tcPr>
          <w:p w14:paraId="386771E2">
            <w:pPr>
              <w:keepNext w:val="0"/>
              <w:keepLines w:val="0"/>
              <w:widowControl/>
              <w:suppressLineNumbers w:val="0"/>
              <w:jc w:val="both"/>
              <w:textAlignment w:val="bottom"/>
              <w:rPr>
                <w:rFonts w:hint="eastAsia" w:ascii="宋体" w:hAnsi="宋体" w:eastAsia="宋体" w:cs="宋体"/>
                <w:i w:val="0"/>
                <w:iCs w:val="0"/>
                <w:color w:val="000000" w:themeColor="text1"/>
                <w:sz w:val="28"/>
                <w:szCs w:val="28"/>
                <w:u w:val="none"/>
                <w14:textFill>
                  <w14:solidFill>
                    <w14:schemeClr w14:val="tx1"/>
                  </w14:solidFill>
                </w14:textFill>
              </w:rPr>
            </w:pPr>
            <w:r>
              <w:rPr>
                <w:rFonts w:hint="eastAsia" w:ascii="宋体" w:hAnsi="宋体" w:eastAsia="宋体" w:cs="宋体"/>
                <w:i w:val="0"/>
                <w:iCs w:val="0"/>
                <w:color w:val="000000" w:themeColor="text1"/>
                <w:kern w:val="0"/>
                <w:sz w:val="28"/>
                <w:szCs w:val="28"/>
                <w:u w:val="none"/>
                <w:lang w:val="en-US" w:eastAsia="zh-CN" w:bidi="ar"/>
                <w14:textFill>
                  <w14:solidFill>
                    <w14:schemeClr w14:val="tx1"/>
                  </w14:solidFill>
                </w14:textFill>
              </w:rPr>
              <w:t>表7</w:t>
            </w:r>
          </w:p>
        </w:tc>
        <w:tc>
          <w:tcPr>
            <w:tcW w:w="390" w:type="dxa"/>
            <w:tcBorders>
              <w:top w:val="nil"/>
              <w:left w:val="nil"/>
              <w:bottom w:val="nil"/>
              <w:right w:val="nil"/>
            </w:tcBorders>
            <w:shd w:val="clear" w:color="auto" w:fill="auto"/>
            <w:noWrap/>
            <w:vAlign w:val="center"/>
          </w:tcPr>
          <w:p w14:paraId="7F60C73C">
            <w:pPr>
              <w:keepNext w:val="0"/>
              <w:keepLines w:val="0"/>
              <w:widowControl/>
              <w:suppressLineNumbers w:val="0"/>
              <w:jc w:val="both"/>
              <w:textAlignment w:val="bottom"/>
              <w:rPr>
                <w:rFonts w:hint="eastAsia" w:ascii="宋体" w:hAnsi="宋体" w:eastAsia="宋体" w:cs="宋体"/>
                <w:i w:val="0"/>
                <w:iCs w:val="0"/>
                <w:color w:val="000000" w:themeColor="text1"/>
                <w:sz w:val="28"/>
                <w:szCs w:val="28"/>
                <w:u w:val="none"/>
                <w14:textFill>
                  <w14:solidFill>
                    <w14:schemeClr w14:val="tx1"/>
                  </w14:solidFill>
                </w14:textFill>
              </w:rPr>
            </w:pPr>
            <w:r>
              <w:rPr>
                <w:rFonts w:hint="eastAsia" w:ascii="宋体" w:hAnsi="宋体" w:eastAsia="宋体" w:cs="宋体"/>
                <w:i w:val="0"/>
                <w:iCs w:val="0"/>
                <w:color w:val="000000" w:themeColor="text1"/>
                <w:kern w:val="0"/>
                <w:sz w:val="28"/>
                <w:szCs w:val="28"/>
                <w:u w:val="none"/>
                <w:lang w:val="en-US" w:eastAsia="zh-CN" w:bidi="ar"/>
                <w14:textFill>
                  <w14:solidFill>
                    <w14:schemeClr w14:val="tx1"/>
                  </w14:solidFill>
                </w14:textFill>
              </w:rPr>
              <w:t>-</w:t>
            </w:r>
          </w:p>
        </w:tc>
        <w:tc>
          <w:tcPr>
            <w:tcW w:w="6525" w:type="dxa"/>
            <w:tcBorders>
              <w:top w:val="nil"/>
              <w:left w:val="nil"/>
              <w:bottom w:val="nil"/>
              <w:right w:val="nil"/>
            </w:tcBorders>
            <w:shd w:val="clear" w:color="auto" w:fill="auto"/>
            <w:noWrap/>
            <w:vAlign w:val="center"/>
          </w:tcPr>
          <w:p w14:paraId="4E899762">
            <w:pPr>
              <w:keepNext w:val="0"/>
              <w:keepLines w:val="0"/>
              <w:widowControl/>
              <w:suppressLineNumbers w:val="0"/>
              <w:jc w:val="both"/>
              <w:textAlignment w:val="bottom"/>
              <w:rPr>
                <w:rFonts w:hint="eastAsia" w:ascii="宋体" w:hAnsi="宋体" w:eastAsia="宋体" w:cs="宋体"/>
                <w:i w:val="0"/>
                <w:iCs w:val="0"/>
                <w:color w:val="000000" w:themeColor="text1"/>
                <w:sz w:val="28"/>
                <w:szCs w:val="28"/>
                <w:u w:val="none"/>
                <w14:textFill>
                  <w14:solidFill>
                    <w14:schemeClr w14:val="tx1"/>
                  </w14:solidFill>
                </w14:textFill>
              </w:rPr>
            </w:pPr>
            <w:r>
              <w:rPr>
                <w:rFonts w:hint="eastAsia" w:ascii="宋体" w:hAnsi="宋体" w:eastAsia="宋体" w:cs="宋体"/>
                <w:i w:val="0"/>
                <w:iCs w:val="0"/>
                <w:color w:val="000000" w:themeColor="text1"/>
                <w:kern w:val="0"/>
                <w:sz w:val="28"/>
                <w:szCs w:val="28"/>
                <w:u w:val="none"/>
                <w:lang w:val="en-US" w:eastAsia="zh-CN" w:bidi="ar"/>
                <w14:textFill>
                  <w14:solidFill>
                    <w14:schemeClr w14:val="tx1"/>
                  </w14:solidFill>
                </w14:textFill>
              </w:rPr>
              <w:t>2024年区级国有资本经营预算收入完成情况表</w:t>
            </w:r>
          </w:p>
        </w:tc>
      </w:tr>
      <w:tr w14:paraId="35B154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9" w:hRule="atLeast"/>
          <w:jc w:val="center"/>
        </w:trPr>
        <w:tc>
          <w:tcPr>
            <w:tcW w:w="846" w:type="dxa"/>
            <w:tcBorders>
              <w:top w:val="nil"/>
              <w:left w:val="nil"/>
              <w:bottom w:val="nil"/>
              <w:right w:val="nil"/>
            </w:tcBorders>
            <w:shd w:val="clear" w:color="auto" w:fill="auto"/>
            <w:noWrap/>
            <w:vAlign w:val="center"/>
          </w:tcPr>
          <w:p w14:paraId="51CD74B2">
            <w:pPr>
              <w:keepNext w:val="0"/>
              <w:keepLines w:val="0"/>
              <w:widowControl/>
              <w:suppressLineNumbers w:val="0"/>
              <w:jc w:val="both"/>
              <w:textAlignment w:val="bottom"/>
              <w:rPr>
                <w:rFonts w:hint="eastAsia" w:ascii="宋体" w:hAnsi="宋体" w:eastAsia="宋体" w:cs="宋体"/>
                <w:i w:val="0"/>
                <w:iCs w:val="0"/>
                <w:color w:val="000000" w:themeColor="text1"/>
                <w:sz w:val="28"/>
                <w:szCs w:val="28"/>
                <w:u w:val="none"/>
                <w14:textFill>
                  <w14:solidFill>
                    <w14:schemeClr w14:val="tx1"/>
                  </w14:solidFill>
                </w14:textFill>
              </w:rPr>
            </w:pPr>
            <w:r>
              <w:rPr>
                <w:rFonts w:hint="eastAsia" w:ascii="宋体" w:hAnsi="宋体" w:eastAsia="宋体" w:cs="宋体"/>
                <w:i w:val="0"/>
                <w:iCs w:val="0"/>
                <w:color w:val="000000" w:themeColor="text1"/>
                <w:kern w:val="0"/>
                <w:sz w:val="28"/>
                <w:szCs w:val="28"/>
                <w:u w:val="none"/>
                <w:lang w:val="en-US" w:eastAsia="zh-CN" w:bidi="ar"/>
                <w14:textFill>
                  <w14:solidFill>
                    <w14:schemeClr w14:val="tx1"/>
                  </w14:solidFill>
                </w14:textFill>
              </w:rPr>
              <w:t>表8</w:t>
            </w:r>
          </w:p>
        </w:tc>
        <w:tc>
          <w:tcPr>
            <w:tcW w:w="390" w:type="dxa"/>
            <w:tcBorders>
              <w:top w:val="nil"/>
              <w:left w:val="nil"/>
              <w:bottom w:val="nil"/>
              <w:right w:val="nil"/>
            </w:tcBorders>
            <w:shd w:val="clear" w:color="auto" w:fill="auto"/>
            <w:noWrap/>
            <w:vAlign w:val="center"/>
          </w:tcPr>
          <w:p w14:paraId="1C611EC0">
            <w:pPr>
              <w:keepNext w:val="0"/>
              <w:keepLines w:val="0"/>
              <w:widowControl/>
              <w:suppressLineNumbers w:val="0"/>
              <w:jc w:val="both"/>
              <w:textAlignment w:val="bottom"/>
              <w:rPr>
                <w:rFonts w:hint="eastAsia" w:ascii="宋体" w:hAnsi="宋体" w:eastAsia="宋体" w:cs="宋体"/>
                <w:i w:val="0"/>
                <w:iCs w:val="0"/>
                <w:color w:val="000000" w:themeColor="text1"/>
                <w:sz w:val="28"/>
                <w:szCs w:val="28"/>
                <w:u w:val="none"/>
                <w14:textFill>
                  <w14:solidFill>
                    <w14:schemeClr w14:val="tx1"/>
                  </w14:solidFill>
                </w14:textFill>
              </w:rPr>
            </w:pPr>
            <w:r>
              <w:rPr>
                <w:rFonts w:hint="eastAsia" w:ascii="宋体" w:hAnsi="宋体" w:eastAsia="宋体" w:cs="宋体"/>
                <w:i w:val="0"/>
                <w:iCs w:val="0"/>
                <w:color w:val="000000" w:themeColor="text1"/>
                <w:kern w:val="0"/>
                <w:sz w:val="28"/>
                <w:szCs w:val="28"/>
                <w:u w:val="none"/>
                <w:lang w:val="en-US" w:eastAsia="zh-CN" w:bidi="ar"/>
                <w14:textFill>
                  <w14:solidFill>
                    <w14:schemeClr w14:val="tx1"/>
                  </w14:solidFill>
                </w14:textFill>
              </w:rPr>
              <w:t>-</w:t>
            </w:r>
          </w:p>
        </w:tc>
        <w:tc>
          <w:tcPr>
            <w:tcW w:w="6525" w:type="dxa"/>
            <w:tcBorders>
              <w:top w:val="nil"/>
              <w:left w:val="nil"/>
              <w:bottom w:val="nil"/>
              <w:right w:val="nil"/>
            </w:tcBorders>
            <w:shd w:val="clear" w:color="auto" w:fill="auto"/>
            <w:noWrap/>
            <w:vAlign w:val="center"/>
          </w:tcPr>
          <w:p w14:paraId="55541BFF">
            <w:pPr>
              <w:keepNext w:val="0"/>
              <w:keepLines w:val="0"/>
              <w:widowControl/>
              <w:suppressLineNumbers w:val="0"/>
              <w:jc w:val="both"/>
              <w:textAlignment w:val="bottom"/>
              <w:rPr>
                <w:rFonts w:hint="eastAsia" w:ascii="宋体" w:hAnsi="宋体" w:eastAsia="宋体" w:cs="宋体"/>
                <w:i w:val="0"/>
                <w:iCs w:val="0"/>
                <w:color w:val="000000" w:themeColor="text1"/>
                <w:sz w:val="28"/>
                <w:szCs w:val="28"/>
                <w:u w:val="none"/>
                <w14:textFill>
                  <w14:solidFill>
                    <w14:schemeClr w14:val="tx1"/>
                  </w14:solidFill>
                </w14:textFill>
              </w:rPr>
            </w:pPr>
            <w:r>
              <w:rPr>
                <w:rFonts w:hint="eastAsia" w:ascii="宋体" w:hAnsi="宋体" w:eastAsia="宋体" w:cs="宋体"/>
                <w:i w:val="0"/>
                <w:iCs w:val="0"/>
                <w:color w:val="000000" w:themeColor="text1"/>
                <w:kern w:val="0"/>
                <w:sz w:val="28"/>
                <w:szCs w:val="28"/>
                <w:u w:val="none"/>
                <w:lang w:val="en-US" w:eastAsia="zh-CN" w:bidi="ar"/>
                <w14:textFill>
                  <w14:solidFill>
                    <w14:schemeClr w14:val="tx1"/>
                  </w14:solidFill>
                </w14:textFill>
              </w:rPr>
              <w:t>2024年区级国有资本经营预算支出完成情况表</w:t>
            </w:r>
          </w:p>
        </w:tc>
      </w:tr>
      <w:tr w14:paraId="353FB95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9" w:hRule="atLeast"/>
          <w:jc w:val="center"/>
        </w:trPr>
        <w:tc>
          <w:tcPr>
            <w:tcW w:w="846" w:type="dxa"/>
            <w:tcBorders>
              <w:top w:val="nil"/>
              <w:left w:val="nil"/>
              <w:bottom w:val="nil"/>
              <w:right w:val="nil"/>
            </w:tcBorders>
            <w:shd w:val="clear" w:color="auto" w:fill="auto"/>
            <w:noWrap/>
            <w:vAlign w:val="center"/>
          </w:tcPr>
          <w:p w14:paraId="7236BDA3">
            <w:pPr>
              <w:keepNext w:val="0"/>
              <w:keepLines w:val="0"/>
              <w:widowControl/>
              <w:suppressLineNumbers w:val="0"/>
              <w:jc w:val="both"/>
              <w:textAlignment w:val="bottom"/>
              <w:rPr>
                <w:rFonts w:hint="eastAsia" w:ascii="宋体" w:hAnsi="宋体" w:eastAsia="宋体" w:cs="宋体"/>
                <w:i w:val="0"/>
                <w:iCs w:val="0"/>
                <w:color w:val="000000" w:themeColor="text1"/>
                <w:sz w:val="28"/>
                <w:szCs w:val="28"/>
                <w:u w:val="none"/>
                <w14:textFill>
                  <w14:solidFill>
                    <w14:schemeClr w14:val="tx1"/>
                  </w14:solidFill>
                </w14:textFill>
              </w:rPr>
            </w:pPr>
            <w:r>
              <w:rPr>
                <w:rFonts w:hint="eastAsia" w:ascii="宋体" w:hAnsi="宋体" w:eastAsia="宋体" w:cs="宋体"/>
                <w:i w:val="0"/>
                <w:iCs w:val="0"/>
                <w:color w:val="000000" w:themeColor="text1"/>
                <w:kern w:val="0"/>
                <w:sz w:val="28"/>
                <w:szCs w:val="28"/>
                <w:u w:val="none"/>
                <w:lang w:val="en-US" w:eastAsia="zh-CN" w:bidi="ar"/>
                <w14:textFill>
                  <w14:solidFill>
                    <w14:schemeClr w14:val="tx1"/>
                  </w14:solidFill>
                </w14:textFill>
              </w:rPr>
              <w:t>表9</w:t>
            </w:r>
          </w:p>
        </w:tc>
        <w:tc>
          <w:tcPr>
            <w:tcW w:w="390" w:type="dxa"/>
            <w:tcBorders>
              <w:top w:val="nil"/>
              <w:left w:val="nil"/>
              <w:bottom w:val="nil"/>
              <w:right w:val="nil"/>
            </w:tcBorders>
            <w:shd w:val="clear" w:color="auto" w:fill="auto"/>
            <w:noWrap/>
            <w:vAlign w:val="center"/>
          </w:tcPr>
          <w:p w14:paraId="37400919">
            <w:pPr>
              <w:keepNext w:val="0"/>
              <w:keepLines w:val="0"/>
              <w:widowControl/>
              <w:suppressLineNumbers w:val="0"/>
              <w:jc w:val="both"/>
              <w:textAlignment w:val="bottom"/>
              <w:rPr>
                <w:rFonts w:hint="eastAsia" w:ascii="宋体" w:hAnsi="宋体" w:eastAsia="宋体" w:cs="宋体"/>
                <w:i w:val="0"/>
                <w:iCs w:val="0"/>
                <w:color w:val="000000" w:themeColor="text1"/>
                <w:sz w:val="28"/>
                <w:szCs w:val="28"/>
                <w:u w:val="none"/>
                <w14:textFill>
                  <w14:solidFill>
                    <w14:schemeClr w14:val="tx1"/>
                  </w14:solidFill>
                </w14:textFill>
              </w:rPr>
            </w:pPr>
            <w:r>
              <w:rPr>
                <w:rFonts w:hint="eastAsia" w:ascii="宋体" w:hAnsi="宋体" w:eastAsia="宋体" w:cs="宋体"/>
                <w:i w:val="0"/>
                <w:iCs w:val="0"/>
                <w:color w:val="000000" w:themeColor="text1"/>
                <w:kern w:val="0"/>
                <w:sz w:val="28"/>
                <w:szCs w:val="28"/>
                <w:u w:val="none"/>
                <w:lang w:val="en-US" w:eastAsia="zh-CN" w:bidi="ar"/>
                <w14:textFill>
                  <w14:solidFill>
                    <w14:schemeClr w14:val="tx1"/>
                  </w14:solidFill>
                </w14:textFill>
              </w:rPr>
              <w:t>-</w:t>
            </w:r>
          </w:p>
        </w:tc>
        <w:tc>
          <w:tcPr>
            <w:tcW w:w="6525" w:type="dxa"/>
            <w:tcBorders>
              <w:top w:val="nil"/>
              <w:left w:val="nil"/>
              <w:bottom w:val="nil"/>
              <w:right w:val="nil"/>
            </w:tcBorders>
            <w:shd w:val="clear" w:color="auto" w:fill="auto"/>
            <w:noWrap/>
            <w:vAlign w:val="center"/>
          </w:tcPr>
          <w:p w14:paraId="59F65487">
            <w:pPr>
              <w:keepNext w:val="0"/>
              <w:keepLines w:val="0"/>
              <w:widowControl/>
              <w:suppressLineNumbers w:val="0"/>
              <w:jc w:val="both"/>
              <w:textAlignment w:val="bottom"/>
              <w:rPr>
                <w:rFonts w:hint="eastAsia" w:ascii="宋体" w:hAnsi="宋体" w:eastAsia="宋体" w:cs="宋体"/>
                <w:i w:val="0"/>
                <w:iCs w:val="0"/>
                <w:color w:val="000000" w:themeColor="text1"/>
                <w:sz w:val="28"/>
                <w:szCs w:val="28"/>
                <w:u w:val="none"/>
                <w14:textFill>
                  <w14:solidFill>
                    <w14:schemeClr w14:val="tx1"/>
                  </w14:solidFill>
                </w14:textFill>
              </w:rPr>
            </w:pPr>
            <w:r>
              <w:rPr>
                <w:rFonts w:hint="eastAsia" w:ascii="宋体" w:hAnsi="宋体" w:eastAsia="宋体" w:cs="宋体"/>
                <w:i w:val="0"/>
                <w:iCs w:val="0"/>
                <w:color w:val="000000" w:themeColor="text1"/>
                <w:kern w:val="0"/>
                <w:sz w:val="28"/>
                <w:szCs w:val="28"/>
                <w:u w:val="none"/>
                <w:lang w:val="en-US" w:eastAsia="zh-CN" w:bidi="ar"/>
                <w14:textFill>
                  <w14:solidFill>
                    <w14:schemeClr w14:val="tx1"/>
                  </w14:solidFill>
                </w14:textFill>
              </w:rPr>
              <w:t>2025年区级一般公共收入预算草案</w:t>
            </w:r>
          </w:p>
        </w:tc>
      </w:tr>
      <w:tr w14:paraId="0F1679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9" w:hRule="atLeast"/>
          <w:jc w:val="center"/>
        </w:trPr>
        <w:tc>
          <w:tcPr>
            <w:tcW w:w="846" w:type="dxa"/>
            <w:tcBorders>
              <w:top w:val="nil"/>
              <w:left w:val="nil"/>
              <w:bottom w:val="nil"/>
              <w:right w:val="nil"/>
            </w:tcBorders>
            <w:shd w:val="clear" w:color="auto" w:fill="auto"/>
            <w:noWrap/>
            <w:vAlign w:val="center"/>
          </w:tcPr>
          <w:p w14:paraId="696DB13D">
            <w:pPr>
              <w:keepNext w:val="0"/>
              <w:keepLines w:val="0"/>
              <w:widowControl/>
              <w:suppressLineNumbers w:val="0"/>
              <w:jc w:val="both"/>
              <w:textAlignment w:val="bottom"/>
              <w:rPr>
                <w:rFonts w:hint="eastAsia" w:ascii="宋体" w:hAnsi="宋体" w:eastAsia="宋体" w:cs="宋体"/>
                <w:i w:val="0"/>
                <w:iCs w:val="0"/>
                <w:color w:val="000000" w:themeColor="text1"/>
                <w:sz w:val="28"/>
                <w:szCs w:val="28"/>
                <w:u w:val="none"/>
                <w14:textFill>
                  <w14:solidFill>
                    <w14:schemeClr w14:val="tx1"/>
                  </w14:solidFill>
                </w14:textFill>
              </w:rPr>
            </w:pPr>
            <w:r>
              <w:rPr>
                <w:rFonts w:hint="eastAsia" w:ascii="宋体" w:hAnsi="宋体" w:eastAsia="宋体" w:cs="宋体"/>
                <w:i w:val="0"/>
                <w:iCs w:val="0"/>
                <w:color w:val="000000" w:themeColor="text1"/>
                <w:kern w:val="0"/>
                <w:sz w:val="28"/>
                <w:szCs w:val="28"/>
                <w:u w:val="none"/>
                <w:lang w:val="en-US" w:eastAsia="zh-CN" w:bidi="ar"/>
                <w14:textFill>
                  <w14:solidFill>
                    <w14:schemeClr w14:val="tx1"/>
                  </w14:solidFill>
                </w14:textFill>
              </w:rPr>
              <w:t>表10</w:t>
            </w:r>
          </w:p>
        </w:tc>
        <w:tc>
          <w:tcPr>
            <w:tcW w:w="390" w:type="dxa"/>
            <w:tcBorders>
              <w:top w:val="nil"/>
              <w:left w:val="nil"/>
              <w:bottom w:val="nil"/>
              <w:right w:val="nil"/>
            </w:tcBorders>
            <w:shd w:val="clear" w:color="auto" w:fill="auto"/>
            <w:noWrap/>
            <w:vAlign w:val="center"/>
          </w:tcPr>
          <w:p w14:paraId="5235F5C4">
            <w:pPr>
              <w:keepNext w:val="0"/>
              <w:keepLines w:val="0"/>
              <w:widowControl/>
              <w:suppressLineNumbers w:val="0"/>
              <w:jc w:val="both"/>
              <w:textAlignment w:val="bottom"/>
              <w:rPr>
                <w:rFonts w:hint="eastAsia" w:ascii="宋体" w:hAnsi="宋体" w:eastAsia="宋体" w:cs="宋体"/>
                <w:i w:val="0"/>
                <w:iCs w:val="0"/>
                <w:color w:val="000000" w:themeColor="text1"/>
                <w:sz w:val="28"/>
                <w:szCs w:val="28"/>
                <w:u w:val="none"/>
                <w14:textFill>
                  <w14:solidFill>
                    <w14:schemeClr w14:val="tx1"/>
                  </w14:solidFill>
                </w14:textFill>
              </w:rPr>
            </w:pPr>
            <w:r>
              <w:rPr>
                <w:rFonts w:hint="eastAsia" w:ascii="宋体" w:hAnsi="宋体" w:eastAsia="宋体" w:cs="宋体"/>
                <w:i w:val="0"/>
                <w:iCs w:val="0"/>
                <w:color w:val="000000" w:themeColor="text1"/>
                <w:kern w:val="0"/>
                <w:sz w:val="28"/>
                <w:szCs w:val="28"/>
                <w:u w:val="none"/>
                <w:lang w:val="en-US" w:eastAsia="zh-CN" w:bidi="ar"/>
                <w14:textFill>
                  <w14:solidFill>
                    <w14:schemeClr w14:val="tx1"/>
                  </w14:solidFill>
                </w14:textFill>
              </w:rPr>
              <w:t>-</w:t>
            </w:r>
          </w:p>
        </w:tc>
        <w:tc>
          <w:tcPr>
            <w:tcW w:w="6525" w:type="dxa"/>
            <w:tcBorders>
              <w:top w:val="nil"/>
              <w:left w:val="nil"/>
              <w:bottom w:val="nil"/>
              <w:right w:val="nil"/>
            </w:tcBorders>
            <w:shd w:val="clear" w:color="auto" w:fill="auto"/>
            <w:noWrap/>
            <w:vAlign w:val="center"/>
          </w:tcPr>
          <w:p w14:paraId="68413CA7">
            <w:pPr>
              <w:keepNext w:val="0"/>
              <w:keepLines w:val="0"/>
              <w:widowControl/>
              <w:suppressLineNumbers w:val="0"/>
              <w:jc w:val="both"/>
              <w:textAlignment w:val="bottom"/>
              <w:rPr>
                <w:rFonts w:hint="eastAsia" w:ascii="宋体" w:hAnsi="宋体" w:eastAsia="宋体" w:cs="宋体"/>
                <w:i w:val="0"/>
                <w:iCs w:val="0"/>
                <w:color w:val="000000" w:themeColor="text1"/>
                <w:sz w:val="28"/>
                <w:szCs w:val="28"/>
                <w:u w:val="none"/>
                <w14:textFill>
                  <w14:solidFill>
                    <w14:schemeClr w14:val="tx1"/>
                  </w14:solidFill>
                </w14:textFill>
              </w:rPr>
            </w:pPr>
            <w:r>
              <w:rPr>
                <w:rFonts w:hint="eastAsia" w:ascii="宋体" w:hAnsi="宋体" w:eastAsia="宋体" w:cs="宋体"/>
                <w:i w:val="0"/>
                <w:iCs w:val="0"/>
                <w:color w:val="000000" w:themeColor="text1"/>
                <w:kern w:val="0"/>
                <w:sz w:val="28"/>
                <w:szCs w:val="28"/>
                <w:u w:val="none"/>
                <w:lang w:val="en-US" w:eastAsia="zh-CN" w:bidi="ar"/>
                <w14:textFill>
                  <w14:solidFill>
                    <w14:schemeClr w14:val="tx1"/>
                  </w14:solidFill>
                </w14:textFill>
              </w:rPr>
              <w:t>2025年区级一般公共支出预算草案</w:t>
            </w:r>
          </w:p>
        </w:tc>
      </w:tr>
      <w:tr w14:paraId="146372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9" w:hRule="atLeast"/>
          <w:jc w:val="center"/>
        </w:trPr>
        <w:tc>
          <w:tcPr>
            <w:tcW w:w="846" w:type="dxa"/>
            <w:tcBorders>
              <w:top w:val="nil"/>
              <w:left w:val="nil"/>
              <w:bottom w:val="nil"/>
              <w:right w:val="nil"/>
            </w:tcBorders>
            <w:shd w:val="clear" w:color="auto" w:fill="auto"/>
            <w:noWrap/>
            <w:vAlign w:val="center"/>
          </w:tcPr>
          <w:p w14:paraId="45479943">
            <w:pPr>
              <w:keepNext w:val="0"/>
              <w:keepLines w:val="0"/>
              <w:widowControl/>
              <w:suppressLineNumbers w:val="0"/>
              <w:jc w:val="both"/>
              <w:textAlignment w:val="bottom"/>
              <w:rPr>
                <w:rFonts w:hint="eastAsia" w:ascii="宋体" w:hAnsi="宋体" w:eastAsia="宋体" w:cs="宋体"/>
                <w:i w:val="0"/>
                <w:iCs w:val="0"/>
                <w:color w:val="000000" w:themeColor="text1"/>
                <w:sz w:val="28"/>
                <w:szCs w:val="28"/>
                <w:u w:val="none"/>
                <w14:textFill>
                  <w14:solidFill>
                    <w14:schemeClr w14:val="tx1"/>
                  </w14:solidFill>
                </w14:textFill>
              </w:rPr>
            </w:pPr>
            <w:r>
              <w:rPr>
                <w:rFonts w:hint="eastAsia" w:ascii="宋体" w:hAnsi="宋体" w:eastAsia="宋体" w:cs="宋体"/>
                <w:i w:val="0"/>
                <w:iCs w:val="0"/>
                <w:color w:val="000000" w:themeColor="text1"/>
                <w:kern w:val="0"/>
                <w:sz w:val="28"/>
                <w:szCs w:val="28"/>
                <w:u w:val="none"/>
                <w:lang w:val="en-US" w:eastAsia="zh-CN" w:bidi="ar"/>
                <w14:textFill>
                  <w14:solidFill>
                    <w14:schemeClr w14:val="tx1"/>
                  </w14:solidFill>
                </w14:textFill>
              </w:rPr>
              <w:t>表11</w:t>
            </w:r>
          </w:p>
        </w:tc>
        <w:tc>
          <w:tcPr>
            <w:tcW w:w="390" w:type="dxa"/>
            <w:tcBorders>
              <w:top w:val="nil"/>
              <w:left w:val="nil"/>
              <w:bottom w:val="nil"/>
              <w:right w:val="nil"/>
            </w:tcBorders>
            <w:shd w:val="clear" w:color="auto" w:fill="auto"/>
            <w:noWrap/>
            <w:vAlign w:val="center"/>
          </w:tcPr>
          <w:p w14:paraId="22CE1A88">
            <w:pPr>
              <w:keepNext w:val="0"/>
              <w:keepLines w:val="0"/>
              <w:widowControl/>
              <w:suppressLineNumbers w:val="0"/>
              <w:jc w:val="both"/>
              <w:textAlignment w:val="bottom"/>
              <w:rPr>
                <w:rFonts w:hint="eastAsia" w:ascii="宋体" w:hAnsi="宋体" w:eastAsia="宋体" w:cs="宋体"/>
                <w:i w:val="0"/>
                <w:iCs w:val="0"/>
                <w:color w:val="000000" w:themeColor="text1"/>
                <w:sz w:val="28"/>
                <w:szCs w:val="28"/>
                <w:u w:val="none"/>
                <w14:textFill>
                  <w14:solidFill>
                    <w14:schemeClr w14:val="tx1"/>
                  </w14:solidFill>
                </w14:textFill>
              </w:rPr>
            </w:pPr>
            <w:r>
              <w:rPr>
                <w:rFonts w:hint="eastAsia" w:ascii="宋体" w:hAnsi="宋体" w:eastAsia="宋体" w:cs="宋体"/>
                <w:i w:val="0"/>
                <w:iCs w:val="0"/>
                <w:color w:val="000000" w:themeColor="text1"/>
                <w:kern w:val="0"/>
                <w:sz w:val="28"/>
                <w:szCs w:val="28"/>
                <w:u w:val="none"/>
                <w:lang w:val="en-US" w:eastAsia="zh-CN" w:bidi="ar"/>
                <w14:textFill>
                  <w14:solidFill>
                    <w14:schemeClr w14:val="tx1"/>
                  </w14:solidFill>
                </w14:textFill>
              </w:rPr>
              <w:t>-</w:t>
            </w:r>
          </w:p>
        </w:tc>
        <w:tc>
          <w:tcPr>
            <w:tcW w:w="6525" w:type="dxa"/>
            <w:tcBorders>
              <w:top w:val="nil"/>
              <w:left w:val="nil"/>
              <w:bottom w:val="nil"/>
              <w:right w:val="nil"/>
            </w:tcBorders>
            <w:shd w:val="clear" w:color="auto" w:fill="auto"/>
            <w:noWrap/>
            <w:vAlign w:val="center"/>
          </w:tcPr>
          <w:p w14:paraId="63134FF4">
            <w:pPr>
              <w:keepNext w:val="0"/>
              <w:keepLines w:val="0"/>
              <w:widowControl/>
              <w:suppressLineNumbers w:val="0"/>
              <w:jc w:val="both"/>
              <w:textAlignment w:val="bottom"/>
              <w:rPr>
                <w:rFonts w:hint="eastAsia" w:ascii="宋体" w:hAnsi="宋体" w:eastAsia="宋体" w:cs="宋体"/>
                <w:i w:val="0"/>
                <w:iCs w:val="0"/>
                <w:color w:val="000000" w:themeColor="text1"/>
                <w:sz w:val="28"/>
                <w:szCs w:val="28"/>
                <w:u w:val="none"/>
                <w14:textFill>
                  <w14:solidFill>
                    <w14:schemeClr w14:val="tx1"/>
                  </w14:solidFill>
                </w14:textFill>
              </w:rPr>
            </w:pPr>
            <w:r>
              <w:rPr>
                <w:rFonts w:hint="eastAsia" w:ascii="宋体" w:hAnsi="宋体" w:eastAsia="宋体" w:cs="宋体"/>
                <w:i w:val="0"/>
                <w:iCs w:val="0"/>
                <w:color w:val="000000" w:themeColor="text1"/>
                <w:kern w:val="0"/>
                <w:sz w:val="28"/>
                <w:szCs w:val="28"/>
                <w:u w:val="none"/>
                <w:lang w:val="en-US" w:eastAsia="zh-CN" w:bidi="ar"/>
                <w14:textFill>
                  <w14:solidFill>
                    <w14:schemeClr w14:val="tx1"/>
                  </w14:solidFill>
                </w14:textFill>
              </w:rPr>
              <w:t>2025年区级政府性基金收入预算草案</w:t>
            </w:r>
          </w:p>
        </w:tc>
      </w:tr>
      <w:tr w14:paraId="00B2EE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9" w:hRule="atLeast"/>
          <w:jc w:val="center"/>
        </w:trPr>
        <w:tc>
          <w:tcPr>
            <w:tcW w:w="846" w:type="dxa"/>
            <w:tcBorders>
              <w:top w:val="nil"/>
              <w:left w:val="nil"/>
              <w:bottom w:val="nil"/>
              <w:right w:val="nil"/>
            </w:tcBorders>
            <w:shd w:val="clear" w:color="auto" w:fill="auto"/>
            <w:noWrap/>
            <w:vAlign w:val="center"/>
          </w:tcPr>
          <w:p w14:paraId="033F5DBC">
            <w:pPr>
              <w:keepNext w:val="0"/>
              <w:keepLines w:val="0"/>
              <w:widowControl/>
              <w:suppressLineNumbers w:val="0"/>
              <w:jc w:val="both"/>
              <w:textAlignment w:val="bottom"/>
              <w:rPr>
                <w:rFonts w:hint="eastAsia" w:ascii="宋体" w:hAnsi="宋体" w:eastAsia="宋体" w:cs="宋体"/>
                <w:i w:val="0"/>
                <w:iCs w:val="0"/>
                <w:color w:val="000000" w:themeColor="text1"/>
                <w:sz w:val="28"/>
                <w:szCs w:val="28"/>
                <w:u w:val="none"/>
                <w14:textFill>
                  <w14:solidFill>
                    <w14:schemeClr w14:val="tx1"/>
                  </w14:solidFill>
                </w14:textFill>
              </w:rPr>
            </w:pPr>
            <w:r>
              <w:rPr>
                <w:rFonts w:hint="eastAsia" w:ascii="宋体" w:hAnsi="宋体" w:eastAsia="宋体" w:cs="宋体"/>
                <w:i w:val="0"/>
                <w:iCs w:val="0"/>
                <w:color w:val="000000" w:themeColor="text1"/>
                <w:kern w:val="0"/>
                <w:sz w:val="28"/>
                <w:szCs w:val="28"/>
                <w:u w:val="none"/>
                <w:lang w:val="en-US" w:eastAsia="zh-CN" w:bidi="ar"/>
                <w14:textFill>
                  <w14:solidFill>
                    <w14:schemeClr w14:val="tx1"/>
                  </w14:solidFill>
                </w14:textFill>
              </w:rPr>
              <w:t>表12</w:t>
            </w:r>
          </w:p>
        </w:tc>
        <w:tc>
          <w:tcPr>
            <w:tcW w:w="390" w:type="dxa"/>
            <w:tcBorders>
              <w:top w:val="nil"/>
              <w:left w:val="nil"/>
              <w:bottom w:val="nil"/>
              <w:right w:val="nil"/>
            </w:tcBorders>
            <w:shd w:val="clear" w:color="auto" w:fill="auto"/>
            <w:noWrap/>
            <w:vAlign w:val="center"/>
          </w:tcPr>
          <w:p w14:paraId="7AC0A856">
            <w:pPr>
              <w:keepNext w:val="0"/>
              <w:keepLines w:val="0"/>
              <w:widowControl/>
              <w:suppressLineNumbers w:val="0"/>
              <w:jc w:val="both"/>
              <w:textAlignment w:val="bottom"/>
              <w:rPr>
                <w:rFonts w:hint="eastAsia" w:ascii="宋体" w:hAnsi="宋体" w:eastAsia="宋体" w:cs="宋体"/>
                <w:i w:val="0"/>
                <w:iCs w:val="0"/>
                <w:color w:val="000000" w:themeColor="text1"/>
                <w:sz w:val="28"/>
                <w:szCs w:val="28"/>
                <w:u w:val="none"/>
                <w14:textFill>
                  <w14:solidFill>
                    <w14:schemeClr w14:val="tx1"/>
                  </w14:solidFill>
                </w14:textFill>
              </w:rPr>
            </w:pPr>
            <w:r>
              <w:rPr>
                <w:rFonts w:hint="eastAsia" w:ascii="宋体" w:hAnsi="宋体" w:eastAsia="宋体" w:cs="宋体"/>
                <w:i w:val="0"/>
                <w:iCs w:val="0"/>
                <w:color w:val="000000" w:themeColor="text1"/>
                <w:kern w:val="0"/>
                <w:sz w:val="28"/>
                <w:szCs w:val="28"/>
                <w:u w:val="none"/>
                <w:lang w:val="en-US" w:eastAsia="zh-CN" w:bidi="ar"/>
                <w14:textFill>
                  <w14:solidFill>
                    <w14:schemeClr w14:val="tx1"/>
                  </w14:solidFill>
                </w14:textFill>
              </w:rPr>
              <w:t>-</w:t>
            </w:r>
          </w:p>
        </w:tc>
        <w:tc>
          <w:tcPr>
            <w:tcW w:w="6525" w:type="dxa"/>
            <w:tcBorders>
              <w:top w:val="nil"/>
              <w:left w:val="nil"/>
              <w:bottom w:val="nil"/>
              <w:right w:val="nil"/>
            </w:tcBorders>
            <w:shd w:val="clear" w:color="auto" w:fill="auto"/>
            <w:noWrap/>
            <w:vAlign w:val="center"/>
          </w:tcPr>
          <w:p w14:paraId="3431845D">
            <w:pPr>
              <w:keepNext w:val="0"/>
              <w:keepLines w:val="0"/>
              <w:widowControl/>
              <w:suppressLineNumbers w:val="0"/>
              <w:jc w:val="both"/>
              <w:textAlignment w:val="bottom"/>
              <w:rPr>
                <w:rFonts w:hint="eastAsia" w:ascii="宋体" w:hAnsi="宋体" w:eastAsia="宋体" w:cs="宋体"/>
                <w:i w:val="0"/>
                <w:iCs w:val="0"/>
                <w:color w:val="000000" w:themeColor="text1"/>
                <w:sz w:val="28"/>
                <w:szCs w:val="28"/>
                <w:u w:val="none"/>
                <w14:textFill>
                  <w14:solidFill>
                    <w14:schemeClr w14:val="tx1"/>
                  </w14:solidFill>
                </w14:textFill>
              </w:rPr>
            </w:pPr>
            <w:r>
              <w:rPr>
                <w:rFonts w:hint="eastAsia" w:ascii="宋体" w:hAnsi="宋体" w:eastAsia="宋体" w:cs="宋体"/>
                <w:i w:val="0"/>
                <w:iCs w:val="0"/>
                <w:color w:val="000000" w:themeColor="text1"/>
                <w:kern w:val="0"/>
                <w:sz w:val="28"/>
                <w:szCs w:val="28"/>
                <w:u w:val="none"/>
                <w:lang w:val="en-US" w:eastAsia="zh-CN" w:bidi="ar"/>
                <w14:textFill>
                  <w14:solidFill>
                    <w14:schemeClr w14:val="tx1"/>
                  </w14:solidFill>
                </w14:textFill>
              </w:rPr>
              <w:t>2025年区级政府性基金支出预算草案</w:t>
            </w:r>
          </w:p>
        </w:tc>
      </w:tr>
      <w:tr w14:paraId="0B2FDF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9" w:hRule="atLeast"/>
          <w:jc w:val="center"/>
        </w:trPr>
        <w:tc>
          <w:tcPr>
            <w:tcW w:w="846" w:type="dxa"/>
            <w:tcBorders>
              <w:top w:val="nil"/>
              <w:left w:val="nil"/>
              <w:bottom w:val="nil"/>
              <w:right w:val="nil"/>
            </w:tcBorders>
            <w:shd w:val="clear" w:color="auto" w:fill="auto"/>
            <w:noWrap/>
            <w:vAlign w:val="center"/>
          </w:tcPr>
          <w:p w14:paraId="2BD026FC">
            <w:pPr>
              <w:keepNext w:val="0"/>
              <w:keepLines w:val="0"/>
              <w:widowControl/>
              <w:suppressLineNumbers w:val="0"/>
              <w:jc w:val="both"/>
              <w:textAlignment w:val="bottom"/>
              <w:rPr>
                <w:rFonts w:hint="eastAsia" w:ascii="宋体" w:hAnsi="宋体" w:eastAsia="宋体" w:cs="宋体"/>
                <w:i w:val="0"/>
                <w:iCs w:val="0"/>
                <w:color w:val="000000" w:themeColor="text1"/>
                <w:sz w:val="28"/>
                <w:szCs w:val="28"/>
                <w:u w:val="none"/>
                <w14:textFill>
                  <w14:solidFill>
                    <w14:schemeClr w14:val="tx1"/>
                  </w14:solidFill>
                </w14:textFill>
              </w:rPr>
            </w:pPr>
            <w:r>
              <w:rPr>
                <w:rFonts w:hint="eastAsia" w:ascii="宋体" w:hAnsi="宋体" w:eastAsia="宋体" w:cs="宋体"/>
                <w:i w:val="0"/>
                <w:iCs w:val="0"/>
                <w:color w:val="000000" w:themeColor="text1"/>
                <w:kern w:val="0"/>
                <w:sz w:val="28"/>
                <w:szCs w:val="28"/>
                <w:u w:val="none"/>
                <w:lang w:val="en-US" w:eastAsia="zh-CN" w:bidi="ar"/>
                <w14:textFill>
                  <w14:solidFill>
                    <w14:schemeClr w14:val="tx1"/>
                  </w14:solidFill>
                </w14:textFill>
              </w:rPr>
              <w:t>表13</w:t>
            </w:r>
          </w:p>
        </w:tc>
        <w:tc>
          <w:tcPr>
            <w:tcW w:w="390" w:type="dxa"/>
            <w:tcBorders>
              <w:top w:val="nil"/>
              <w:left w:val="nil"/>
              <w:bottom w:val="nil"/>
              <w:right w:val="nil"/>
            </w:tcBorders>
            <w:shd w:val="clear" w:color="auto" w:fill="auto"/>
            <w:noWrap/>
            <w:vAlign w:val="center"/>
          </w:tcPr>
          <w:p w14:paraId="5D4F0854">
            <w:pPr>
              <w:keepNext w:val="0"/>
              <w:keepLines w:val="0"/>
              <w:widowControl/>
              <w:suppressLineNumbers w:val="0"/>
              <w:jc w:val="both"/>
              <w:textAlignment w:val="bottom"/>
              <w:rPr>
                <w:rFonts w:hint="eastAsia" w:ascii="宋体" w:hAnsi="宋体" w:eastAsia="宋体" w:cs="宋体"/>
                <w:i w:val="0"/>
                <w:iCs w:val="0"/>
                <w:color w:val="000000" w:themeColor="text1"/>
                <w:sz w:val="28"/>
                <w:szCs w:val="28"/>
                <w:u w:val="none"/>
                <w14:textFill>
                  <w14:solidFill>
                    <w14:schemeClr w14:val="tx1"/>
                  </w14:solidFill>
                </w14:textFill>
              </w:rPr>
            </w:pPr>
            <w:r>
              <w:rPr>
                <w:rFonts w:hint="eastAsia" w:ascii="宋体" w:hAnsi="宋体" w:eastAsia="宋体" w:cs="宋体"/>
                <w:i w:val="0"/>
                <w:iCs w:val="0"/>
                <w:color w:val="000000" w:themeColor="text1"/>
                <w:kern w:val="0"/>
                <w:sz w:val="28"/>
                <w:szCs w:val="28"/>
                <w:u w:val="none"/>
                <w:lang w:val="en-US" w:eastAsia="zh-CN" w:bidi="ar"/>
                <w14:textFill>
                  <w14:solidFill>
                    <w14:schemeClr w14:val="tx1"/>
                  </w14:solidFill>
                </w14:textFill>
              </w:rPr>
              <w:t>-</w:t>
            </w:r>
          </w:p>
        </w:tc>
        <w:tc>
          <w:tcPr>
            <w:tcW w:w="6525" w:type="dxa"/>
            <w:tcBorders>
              <w:top w:val="nil"/>
              <w:left w:val="nil"/>
              <w:bottom w:val="nil"/>
              <w:right w:val="nil"/>
            </w:tcBorders>
            <w:shd w:val="clear" w:color="auto" w:fill="auto"/>
            <w:noWrap/>
            <w:vAlign w:val="center"/>
          </w:tcPr>
          <w:p w14:paraId="1306EA4C">
            <w:pPr>
              <w:keepNext w:val="0"/>
              <w:keepLines w:val="0"/>
              <w:widowControl/>
              <w:suppressLineNumbers w:val="0"/>
              <w:jc w:val="both"/>
              <w:textAlignment w:val="bottom"/>
              <w:rPr>
                <w:rFonts w:hint="eastAsia" w:ascii="宋体" w:hAnsi="宋体" w:eastAsia="宋体" w:cs="宋体"/>
                <w:i w:val="0"/>
                <w:iCs w:val="0"/>
                <w:color w:val="000000" w:themeColor="text1"/>
                <w:sz w:val="28"/>
                <w:szCs w:val="28"/>
                <w:u w:val="none"/>
                <w14:textFill>
                  <w14:solidFill>
                    <w14:schemeClr w14:val="tx1"/>
                  </w14:solidFill>
                </w14:textFill>
              </w:rPr>
            </w:pPr>
            <w:r>
              <w:rPr>
                <w:rFonts w:hint="eastAsia" w:ascii="宋体" w:hAnsi="宋体" w:eastAsia="宋体" w:cs="宋体"/>
                <w:i w:val="0"/>
                <w:iCs w:val="0"/>
                <w:color w:val="000000" w:themeColor="text1"/>
                <w:kern w:val="0"/>
                <w:sz w:val="28"/>
                <w:szCs w:val="28"/>
                <w:u w:val="none"/>
                <w:lang w:val="en-US" w:eastAsia="zh-CN" w:bidi="ar"/>
                <w14:textFill>
                  <w14:solidFill>
                    <w14:schemeClr w14:val="tx1"/>
                  </w14:solidFill>
                </w14:textFill>
              </w:rPr>
              <w:t>2025年区级社会保险基金收入预算草案</w:t>
            </w:r>
          </w:p>
        </w:tc>
      </w:tr>
      <w:tr w14:paraId="10B44B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9" w:hRule="atLeast"/>
          <w:jc w:val="center"/>
        </w:trPr>
        <w:tc>
          <w:tcPr>
            <w:tcW w:w="846" w:type="dxa"/>
            <w:tcBorders>
              <w:top w:val="nil"/>
              <w:left w:val="nil"/>
              <w:bottom w:val="nil"/>
              <w:right w:val="nil"/>
            </w:tcBorders>
            <w:shd w:val="clear" w:color="auto" w:fill="auto"/>
            <w:noWrap/>
            <w:vAlign w:val="center"/>
          </w:tcPr>
          <w:p w14:paraId="4BBA050C">
            <w:pPr>
              <w:keepNext w:val="0"/>
              <w:keepLines w:val="0"/>
              <w:widowControl/>
              <w:suppressLineNumbers w:val="0"/>
              <w:jc w:val="both"/>
              <w:textAlignment w:val="bottom"/>
              <w:rPr>
                <w:rFonts w:hint="eastAsia" w:ascii="宋体" w:hAnsi="宋体" w:eastAsia="宋体" w:cs="宋体"/>
                <w:i w:val="0"/>
                <w:iCs w:val="0"/>
                <w:color w:val="000000" w:themeColor="text1"/>
                <w:sz w:val="28"/>
                <w:szCs w:val="28"/>
                <w:u w:val="none"/>
                <w14:textFill>
                  <w14:solidFill>
                    <w14:schemeClr w14:val="tx1"/>
                  </w14:solidFill>
                </w14:textFill>
              </w:rPr>
            </w:pPr>
            <w:r>
              <w:rPr>
                <w:rFonts w:hint="eastAsia" w:ascii="宋体" w:hAnsi="宋体" w:eastAsia="宋体" w:cs="宋体"/>
                <w:i w:val="0"/>
                <w:iCs w:val="0"/>
                <w:color w:val="000000" w:themeColor="text1"/>
                <w:kern w:val="0"/>
                <w:sz w:val="28"/>
                <w:szCs w:val="28"/>
                <w:u w:val="none"/>
                <w:lang w:val="en-US" w:eastAsia="zh-CN" w:bidi="ar"/>
                <w14:textFill>
                  <w14:solidFill>
                    <w14:schemeClr w14:val="tx1"/>
                  </w14:solidFill>
                </w14:textFill>
              </w:rPr>
              <w:t>表14</w:t>
            </w:r>
          </w:p>
        </w:tc>
        <w:tc>
          <w:tcPr>
            <w:tcW w:w="390" w:type="dxa"/>
            <w:tcBorders>
              <w:top w:val="nil"/>
              <w:left w:val="nil"/>
              <w:bottom w:val="nil"/>
              <w:right w:val="nil"/>
            </w:tcBorders>
            <w:shd w:val="clear" w:color="auto" w:fill="auto"/>
            <w:noWrap/>
            <w:vAlign w:val="center"/>
          </w:tcPr>
          <w:p w14:paraId="367B0F40">
            <w:pPr>
              <w:keepNext w:val="0"/>
              <w:keepLines w:val="0"/>
              <w:widowControl/>
              <w:suppressLineNumbers w:val="0"/>
              <w:jc w:val="both"/>
              <w:textAlignment w:val="bottom"/>
              <w:rPr>
                <w:rFonts w:hint="eastAsia" w:ascii="宋体" w:hAnsi="宋体" w:eastAsia="宋体" w:cs="宋体"/>
                <w:i w:val="0"/>
                <w:iCs w:val="0"/>
                <w:color w:val="000000" w:themeColor="text1"/>
                <w:sz w:val="28"/>
                <w:szCs w:val="28"/>
                <w:u w:val="none"/>
                <w14:textFill>
                  <w14:solidFill>
                    <w14:schemeClr w14:val="tx1"/>
                  </w14:solidFill>
                </w14:textFill>
              </w:rPr>
            </w:pPr>
            <w:r>
              <w:rPr>
                <w:rFonts w:hint="eastAsia" w:ascii="宋体" w:hAnsi="宋体" w:eastAsia="宋体" w:cs="宋体"/>
                <w:i w:val="0"/>
                <w:iCs w:val="0"/>
                <w:color w:val="000000" w:themeColor="text1"/>
                <w:kern w:val="0"/>
                <w:sz w:val="28"/>
                <w:szCs w:val="28"/>
                <w:u w:val="none"/>
                <w:lang w:val="en-US" w:eastAsia="zh-CN" w:bidi="ar"/>
                <w14:textFill>
                  <w14:solidFill>
                    <w14:schemeClr w14:val="tx1"/>
                  </w14:solidFill>
                </w14:textFill>
              </w:rPr>
              <w:t>-</w:t>
            </w:r>
          </w:p>
        </w:tc>
        <w:tc>
          <w:tcPr>
            <w:tcW w:w="6525" w:type="dxa"/>
            <w:tcBorders>
              <w:top w:val="nil"/>
              <w:left w:val="nil"/>
              <w:bottom w:val="nil"/>
              <w:right w:val="nil"/>
            </w:tcBorders>
            <w:shd w:val="clear" w:color="auto" w:fill="auto"/>
            <w:noWrap/>
            <w:vAlign w:val="center"/>
          </w:tcPr>
          <w:p w14:paraId="4D1168DB">
            <w:pPr>
              <w:keepNext w:val="0"/>
              <w:keepLines w:val="0"/>
              <w:widowControl/>
              <w:suppressLineNumbers w:val="0"/>
              <w:jc w:val="both"/>
              <w:textAlignment w:val="bottom"/>
              <w:rPr>
                <w:rFonts w:hint="eastAsia" w:ascii="宋体" w:hAnsi="宋体" w:eastAsia="宋体" w:cs="宋体"/>
                <w:i w:val="0"/>
                <w:iCs w:val="0"/>
                <w:color w:val="000000" w:themeColor="text1"/>
                <w:sz w:val="28"/>
                <w:szCs w:val="28"/>
                <w:u w:val="none"/>
                <w14:textFill>
                  <w14:solidFill>
                    <w14:schemeClr w14:val="tx1"/>
                  </w14:solidFill>
                </w14:textFill>
              </w:rPr>
            </w:pPr>
            <w:r>
              <w:rPr>
                <w:rFonts w:hint="eastAsia" w:ascii="宋体" w:hAnsi="宋体" w:eastAsia="宋体" w:cs="宋体"/>
                <w:i w:val="0"/>
                <w:iCs w:val="0"/>
                <w:color w:val="000000" w:themeColor="text1"/>
                <w:kern w:val="0"/>
                <w:sz w:val="28"/>
                <w:szCs w:val="28"/>
                <w:u w:val="none"/>
                <w:lang w:val="en-US" w:eastAsia="zh-CN" w:bidi="ar"/>
                <w14:textFill>
                  <w14:solidFill>
                    <w14:schemeClr w14:val="tx1"/>
                  </w14:solidFill>
                </w14:textFill>
              </w:rPr>
              <w:t>2025年区级社会保险基金支出预算草案</w:t>
            </w:r>
          </w:p>
        </w:tc>
      </w:tr>
      <w:tr w14:paraId="333238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9" w:hRule="atLeast"/>
          <w:jc w:val="center"/>
        </w:trPr>
        <w:tc>
          <w:tcPr>
            <w:tcW w:w="846" w:type="dxa"/>
            <w:tcBorders>
              <w:top w:val="nil"/>
              <w:left w:val="nil"/>
              <w:bottom w:val="nil"/>
              <w:right w:val="nil"/>
            </w:tcBorders>
            <w:shd w:val="clear" w:color="auto" w:fill="auto"/>
            <w:noWrap/>
            <w:vAlign w:val="center"/>
          </w:tcPr>
          <w:p w14:paraId="42B08BD3">
            <w:pPr>
              <w:keepNext w:val="0"/>
              <w:keepLines w:val="0"/>
              <w:widowControl/>
              <w:suppressLineNumbers w:val="0"/>
              <w:jc w:val="both"/>
              <w:textAlignment w:val="bottom"/>
              <w:rPr>
                <w:rFonts w:hint="eastAsia" w:ascii="宋体" w:hAnsi="宋体" w:eastAsia="宋体" w:cs="宋体"/>
                <w:i w:val="0"/>
                <w:iCs w:val="0"/>
                <w:color w:val="000000" w:themeColor="text1"/>
                <w:sz w:val="28"/>
                <w:szCs w:val="28"/>
                <w:u w:val="none"/>
                <w14:textFill>
                  <w14:solidFill>
                    <w14:schemeClr w14:val="tx1"/>
                  </w14:solidFill>
                </w14:textFill>
              </w:rPr>
            </w:pPr>
            <w:r>
              <w:rPr>
                <w:rFonts w:hint="eastAsia" w:ascii="宋体" w:hAnsi="宋体" w:eastAsia="宋体" w:cs="宋体"/>
                <w:i w:val="0"/>
                <w:iCs w:val="0"/>
                <w:color w:val="000000" w:themeColor="text1"/>
                <w:kern w:val="0"/>
                <w:sz w:val="28"/>
                <w:szCs w:val="28"/>
                <w:u w:val="none"/>
                <w:lang w:val="en-US" w:eastAsia="zh-CN" w:bidi="ar"/>
                <w14:textFill>
                  <w14:solidFill>
                    <w14:schemeClr w14:val="tx1"/>
                  </w14:solidFill>
                </w14:textFill>
              </w:rPr>
              <w:t>表15</w:t>
            </w:r>
          </w:p>
        </w:tc>
        <w:tc>
          <w:tcPr>
            <w:tcW w:w="390" w:type="dxa"/>
            <w:tcBorders>
              <w:top w:val="nil"/>
              <w:left w:val="nil"/>
              <w:bottom w:val="nil"/>
              <w:right w:val="nil"/>
            </w:tcBorders>
            <w:shd w:val="clear" w:color="auto" w:fill="auto"/>
            <w:noWrap/>
            <w:vAlign w:val="center"/>
          </w:tcPr>
          <w:p w14:paraId="4B1B8C23">
            <w:pPr>
              <w:keepNext w:val="0"/>
              <w:keepLines w:val="0"/>
              <w:widowControl/>
              <w:suppressLineNumbers w:val="0"/>
              <w:jc w:val="both"/>
              <w:textAlignment w:val="bottom"/>
              <w:rPr>
                <w:rFonts w:hint="eastAsia" w:ascii="宋体" w:hAnsi="宋体" w:eastAsia="宋体" w:cs="宋体"/>
                <w:i w:val="0"/>
                <w:iCs w:val="0"/>
                <w:color w:val="000000" w:themeColor="text1"/>
                <w:sz w:val="28"/>
                <w:szCs w:val="28"/>
                <w:u w:val="none"/>
                <w14:textFill>
                  <w14:solidFill>
                    <w14:schemeClr w14:val="tx1"/>
                  </w14:solidFill>
                </w14:textFill>
              </w:rPr>
            </w:pPr>
            <w:r>
              <w:rPr>
                <w:rFonts w:hint="eastAsia" w:ascii="宋体" w:hAnsi="宋体" w:eastAsia="宋体" w:cs="宋体"/>
                <w:i w:val="0"/>
                <w:iCs w:val="0"/>
                <w:color w:val="000000" w:themeColor="text1"/>
                <w:kern w:val="0"/>
                <w:sz w:val="28"/>
                <w:szCs w:val="28"/>
                <w:u w:val="none"/>
                <w:lang w:val="en-US" w:eastAsia="zh-CN" w:bidi="ar"/>
                <w14:textFill>
                  <w14:solidFill>
                    <w14:schemeClr w14:val="tx1"/>
                  </w14:solidFill>
                </w14:textFill>
              </w:rPr>
              <w:t>-</w:t>
            </w:r>
          </w:p>
        </w:tc>
        <w:tc>
          <w:tcPr>
            <w:tcW w:w="6525" w:type="dxa"/>
            <w:tcBorders>
              <w:top w:val="nil"/>
              <w:left w:val="nil"/>
              <w:bottom w:val="nil"/>
              <w:right w:val="nil"/>
            </w:tcBorders>
            <w:shd w:val="clear" w:color="auto" w:fill="auto"/>
            <w:noWrap/>
            <w:vAlign w:val="center"/>
          </w:tcPr>
          <w:p w14:paraId="752EF410">
            <w:pPr>
              <w:keepNext w:val="0"/>
              <w:keepLines w:val="0"/>
              <w:widowControl/>
              <w:suppressLineNumbers w:val="0"/>
              <w:jc w:val="both"/>
              <w:textAlignment w:val="bottom"/>
              <w:rPr>
                <w:rFonts w:hint="eastAsia" w:ascii="宋体" w:hAnsi="宋体" w:eastAsia="宋体" w:cs="宋体"/>
                <w:i w:val="0"/>
                <w:iCs w:val="0"/>
                <w:color w:val="000000" w:themeColor="text1"/>
                <w:sz w:val="28"/>
                <w:szCs w:val="28"/>
                <w:u w:val="none"/>
                <w14:textFill>
                  <w14:solidFill>
                    <w14:schemeClr w14:val="tx1"/>
                  </w14:solidFill>
                </w14:textFill>
              </w:rPr>
            </w:pPr>
            <w:r>
              <w:rPr>
                <w:rFonts w:hint="eastAsia" w:ascii="宋体" w:hAnsi="宋体" w:eastAsia="宋体" w:cs="宋体"/>
                <w:i w:val="0"/>
                <w:iCs w:val="0"/>
                <w:color w:val="000000" w:themeColor="text1"/>
                <w:kern w:val="0"/>
                <w:sz w:val="28"/>
                <w:szCs w:val="28"/>
                <w:u w:val="none"/>
                <w:lang w:val="en-US" w:eastAsia="zh-CN" w:bidi="ar"/>
                <w14:textFill>
                  <w14:solidFill>
                    <w14:schemeClr w14:val="tx1"/>
                  </w14:solidFill>
                </w14:textFill>
              </w:rPr>
              <w:t>2025年区级国有资本经营收入预算草案</w:t>
            </w:r>
          </w:p>
        </w:tc>
      </w:tr>
      <w:tr w14:paraId="096345F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9" w:hRule="atLeast"/>
          <w:jc w:val="center"/>
        </w:trPr>
        <w:tc>
          <w:tcPr>
            <w:tcW w:w="846" w:type="dxa"/>
            <w:tcBorders>
              <w:top w:val="nil"/>
              <w:left w:val="nil"/>
              <w:bottom w:val="nil"/>
              <w:right w:val="nil"/>
            </w:tcBorders>
            <w:shd w:val="clear" w:color="auto" w:fill="auto"/>
            <w:noWrap/>
            <w:vAlign w:val="center"/>
          </w:tcPr>
          <w:p w14:paraId="177EDD87">
            <w:pPr>
              <w:keepNext w:val="0"/>
              <w:keepLines w:val="0"/>
              <w:widowControl/>
              <w:suppressLineNumbers w:val="0"/>
              <w:jc w:val="both"/>
              <w:textAlignment w:val="bottom"/>
              <w:rPr>
                <w:rFonts w:hint="eastAsia" w:ascii="宋体" w:hAnsi="宋体" w:eastAsia="宋体" w:cs="宋体"/>
                <w:i w:val="0"/>
                <w:iCs w:val="0"/>
                <w:color w:val="000000" w:themeColor="text1"/>
                <w:sz w:val="28"/>
                <w:szCs w:val="28"/>
                <w:u w:val="none"/>
                <w14:textFill>
                  <w14:solidFill>
                    <w14:schemeClr w14:val="tx1"/>
                  </w14:solidFill>
                </w14:textFill>
              </w:rPr>
            </w:pPr>
            <w:r>
              <w:rPr>
                <w:rFonts w:hint="eastAsia" w:ascii="宋体" w:hAnsi="宋体" w:eastAsia="宋体" w:cs="宋体"/>
                <w:i w:val="0"/>
                <w:iCs w:val="0"/>
                <w:color w:val="000000" w:themeColor="text1"/>
                <w:kern w:val="0"/>
                <w:sz w:val="28"/>
                <w:szCs w:val="28"/>
                <w:u w:val="none"/>
                <w:lang w:val="en-US" w:eastAsia="zh-CN" w:bidi="ar"/>
                <w14:textFill>
                  <w14:solidFill>
                    <w14:schemeClr w14:val="tx1"/>
                  </w14:solidFill>
                </w14:textFill>
              </w:rPr>
              <w:t>表16</w:t>
            </w:r>
          </w:p>
        </w:tc>
        <w:tc>
          <w:tcPr>
            <w:tcW w:w="390" w:type="dxa"/>
            <w:tcBorders>
              <w:top w:val="nil"/>
              <w:left w:val="nil"/>
              <w:bottom w:val="nil"/>
              <w:right w:val="nil"/>
            </w:tcBorders>
            <w:shd w:val="clear" w:color="auto" w:fill="auto"/>
            <w:noWrap/>
            <w:vAlign w:val="center"/>
          </w:tcPr>
          <w:p w14:paraId="66A47AAF">
            <w:pPr>
              <w:keepNext w:val="0"/>
              <w:keepLines w:val="0"/>
              <w:widowControl/>
              <w:suppressLineNumbers w:val="0"/>
              <w:jc w:val="both"/>
              <w:textAlignment w:val="bottom"/>
              <w:rPr>
                <w:rFonts w:hint="eastAsia" w:ascii="宋体" w:hAnsi="宋体" w:eastAsia="宋体" w:cs="宋体"/>
                <w:i w:val="0"/>
                <w:iCs w:val="0"/>
                <w:color w:val="000000" w:themeColor="text1"/>
                <w:sz w:val="28"/>
                <w:szCs w:val="28"/>
                <w:u w:val="none"/>
                <w14:textFill>
                  <w14:solidFill>
                    <w14:schemeClr w14:val="tx1"/>
                  </w14:solidFill>
                </w14:textFill>
              </w:rPr>
            </w:pPr>
            <w:r>
              <w:rPr>
                <w:rFonts w:hint="eastAsia" w:ascii="宋体" w:hAnsi="宋体" w:eastAsia="宋体" w:cs="宋体"/>
                <w:i w:val="0"/>
                <w:iCs w:val="0"/>
                <w:color w:val="000000" w:themeColor="text1"/>
                <w:kern w:val="0"/>
                <w:sz w:val="28"/>
                <w:szCs w:val="28"/>
                <w:u w:val="none"/>
                <w:lang w:val="en-US" w:eastAsia="zh-CN" w:bidi="ar"/>
                <w14:textFill>
                  <w14:solidFill>
                    <w14:schemeClr w14:val="tx1"/>
                  </w14:solidFill>
                </w14:textFill>
              </w:rPr>
              <w:t>-</w:t>
            </w:r>
          </w:p>
        </w:tc>
        <w:tc>
          <w:tcPr>
            <w:tcW w:w="6525" w:type="dxa"/>
            <w:tcBorders>
              <w:top w:val="nil"/>
              <w:left w:val="nil"/>
              <w:bottom w:val="nil"/>
              <w:right w:val="nil"/>
            </w:tcBorders>
            <w:shd w:val="clear" w:color="auto" w:fill="auto"/>
            <w:noWrap/>
            <w:vAlign w:val="center"/>
          </w:tcPr>
          <w:p w14:paraId="651AD683">
            <w:pPr>
              <w:keepNext w:val="0"/>
              <w:keepLines w:val="0"/>
              <w:widowControl/>
              <w:suppressLineNumbers w:val="0"/>
              <w:jc w:val="both"/>
              <w:textAlignment w:val="bottom"/>
              <w:rPr>
                <w:rFonts w:hint="eastAsia" w:ascii="宋体" w:hAnsi="宋体" w:eastAsia="宋体" w:cs="宋体"/>
                <w:i w:val="0"/>
                <w:iCs w:val="0"/>
                <w:color w:val="000000" w:themeColor="text1"/>
                <w:sz w:val="28"/>
                <w:szCs w:val="28"/>
                <w:u w:val="none"/>
                <w14:textFill>
                  <w14:solidFill>
                    <w14:schemeClr w14:val="tx1"/>
                  </w14:solidFill>
                </w14:textFill>
              </w:rPr>
            </w:pPr>
            <w:r>
              <w:rPr>
                <w:rFonts w:hint="eastAsia" w:ascii="宋体" w:hAnsi="宋体" w:eastAsia="宋体" w:cs="宋体"/>
                <w:i w:val="0"/>
                <w:iCs w:val="0"/>
                <w:color w:val="000000" w:themeColor="text1"/>
                <w:kern w:val="0"/>
                <w:sz w:val="28"/>
                <w:szCs w:val="28"/>
                <w:u w:val="none"/>
                <w:lang w:val="en-US" w:eastAsia="zh-CN" w:bidi="ar"/>
                <w14:textFill>
                  <w14:solidFill>
                    <w14:schemeClr w14:val="tx1"/>
                  </w14:solidFill>
                </w14:textFill>
              </w:rPr>
              <w:t>2025年区级国有资本经营支出预算草案</w:t>
            </w:r>
          </w:p>
        </w:tc>
      </w:tr>
    </w:tbl>
    <w:p w14:paraId="0215DFB9">
      <w:pPr>
        <w:rPr>
          <w:rFonts w:hint="eastAsia"/>
          <w:color w:val="000000" w:themeColor="text1"/>
          <w:lang w:eastAsia="zh-CN"/>
          <w14:textFill>
            <w14:solidFill>
              <w14:schemeClr w14:val="tx1"/>
            </w14:solidFill>
          </w14:textFill>
        </w:rPr>
        <w:sectPr>
          <w:footerReference r:id="rId5" w:type="default"/>
          <w:pgSz w:w="11906" w:h="16838"/>
          <w:pgMar w:top="1531" w:right="1559" w:bottom="2268" w:left="1559" w:header="851" w:footer="1701" w:gutter="0"/>
          <w:pgNumType w:fmt="decimal"/>
          <w:cols w:space="0" w:num="1"/>
          <w:rtlGutter w:val="0"/>
          <w:docGrid w:type="lines" w:linePitch="449" w:charSpace="0"/>
        </w:sectPr>
      </w:pPr>
    </w:p>
    <w:p w14:paraId="6DE601DA">
      <w:pPr>
        <w:rPr>
          <w:rFonts w:hint="eastAsia"/>
          <w:color w:val="000000" w:themeColor="text1"/>
          <w:lang w:eastAsia="zh-CN"/>
          <w14:textFill>
            <w14:solidFill>
              <w14:schemeClr w14:val="tx1"/>
            </w14:solidFill>
          </w14:textFill>
        </w:rPr>
        <w:sectPr>
          <w:footerReference r:id="rId6" w:type="default"/>
          <w:pgSz w:w="11906" w:h="16838"/>
          <w:pgMar w:top="1531" w:right="1559" w:bottom="2268" w:left="1559" w:header="851" w:footer="1701" w:gutter="0"/>
          <w:pgNumType w:fmt="decimal"/>
          <w:cols w:space="0" w:num="1"/>
          <w:rtlGutter w:val="0"/>
          <w:docGrid w:type="lines" w:linePitch="449" w:charSpace="0"/>
        </w:sectPr>
      </w:pPr>
    </w:p>
    <w:tbl>
      <w:tblPr>
        <w:tblStyle w:val="10"/>
        <w:tblW w:w="8999"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4120"/>
        <w:gridCol w:w="1289"/>
        <w:gridCol w:w="1814"/>
        <w:gridCol w:w="1776"/>
      </w:tblGrid>
      <w:tr w14:paraId="629B0AF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4120" w:type="dxa"/>
            <w:tcBorders>
              <w:top w:val="nil"/>
              <w:left w:val="nil"/>
              <w:bottom w:val="nil"/>
              <w:right w:val="nil"/>
            </w:tcBorders>
            <w:shd w:val="clear" w:color="auto" w:fill="auto"/>
            <w:noWrap/>
            <w:vAlign w:val="center"/>
          </w:tcPr>
          <w:p w14:paraId="19C26AC5">
            <w:pPr>
              <w:keepNext w:val="0"/>
              <w:keepLines w:val="0"/>
              <w:widowControl/>
              <w:suppressLineNumbers w:val="0"/>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表1</w:t>
            </w:r>
          </w:p>
        </w:tc>
        <w:tc>
          <w:tcPr>
            <w:tcW w:w="1289" w:type="dxa"/>
            <w:tcBorders>
              <w:top w:val="nil"/>
              <w:left w:val="nil"/>
              <w:bottom w:val="nil"/>
              <w:right w:val="nil"/>
            </w:tcBorders>
            <w:shd w:val="clear" w:color="auto" w:fill="auto"/>
            <w:noWrap/>
            <w:vAlign w:val="center"/>
          </w:tcPr>
          <w:p w14:paraId="2FCE5DDD">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c>
          <w:tcPr>
            <w:tcW w:w="1814" w:type="dxa"/>
            <w:tcBorders>
              <w:top w:val="nil"/>
              <w:left w:val="nil"/>
              <w:bottom w:val="nil"/>
              <w:right w:val="nil"/>
            </w:tcBorders>
            <w:shd w:val="clear" w:color="auto" w:fill="auto"/>
            <w:noWrap/>
            <w:vAlign w:val="bottom"/>
          </w:tcPr>
          <w:p w14:paraId="1568284A">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c>
          <w:tcPr>
            <w:tcW w:w="1776" w:type="dxa"/>
            <w:tcBorders>
              <w:top w:val="nil"/>
              <w:left w:val="nil"/>
              <w:bottom w:val="nil"/>
              <w:right w:val="nil"/>
            </w:tcBorders>
            <w:shd w:val="clear" w:color="auto" w:fill="auto"/>
            <w:noWrap/>
            <w:vAlign w:val="bottom"/>
          </w:tcPr>
          <w:p w14:paraId="2A87C6EA">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r>
      <w:tr w14:paraId="1B1F8C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8999" w:type="dxa"/>
            <w:gridSpan w:val="4"/>
            <w:tcBorders>
              <w:top w:val="nil"/>
              <w:left w:val="nil"/>
              <w:bottom w:val="nil"/>
              <w:right w:val="nil"/>
            </w:tcBorders>
            <w:shd w:val="clear" w:color="auto" w:fill="auto"/>
            <w:noWrap/>
            <w:vAlign w:val="bottom"/>
          </w:tcPr>
          <w:p w14:paraId="74B397A7">
            <w:pPr>
              <w:keepNext w:val="0"/>
              <w:keepLines w:val="0"/>
              <w:widowControl/>
              <w:suppressLineNumbers w:val="0"/>
              <w:jc w:val="center"/>
              <w:textAlignment w:val="center"/>
              <w:rPr>
                <w:rFonts w:hint="eastAsia" w:ascii="宋体" w:hAnsi="宋体" w:eastAsia="宋体" w:cs="宋体"/>
                <w:b/>
                <w:bCs/>
                <w:i w:val="0"/>
                <w:iCs w:val="0"/>
                <w:color w:val="000000" w:themeColor="text1"/>
                <w:kern w:val="0"/>
                <w:sz w:val="40"/>
                <w:szCs w:val="40"/>
                <w:u w:val="none"/>
                <w:lang w:val="en-US" w:eastAsia="zh-CN" w:bidi="ar"/>
                <w14:textFill>
                  <w14:solidFill>
                    <w14:schemeClr w14:val="tx1"/>
                  </w14:solidFill>
                </w14:textFill>
              </w:rPr>
            </w:pPr>
            <w:r>
              <w:rPr>
                <w:rFonts w:hint="eastAsia" w:ascii="宋体" w:hAnsi="宋体" w:eastAsia="宋体" w:cs="宋体"/>
                <w:b/>
                <w:bCs/>
                <w:i w:val="0"/>
                <w:iCs w:val="0"/>
                <w:color w:val="000000" w:themeColor="text1"/>
                <w:kern w:val="0"/>
                <w:sz w:val="40"/>
                <w:szCs w:val="40"/>
                <w:u w:val="none"/>
                <w:lang w:val="en-US" w:eastAsia="zh-CN" w:bidi="ar"/>
                <w14:textFill>
                  <w14:solidFill>
                    <w14:schemeClr w14:val="tx1"/>
                  </w14:solidFill>
                </w14:textFill>
              </w:rPr>
              <w:t>2024年区级一般公共预算收入完成情况表</w:t>
            </w:r>
          </w:p>
        </w:tc>
      </w:tr>
      <w:tr w14:paraId="380F35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120" w:type="dxa"/>
            <w:tcBorders>
              <w:top w:val="nil"/>
              <w:left w:val="nil"/>
              <w:bottom w:val="nil"/>
              <w:right w:val="nil"/>
            </w:tcBorders>
            <w:shd w:val="clear" w:color="auto" w:fill="auto"/>
            <w:noWrap/>
            <w:vAlign w:val="bottom"/>
          </w:tcPr>
          <w:p w14:paraId="652E9DFA">
            <w:pPr>
              <w:jc w:val="left"/>
              <w:rPr>
                <w:rFonts w:hint="eastAsia" w:ascii="宋体" w:hAnsi="宋体" w:eastAsia="宋体" w:cs="宋体"/>
                <w:i w:val="0"/>
                <w:iCs w:val="0"/>
                <w:color w:val="000000" w:themeColor="text1"/>
                <w:sz w:val="24"/>
                <w:szCs w:val="24"/>
                <w:u w:val="none"/>
                <w14:textFill>
                  <w14:solidFill>
                    <w14:schemeClr w14:val="tx1"/>
                  </w14:solidFill>
                </w14:textFill>
              </w:rPr>
            </w:pPr>
          </w:p>
        </w:tc>
        <w:tc>
          <w:tcPr>
            <w:tcW w:w="1289" w:type="dxa"/>
            <w:tcBorders>
              <w:top w:val="nil"/>
              <w:left w:val="nil"/>
              <w:bottom w:val="nil"/>
              <w:right w:val="nil"/>
            </w:tcBorders>
            <w:shd w:val="clear" w:color="auto" w:fill="auto"/>
            <w:noWrap/>
            <w:vAlign w:val="center"/>
          </w:tcPr>
          <w:p w14:paraId="01DCA8C4">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c>
          <w:tcPr>
            <w:tcW w:w="1814" w:type="dxa"/>
            <w:tcBorders>
              <w:top w:val="nil"/>
              <w:left w:val="nil"/>
              <w:bottom w:val="nil"/>
              <w:right w:val="nil"/>
            </w:tcBorders>
            <w:shd w:val="clear" w:color="auto" w:fill="auto"/>
            <w:noWrap/>
            <w:vAlign w:val="bottom"/>
          </w:tcPr>
          <w:p w14:paraId="6D742A23">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c>
          <w:tcPr>
            <w:tcW w:w="1776" w:type="dxa"/>
            <w:tcBorders>
              <w:top w:val="nil"/>
              <w:left w:val="nil"/>
              <w:bottom w:val="nil"/>
              <w:right w:val="nil"/>
            </w:tcBorders>
            <w:shd w:val="clear" w:color="auto" w:fill="auto"/>
            <w:noWrap/>
            <w:vAlign w:val="center"/>
          </w:tcPr>
          <w:p w14:paraId="18C247E4">
            <w:pPr>
              <w:keepNext w:val="0"/>
              <w:keepLines w:val="0"/>
              <w:widowControl/>
              <w:suppressLineNumbers w:val="0"/>
              <w:jc w:val="righ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单位：万元</w:t>
            </w:r>
          </w:p>
        </w:tc>
      </w:tr>
      <w:tr w14:paraId="59B93A6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5" w:hRule="atLeast"/>
        </w:trPr>
        <w:tc>
          <w:tcPr>
            <w:tcW w:w="41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8A4510">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科目名称</w:t>
            </w:r>
          </w:p>
        </w:tc>
        <w:tc>
          <w:tcPr>
            <w:tcW w:w="12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0EA03B">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实际完成</w:t>
            </w:r>
          </w:p>
        </w:tc>
        <w:tc>
          <w:tcPr>
            <w:tcW w:w="18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72D9A6">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占调整预算</w:t>
            </w:r>
          </w:p>
          <w:p w14:paraId="3FC25D01">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w:t>
            </w:r>
          </w:p>
        </w:tc>
        <w:tc>
          <w:tcPr>
            <w:tcW w:w="17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14B55A">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可比增长</w:t>
            </w:r>
          </w:p>
          <w:p w14:paraId="26833EB6">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w:t>
            </w:r>
          </w:p>
        </w:tc>
      </w:tr>
      <w:tr w14:paraId="6DE8CB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5" w:hRule="atLeast"/>
        </w:trPr>
        <w:tc>
          <w:tcPr>
            <w:tcW w:w="41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0E8FC5">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一、税收收入</w:t>
            </w:r>
          </w:p>
        </w:tc>
        <w:tc>
          <w:tcPr>
            <w:tcW w:w="12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A6548D">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 xml:space="preserve">80425 </w:t>
            </w:r>
          </w:p>
        </w:tc>
        <w:tc>
          <w:tcPr>
            <w:tcW w:w="18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27081C">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92.9</w:t>
            </w:r>
          </w:p>
        </w:tc>
        <w:tc>
          <w:tcPr>
            <w:tcW w:w="17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9EDBBF">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4.1</w:t>
            </w:r>
          </w:p>
        </w:tc>
      </w:tr>
      <w:tr w14:paraId="506E89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5" w:hRule="atLeast"/>
        </w:trPr>
        <w:tc>
          <w:tcPr>
            <w:tcW w:w="41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97650E">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1.增值税</w:t>
            </w:r>
          </w:p>
        </w:tc>
        <w:tc>
          <w:tcPr>
            <w:tcW w:w="12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D0B897">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22715 </w:t>
            </w:r>
          </w:p>
        </w:tc>
        <w:tc>
          <w:tcPr>
            <w:tcW w:w="18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B6C9F3">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81.8</w:t>
            </w:r>
          </w:p>
        </w:tc>
        <w:tc>
          <w:tcPr>
            <w:tcW w:w="17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19681F">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-7.4</w:t>
            </w:r>
          </w:p>
        </w:tc>
      </w:tr>
      <w:tr w14:paraId="719EE6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5" w:hRule="atLeast"/>
        </w:trPr>
        <w:tc>
          <w:tcPr>
            <w:tcW w:w="41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5A706C">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2.企业所得税</w:t>
            </w:r>
          </w:p>
        </w:tc>
        <w:tc>
          <w:tcPr>
            <w:tcW w:w="12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46FF23">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3377 </w:t>
            </w:r>
          </w:p>
        </w:tc>
        <w:tc>
          <w:tcPr>
            <w:tcW w:w="18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345411">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81.4</w:t>
            </w:r>
          </w:p>
        </w:tc>
        <w:tc>
          <w:tcPr>
            <w:tcW w:w="17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FD7F8C">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-7.5</w:t>
            </w:r>
          </w:p>
        </w:tc>
      </w:tr>
      <w:tr w14:paraId="4BA1624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5" w:hRule="atLeast"/>
        </w:trPr>
        <w:tc>
          <w:tcPr>
            <w:tcW w:w="41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103145">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3.个人所得税</w:t>
            </w:r>
          </w:p>
        </w:tc>
        <w:tc>
          <w:tcPr>
            <w:tcW w:w="12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D51627">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942 </w:t>
            </w:r>
          </w:p>
        </w:tc>
        <w:tc>
          <w:tcPr>
            <w:tcW w:w="18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2241A6">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84</w:t>
            </w:r>
          </w:p>
        </w:tc>
        <w:tc>
          <w:tcPr>
            <w:tcW w:w="17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4F8F7F">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27.5</w:t>
            </w:r>
          </w:p>
        </w:tc>
      </w:tr>
      <w:tr w14:paraId="0B22A7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5" w:hRule="atLeast"/>
        </w:trPr>
        <w:tc>
          <w:tcPr>
            <w:tcW w:w="41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FC0F05">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    4.资源税</w:t>
            </w:r>
          </w:p>
        </w:tc>
        <w:tc>
          <w:tcPr>
            <w:tcW w:w="12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AD4C8B">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139 </w:t>
            </w:r>
          </w:p>
        </w:tc>
        <w:tc>
          <w:tcPr>
            <w:tcW w:w="18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B3200F">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2.8</w:t>
            </w:r>
          </w:p>
        </w:tc>
        <w:tc>
          <w:tcPr>
            <w:tcW w:w="17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4642C3">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-32.5</w:t>
            </w:r>
          </w:p>
        </w:tc>
      </w:tr>
      <w:tr w14:paraId="076BB58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5" w:hRule="atLeast"/>
        </w:trPr>
        <w:tc>
          <w:tcPr>
            <w:tcW w:w="41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A98046">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5.城市维护建设税</w:t>
            </w:r>
          </w:p>
        </w:tc>
        <w:tc>
          <w:tcPr>
            <w:tcW w:w="12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2976B2">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3403 </w:t>
            </w:r>
          </w:p>
        </w:tc>
        <w:tc>
          <w:tcPr>
            <w:tcW w:w="18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4A1739">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92.6</w:t>
            </w:r>
          </w:p>
        </w:tc>
        <w:tc>
          <w:tcPr>
            <w:tcW w:w="17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76624C">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-22.4</w:t>
            </w:r>
          </w:p>
        </w:tc>
      </w:tr>
      <w:tr w14:paraId="429368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5" w:hRule="atLeast"/>
        </w:trPr>
        <w:tc>
          <w:tcPr>
            <w:tcW w:w="41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85273E">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6.房产税</w:t>
            </w:r>
          </w:p>
        </w:tc>
        <w:tc>
          <w:tcPr>
            <w:tcW w:w="12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704156">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2626 </w:t>
            </w:r>
          </w:p>
        </w:tc>
        <w:tc>
          <w:tcPr>
            <w:tcW w:w="18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B26CD5">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1136.8</w:t>
            </w:r>
          </w:p>
        </w:tc>
        <w:tc>
          <w:tcPr>
            <w:tcW w:w="17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AE3FA9">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-17.8</w:t>
            </w:r>
          </w:p>
        </w:tc>
      </w:tr>
      <w:tr w14:paraId="62E4A2A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5" w:hRule="atLeast"/>
        </w:trPr>
        <w:tc>
          <w:tcPr>
            <w:tcW w:w="41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6CA9D2">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7.印花税</w:t>
            </w:r>
          </w:p>
        </w:tc>
        <w:tc>
          <w:tcPr>
            <w:tcW w:w="12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C43FD5">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2015 </w:t>
            </w:r>
          </w:p>
        </w:tc>
        <w:tc>
          <w:tcPr>
            <w:tcW w:w="18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FA9DD5">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73.5</w:t>
            </w:r>
          </w:p>
        </w:tc>
        <w:tc>
          <w:tcPr>
            <w:tcW w:w="17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EB72E8">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-14.7</w:t>
            </w:r>
          </w:p>
        </w:tc>
      </w:tr>
      <w:tr w14:paraId="255F02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5" w:hRule="atLeast"/>
        </w:trPr>
        <w:tc>
          <w:tcPr>
            <w:tcW w:w="41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8DFC6F">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8.城镇土地使用税</w:t>
            </w:r>
          </w:p>
        </w:tc>
        <w:tc>
          <w:tcPr>
            <w:tcW w:w="12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7482B4">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13722 </w:t>
            </w:r>
          </w:p>
        </w:tc>
        <w:tc>
          <w:tcPr>
            <w:tcW w:w="18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324717">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154.5</w:t>
            </w:r>
          </w:p>
        </w:tc>
        <w:tc>
          <w:tcPr>
            <w:tcW w:w="17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0F8F68">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70.8</w:t>
            </w:r>
          </w:p>
        </w:tc>
      </w:tr>
      <w:tr w14:paraId="703790F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5" w:hRule="atLeast"/>
        </w:trPr>
        <w:tc>
          <w:tcPr>
            <w:tcW w:w="41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E60CE1">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9.土地增值税</w:t>
            </w:r>
          </w:p>
        </w:tc>
        <w:tc>
          <w:tcPr>
            <w:tcW w:w="12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B328D8">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3542 </w:t>
            </w:r>
          </w:p>
        </w:tc>
        <w:tc>
          <w:tcPr>
            <w:tcW w:w="18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478C88">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55.9</w:t>
            </w:r>
          </w:p>
        </w:tc>
        <w:tc>
          <w:tcPr>
            <w:tcW w:w="17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9672E3">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-38.4</w:t>
            </w:r>
          </w:p>
        </w:tc>
      </w:tr>
      <w:tr w14:paraId="2F1426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5" w:hRule="atLeast"/>
        </w:trPr>
        <w:tc>
          <w:tcPr>
            <w:tcW w:w="41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0FB1DB">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10.车船税</w:t>
            </w:r>
          </w:p>
        </w:tc>
        <w:tc>
          <w:tcPr>
            <w:tcW w:w="12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700869">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6741 </w:t>
            </w:r>
          </w:p>
        </w:tc>
        <w:tc>
          <w:tcPr>
            <w:tcW w:w="18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13C5F2">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103.8</w:t>
            </w:r>
          </w:p>
        </w:tc>
        <w:tc>
          <w:tcPr>
            <w:tcW w:w="17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42554F">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14.4</w:t>
            </w:r>
          </w:p>
        </w:tc>
      </w:tr>
      <w:tr w14:paraId="4E8DD6E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5" w:hRule="atLeast"/>
        </w:trPr>
        <w:tc>
          <w:tcPr>
            <w:tcW w:w="41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413023">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11.耕地占用税</w:t>
            </w:r>
          </w:p>
        </w:tc>
        <w:tc>
          <w:tcPr>
            <w:tcW w:w="12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960783">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17262 </w:t>
            </w:r>
          </w:p>
        </w:tc>
        <w:tc>
          <w:tcPr>
            <w:tcW w:w="18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E893EA">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413</w:t>
            </w:r>
          </w:p>
        </w:tc>
        <w:tc>
          <w:tcPr>
            <w:tcW w:w="17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5C7CC2">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385.7</w:t>
            </w:r>
          </w:p>
        </w:tc>
      </w:tr>
      <w:tr w14:paraId="5AB1B8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5" w:hRule="atLeast"/>
        </w:trPr>
        <w:tc>
          <w:tcPr>
            <w:tcW w:w="41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FC20FD">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12.契税</w:t>
            </w:r>
          </w:p>
        </w:tc>
        <w:tc>
          <w:tcPr>
            <w:tcW w:w="12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1BD855">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3819 </w:t>
            </w:r>
          </w:p>
        </w:tc>
        <w:tc>
          <w:tcPr>
            <w:tcW w:w="18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B379EE">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24.2</w:t>
            </w:r>
          </w:p>
        </w:tc>
        <w:tc>
          <w:tcPr>
            <w:tcW w:w="17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1EA115">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-74.2</w:t>
            </w:r>
          </w:p>
        </w:tc>
      </w:tr>
      <w:tr w14:paraId="7D2A04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5" w:hRule="atLeast"/>
        </w:trPr>
        <w:tc>
          <w:tcPr>
            <w:tcW w:w="41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DBA885">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    13.环境保护税</w:t>
            </w:r>
          </w:p>
        </w:tc>
        <w:tc>
          <w:tcPr>
            <w:tcW w:w="12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B8E4D3">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122 </w:t>
            </w:r>
          </w:p>
        </w:tc>
        <w:tc>
          <w:tcPr>
            <w:tcW w:w="18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CED187">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67.8</w:t>
            </w:r>
          </w:p>
        </w:tc>
        <w:tc>
          <w:tcPr>
            <w:tcW w:w="17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EF2850">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-23.3</w:t>
            </w:r>
          </w:p>
        </w:tc>
      </w:tr>
      <w:tr w14:paraId="49EF2B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5" w:hRule="atLeast"/>
        </w:trPr>
        <w:tc>
          <w:tcPr>
            <w:tcW w:w="41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494646">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二、非税收入</w:t>
            </w:r>
          </w:p>
        </w:tc>
        <w:tc>
          <w:tcPr>
            <w:tcW w:w="12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6E8B36">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 xml:space="preserve">116279 </w:t>
            </w:r>
          </w:p>
        </w:tc>
        <w:tc>
          <w:tcPr>
            <w:tcW w:w="18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F1C915">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105.8</w:t>
            </w:r>
          </w:p>
        </w:tc>
        <w:tc>
          <w:tcPr>
            <w:tcW w:w="17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176280">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-0.1</w:t>
            </w:r>
          </w:p>
        </w:tc>
      </w:tr>
      <w:tr w14:paraId="52EA70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5" w:hRule="atLeast"/>
        </w:trPr>
        <w:tc>
          <w:tcPr>
            <w:tcW w:w="41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07178A">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1.专项收入</w:t>
            </w:r>
          </w:p>
        </w:tc>
        <w:tc>
          <w:tcPr>
            <w:tcW w:w="12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793EC8">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7174</w:t>
            </w:r>
          </w:p>
        </w:tc>
        <w:tc>
          <w:tcPr>
            <w:tcW w:w="18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1F3636">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30.3</w:t>
            </w:r>
          </w:p>
        </w:tc>
        <w:tc>
          <w:tcPr>
            <w:tcW w:w="17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5B02CB">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-69.7</w:t>
            </w:r>
          </w:p>
        </w:tc>
      </w:tr>
      <w:tr w14:paraId="414BDA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5" w:hRule="atLeast"/>
        </w:trPr>
        <w:tc>
          <w:tcPr>
            <w:tcW w:w="41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917339">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2.行政事业性收费收入</w:t>
            </w:r>
          </w:p>
        </w:tc>
        <w:tc>
          <w:tcPr>
            <w:tcW w:w="12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3D0B6D">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34579</w:t>
            </w:r>
          </w:p>
        </w:tc>
        <w:tc>
          <w:tcPr>
            <w:tcW w:w="18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1977BB">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103.6</w:t>
            </w:r>
          </w:p>
        </w:tc>
        <w:tc>
          <w:tcPr>
            <w:tcW w:w="17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29D386">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14.9</w:t>
            </w:r>
          </w:p>
        </w:tc>
      </w:tr>
      <w:tr w14:paraId="0DFD1F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5" w:hRule="atLeast"/>
        </w:trPr>
        <w:tc>
          <w:tcPr>
            <w:tcW w:w="41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606308">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3.罚没收入</w:t>
            </w:r>
          </w:p>
        </w:tc>
        <w:tc>
          <w:tcPr>
            <w:tcW w:w="12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33A10B">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2171</w:t>
            </w:r>
          </w:p>
        </w:tc>
        <w:tc>
          <w:tcPr>
            <w:tcW w:w="18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7DADE0">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60</w:t>
            </w:r>
          </w:p>
        </w:tc>
        <w:tc>
          <w:tcPr>
            <w:tcW w:w="17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CD07E5">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-40.1</w:t>
            </w:r>
          </w:p>
        </w:tc>
      </w:tr>
      <w:tr w14:paraId="23A779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5" w:hRule="atLeast"/>
        </w:trPr>
        <w:tc>
          <w:tcPr>
            <w:tcW w:w="41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681B14">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    4.国有资本经营收入</w:t>
            </w:r>
          </w:p>
        </w:tc>
        <w:tc>
          <w:tcPr>
            <w:tcW w:w="12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D100CF">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27000</w:t>
            </w:r>
          </w:p>
        </w:tc>
        <w:tc>
          <w:tcPr>
            <w:tcW w:w="18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29A860">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0</w:t>
            </w:r>
          </w:p>
        </w:tc>
        <w:tc>
          <w:tcPr>
            <w:tcW w:w="17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2251EE">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100</w:t>
            </w:r>
          </w:p>
        </w:tc>
      </w:tr>
      <w:tr w14:paraId="3B1628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5" w:hRule="atLeast"/>
        </w:trPr>
        <w:tc>
          <w:tcPr>
            <w:tcW w:w="4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C65236">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5.国有资源(资产)有偿使用收入</w:t>
            </w:r>
          </w:p>
        </w:tc>
        <w:tc>
          <w:tcPr>
            <w:tcW w:w="12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527A66">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44208</w:t>
            </w:r>
          </w:p>
        </w:tc>
        <w:tc>
          <w:tcPr>
            <w:tcW w:w="18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7EBCFD">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95.6</w:t>
            </w:r>
          </w:p>
        </w:tc>
        <w:tc>
          <w:tcPr>
            <w:tcW w:w="17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18D8AC">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-20.9</w:t>
            </w:r>
          </w:p>
        </w:tc>
      </w:tr>
      <w:tr w14:paraId="033C24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5" w:hRule="atLeast"/>
        </w:trPr>
        <w:tc>
          <w:tcPr>
            <w:tcW w:w="41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3F435F">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    6.政府住房基金收入</w:t>
            </w:r>
          </w:p>
        </w:tc>
        <w:tc>
          <w:tcPr>
            <w:tcW w:w="12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51DC88">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397</w:t>
            </w:r>
          </w:p>
        </w:tc>
        <w:tc>
          <w:tcPr>
            <w:tcW w:w="18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ECE025">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75.8</w:t>
            </w:r>
          </w:p>
        </w:tc>
        <w:tc>
          <w:tcPr>
            <w:tcW w:w="17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38758F">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-24.1</w:t>
            </w:r>
          </w:p>
        </w:tc>
      </w:tr>
      <w:tr w14:paraId="69D1DC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5" w:hRule="atLeast"/>
        </w:trPr>
        <w:tc>
          <w:tcPr>
            <w:tcW w:w="41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2E3FE8">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7.其他收入</w:t>
            </w:r>
          </w:p>
        </w:tc>
        <w:tc>
          <w:tcPr>
            <w:tcW w:w="12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C6496D">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750</w:t>
            </w:r>
          </w:p>
        </w:tc>
        <w:tc>
          <w:tcPr>
            <w:tcW w:w="18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3D360A">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29.6</w:t>
            </w:r>
          </w:p>
        </w:tc>
        <w:tc>
          <w:tcPr>
            <w:tcW w:w="17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98B047">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-70.4</w:t>
            </w:r>
          </w:p>
        </w:tc>
      </w:tr>
      <w:tr w14:paraId="3129D0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5" w:hRule="atLeast"/>
        </w:trPr>
        <w:tc>
          <w:tcPr>
            <w:tcW w:w="41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14E410">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合计</w:t>
            </w:r>
          </w:p>
        </w:tc>
        <w:tc>
          <w:tcPr>
            <w:tcW w:w="12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A61EEC">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 xml:space="preserve">196704 </w:t>
            </w:r>
          </w:p>
        </w:tc>
        <w:tc>
          <w:tcPr>
            <w:tcW w:w="18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64248A">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100.1</w:t>
            </w:r>
          </w:p>
        </w:tc>
        <w:tc>
          <w:tcPr>
            <w:tcW w:w="17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057179">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1.6</w:t>
            </w:r>
          </w:p>
        </w:tc>
      </w:tr>
    </w:tbl>
    <w:p w14:paraId="7AEEECE1">
      <w:pPr>
        <w:rPr>
          <w:rFonts w:hint="eastAsia"/>
          <w:color w:val="000000" w:themeColor="text1"/>
          <w:lang w:eastAsia="zh-CN"/>
          <w14:textFill>
            <w14:solidFill>
              <w14:schemeClr w14:val="tx1"/>
            </w14:solidFill>
          </w14:textFill>
        </w:rPr>
      </w:pPr>
      <w:r>
        <w:rPr>
          <w:rFonts w:hint="eastAsia"/>
          <w:color w:val="000000" w:themeColor="text1"/>
          <w:lang w:eastAsia="zh-CN"/>
          <w14:textFill>
            <w14:solidFill>
              <w14:schemeClr w14:val="tx1"/>
            </w14:solidFill>
          </w14:textFill>
        </w:rPr>
        <w:br w:type="page"/>
      </w:r>
    </w:p>
    <w:tbl>
      <w:tblPr>
        <w:tblStyle w:val="10"/>
        <w:tblW w:w="900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3544"/>
        <w:gridCol w:w="1692"/>
        <w:gridCol w:w="1807"/>
        <w:gridCol w:w="1957"/>
      </w:tblGrid>
      <w:tr w14:paraId="4EEA62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3544" w:type="dxa"/>
            <w:tcBorders>
              <w:top w:val="nil"/>
              <w:left w:val="nil"/>
              <w:bottom w:val="nil"/>
              <w:right w:val="nil"/>
            </w:tcBorders>
            <w:shd w:val="clear" w:color="auto" w:fill="auto"/>
            <w:vAlign w:val="center"/>
          </w:tcPr>
          <w:p w14:paraId="02B7D40D">
            <w:pPr>
              <w:keepNext w:val="0"/>
              <w:keepLines w:val="0"/>
              <w:widowControl/>
              <w:suppressLineNumbers w:val="0"/>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表2</w:t>
            </w:r>
          </w:p>
        </w:tc>
        <w:tc>
          <w:tcPr>
            <w:tcW w:w="1692" w:type="dxa"/>
            <w:tcBorders>
              <w:top w:val="nil"/>
              <w:left w:val="nil"/>
              <w:bottom w:val="nil"/>
              <w:right w:val="nil"/>
            </w:tcBorders>
            <w:shd w:val="clear" w:color="auto" w:fill="auto"/>
            <w:noWrap/>
            <w:vAlign w:val="bottom"/>
          </w:tcPr>
          <w:p w14:paraId="55BDC02C">
            <w:pPr>
              <w:rPr>
                <w:rFonts w:hint="eastAsia" w:ascii="宋体" w:hAnsi="宋体" w:eastAsia="宋体" w:cs="宋体"/>
                <w:i w:val="0"/>
                <w:iCs w:val="0"/>
                <w:color w:val="000000" w:themeColor="text1"/>
                <w:sz w:val="24"/>
                <w:szCs w:val="24"/>
                <w:u w:val="none"/>
                <w14:textFill>
                  <w14:solidFill>
                    <w14:schemeClr w14:val="tx1"/>
                  </w14:solidFill>
                </w14:textFill>
              </w:rPr>
            </w:pPr>
          </w:p>
        </w:tc>
        <w:tc>
          <w:tcPr>
            <w:tcW w:w="1807" w:type="dxa"/>
            <w:tcBorders>
              <w:top w:val="nil"/>
              <w:left w:val="nil"/>
              <w:bottom w:val="nil"/>
              <w:right w:val="nil"/>
            </w:tcBorders>
            <w:shd w:val="clear" w:color="auto" w:fill="auto"/>
            <w:noWrap/>
            <w:vAlign w:val="bottom"/>
          </w:tcPr>
          <w:p w14:paraId="45F8E88F">
            <w:pPr>
              <w:rPr>
                <w:rFonts w:hint="eastAsia" w:ascii="宋体" w:hAnsi="宋体" w:eastAsia="宋体" w:cs="宋体"/>
                <w:i w:val="0"/>
                <w:iCs w:val="0"/>
                <w:color w:val="000000" w:themeColor="text1"/>
                <w:sz w:val="24"/>
                <w:szCs w:val="24"/>
                <w:u w:val="none"/>
                <w14:textFill>
                  <w14:solidFill>
                    <w14:schemeClr w14:val="tx1"/>
                  </w14:solidFill>
                </w14:textFill>
              </w:rPr>
            </w:pPr>
          </w:p>
        </w:tc>
        <w:tc>
          <w:tcPr>
            <w:tcW w:w="1957" w:type="dxa"/>
            <w:tcBorders>
              <w:top w:val="nil"/>
              <w:left w:val="nil"/>
              <w:bottom w:val="nil"/>
              <w:right w:val="nil"/>
            </w:tcBorders>
            <w:shd w:val="clear" w:color="auto" w:fill="auto"/>
            <w:noWrap/>
            <w:vAlign w:val="bottom"/>
          </w:tcPr>
          <w:p w14:paraId="6C3C5821">
            <w:pPr>
              <w:rPr>
                <w:rFonts w:hint="eastAsia" w:ascii="宋体" w:hAnsi="宋体" w:eastAsia="宋体" w:cs="宋体"/>
                <w:i w:val="0"/>
                <w:iCs w:val="0"/>
                <w:color w:val="000000" w:themeColor="text1"/>
                <w:sz w:val="24"/>
                <w:szCs w:val="24"/>
                <w:u w:val="none"/>
                <w14:textFill>
                  <w14:solidFill>
                    <w14:schemeClr w14:val="tx1"/>
                  </w14:solidFill>
                </w14:textFill>
              </w:rPr>
            </w:pPr>
          </w:p>
        </w:tc>
      </w:tr>
      <w:tr w14:paraId="7D2991B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000" w:type="dxa"/>
            <w:gridSpan w:val="4"/>
            <w:tcBorders>
              <w:top w:val="nil"/>
              <w:left w:val="nil"/>
              <w:bottom w:val="nil"/>
              <w:right w:val="nil"/>
            </w:tcBorders>
            <w:shd w:val="clear" w:color="auto" w:fill="auto"/>
            <w:noWrap/>
            <w:vAlign w:val="bottom"/>
          </w:tcPr>
          <w:p w14:paraId="24DA9286">
            <w:pPr>
              <w:keepNext w:val="0"/>
              <w:keepLines w:val="0"/>
              <w:widowControl/>
              <w:suppressLineNumbers w:val="0"/>
              <w:jc w:val="center"/>
              <w:textAlignment w:val="center"/>
              <w:rPr>
                <w:rFonts w:hint="eastAsia" w:ascii="宋体" w:hAnsi="宋体" w:eastAsia="宋体" w:cs="宋体"/>
                <w:b/>
                <w:bCs/>
                <w:i w:val="0"/>
                <w:iCs w:val="0"/>
                <w:color w:val="000000" w:themeColor="text1"/>
                <w:kern w:val="0"/>
                <w:sz w:val="40"/>
                <w:szCs w:val="40"/>
                <w:u w:val="none"/>
                <w:lang w:val="en-US" w:eastAsia="zh-CN" w:bidi="ar"/>
                <w14:textFill>
                  <w14:solidFill>
                    <w14:schemeClr w14:val="tx1"/>
                  </w14:solidFill>
                </w14:textFill>
              </w:rPr>
            </w:pPr>
            <w:r>
              <w:rPr>
                <w:rFonts w:hint="eastAsia" w:ascii="宋体" w:hAnsi="宋体" w:eastAsia="宋体" w:cs="宋体"/>
                <w:b/>
                <w:bCs/>
                <w:i w:val="0"/>
                <w:iCs w:val="0"/>
                <w:color w:val="000000" w:themeColor="text1"/>
                <w:kern w:val="0"/>
                <w:sz w:val="40"/>
                <w:szCs w:val="40"/>
                <w:u w:val="none"/>
                <w:lang w:val="en-US" w:eastAsia="zh-CN" w:bidi="ar"/>
                <w14:textFill>
                  <w14:solidFill>
                    <w14:schemeClr w14:val="tx1"/>
                  </w14:solidFill>
                </w14:textFill>
              </w:rPr>
              <w:t>2024年区级一般公共预算支出完成情况表</w:t>
            </w:r>
          </w:p>
        </w:tc>
      </w:tr>
      <w:tr w14:paraId="3C6D19B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544" w:type="dxa"/>
            <w:tcBorders>
              <w:top w:val="nil"/>
              <w:left w:val="nil"/>
              <w:bottom w:val="nil"/>
              <w:right w:val="nil"/>
            </w:tcBorders>
            <w:shd w:val="clear" w:color="auto" w:fill="auto"/>
            <w:vAlign w:val="bottom"/>
          </w:tcPr>
          <w:p w14:paraId="23287D91">
            <w:pPr>
              <w:rPr>
                <w:rFonts w:hint="eastAsia" w:ascii="宋体" w:hAnsi="宋体" w:eastAsia="宋体" w:cs="宋体"/>
                <w:i w:val="0"/>
                <w:iCs w:val="0"/>
                <w:color w:val="000000" w:themeColor="text1"/>
                <w:sz w:val="24"/>
                <w:szCs w:val="24"/>
                <w:u w:val="none"/>
                <w14:textFill>
                  <w14:solidFill>
                    <w14:schemeClr w14:val="tx1"/>
                  </w14:solidFill>
                </w14:textFill>
              </w:rPr>
            </w:pPr>
          </w:p>
        </w:tc>
        <w:tc>
          <w:tcPr>
            <w:tcW w:w="1692" w:type="dxa"/>
            <w:tcBorders>
              <w:top w:val="nil"/>
              <w:left w:val="nil"/>
              <w:bottom w:val="nil"/>
              <w:right w:val="nil"/>
            </w:tcBorders>
            <w:shd w:val="clear" w:color="auto" w:fill="auto"/>
            <w:noWrap/>
            <w:vAlign w:val="bottom"/>
          </w:tcPr>
          <w:p w14:paraId="1B49C122">
            <w:pPr>
              <w:rPr>
                <w:rFonts w:hint="eastAsia" w:ascii="宋体" w:hAnsi="宋体" w:eastAsia="宋体" w:cs="宋体"/>
                <w:i w:val="0"/>
                <w:iCs w:val="0"/>
                <w:color w:val="000000" w:themeColor="text1"/>
                <w:sz w:val="24"/>
                <w:szCs w:val="24"/>
                <w:u w:val="none"/>
                <w14:textFill>
                  <w14:solidFill>
                    <w14:schemeClr w14:val="tx1"/>
                  </w14:solidFill>
                </w14:textFill>
              </w:rPr>
            </w:pPr>
          </w:p>
        </w:tc>
        <w:tc>
          <w:tcPr>
            <w:tcW w:w="1807" w:type="dxa"/>
            <w:tcBorders>
              <w:top w:val="nil"/>
              <w:left w:val="nil"/>
              <w:bottom w:val="nil"/>
              <w:right w:val="nil"/>
            </w:tcBorders>
            <w:shd w:val="clear" w:color="auto" w:fill="auto"/>
            <w:noWrap/>
            <w:vAlign w:val="bottom"/>
          </w:tcPr>
          <w:p w14:paraId="2FDF9412">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c>
          <w:tcPr>
            <w:tcW w:w="1957" w:type="dxa"/>
            <w:tcBorders>
              <w:top w:val="nil"/>
              <w:left w:val="nil"/>
              <w:bottom w:val="nil"/>
              <w:right w:val="nil"/>
            </w:tcBorders>
            <w:shd w:val="clear" w:color="auto" w:fill="auto"/>
            <w:noWrap/>
            <w:vAlign w:val="center"/>
          </w:tcPr>
          <w:p w14:paraId="578A9D87">
            <w:pPr>
              <w:keepNext w:val="0"/>
              <w:keepLines w:val="0"/>
              <w:widowControl/>
              <w:suppressLineNumbers w:val="0"/>
              <w:jc w:val="righ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单位：万元</w:t>
            </w:r>
          </w:p>
        </w:tc>
      </w:tr>
      <w:tr w14:paraId="4B43AF1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4" w:hRule="atLeast"/>
        </w:trPr>
        <w:tc>
          <w:tcPr>
            <w:tcW w:w="3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14ABCF">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科目名称</w:t>
            </w:r>
          </w:p>
        </w:tc>
        <w:tc>
          <w:tcPr>
            <w:tcW w:w="16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852FE6">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实际完成</w:t>
            </w:r>
          </w:p>
        </w:tc>
        <w:tc>
          <w:tcPr>
            <w:tcW w:w="18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803317">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占调整预算</w:t>
            </w: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br w:type="textWrapping"/>
            </w: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w:t>
            </w:r>
          </w:p>
        </w:tc>
        <w:tc>
          <w:tcPr>
            <w:tcW w:w="19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D1F748">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可比增长</w:t>
            </w:r>
          </w:p>
          <w:p w14:paraId="74D29268">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w:t>
            </w:r>
          </w:p>
        </w:tc>
      </w:tr>
      <w:tr w14:paraId="631AB00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4" w:hRule="atLeast"/>
        </w:trPr>
        <w:tc>
          <w:tcPr>
            <w:tcW w:w="3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FD6284">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201 一般公共服务支出</w:t>
            </w:r>
          </w:p>
        </w:tc>
        <w:tc>
          <w:tcPr>
            <w:tcW w:w="16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11EA3C">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46916 </w:t>
            </w:r>
          </w:p>
        </w:tc>
        <w:tc>
          <w:tcPr>
            <w:tcW w:w="18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4B9DC6">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96.7</w:t>
            </w:r>
          </w:p>
        </w:tc>
        <w:tc>
          <w:tcPr>
            <w:tcW w:w="19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D06414">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-10.2</w:t>
            </w:r>
          </w:p>
        </w:tc>
      </w:tr>
      <w:tr w14:paraId="202BF7F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4" w:hRule="atLeast"/>
        </w:trPr>
        <w:tc>
          <w:tcPr>
            <w:tcW w:w="3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3AB836">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203 国防支出</w:t>
            </w:r>
          </w:p>
        </w:tc>
        <w:tc>
          <w:tcPr>
            <w:tcW w:w="16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7184E9">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630 </w:t>
            </w:r>
          </w:p>
        </w:tc>
        <w:tc>
          <w:tcPr>
            <w:tcW w:w="18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7B398E">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99.7</w:t>
            </w:r>
          </w:p>
        </w:tc>
        <w:tc>
          <w:tcPr>
            <w:tcW w:w="19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400561">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607.9</w:t>
            </w:r>
          </w:p>
        </w:tc>
      </w:tr>
      <w:tr w14:paraId="7270EBE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4" w:hRule="atLeast"/>
        </w:trPr>
        <w:tc>
          <w:tcPr>
            <w:tcW w:w="3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31E03A">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204 公共安全支出</w:t>
            </w:r>
          </w:p>
        </w:tc>
        <w:tc>
          <w:tcPr>
            <w:tcW w:w="16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B5CD05">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5725 </w:t>
            </w:r>
          </w:p>
        </w:tc>
        <w:tc>
          <w:tcPr>
            <w:tcW w:w="18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35F76A">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95.5</w:t>
            </w:r>
          </w:p>
        </w:tc>
        <w:tc>
          <w:tcPr>
            <w:tcW w:w="19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BDD6FB">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-10.6</w:t>
            </w:r>
          </w:p>
        </w:tc>
      </w:tr>
      <w:tr w14:paraId="7C84EEE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4" w:hRule="atLeast"/>
        </w:trPr>
        <w:tc>
          <w:tcPr>
            <w:tcW w:w="3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52A03F">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205 教育支出</w:t>
            </w:r>
          </w:p>
        </w:tc>
        <w:tc>
          <w:tcPr>
            <w:tcW w:w="16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D9AD14">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151984 </w:t>
            </w:r>
          </w:p>
        </w:tc>
        <w:tc>
          <w:tcPr>
            <w:tcW w:w="18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3CEEF7">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90.4</w:t>
            </w:r>
          </w:p>
        </w:tc>
        <w:tc>
          <w:tcPr>
            <w:tcW w:w="19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737A7C">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0.8</w:t>
            </w:r>
          </w:p>
        </w:tc>
      </w:tr>
      <w:tr w14:paraId="43B8E10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4" w:hRule="atLeast"/>
        </w:trPr>
        <w:tc>
          <w:tcPr>
            <w:tcW w:w="3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CC2891">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206 科学技术支出</w:t>
            </w:r>
          </w:p>
        </w:tc>
        <w:tc>
          <w:tcPr>
            <w:tcW w:w="16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927767">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3120 </w:t>
            </w:r>
          </w:p>
        </w:tc>
        <w:tc>
          <w:tcPr>
            <w:tcW w:w="18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A2CF40">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78.5</w:t>
            </w:r>
          </w:p>
        </w:tc>
        <w:tc>
          <w:tcPr>
            <w:tcW w:w="19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75DA25">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-24.9</w:t>
            </w:r>
          </w:p>
        </w:tc>
      </w:tr>
      <w:tr w14:paraId="6C3D36A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4" w:hRule="atLeast"/>
        </w:trPr>
        <w:tc>
          <w:tcPr>
            <w:tcW w:w="3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644491">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207 文化旅游体育与传媒支出</w:t>
            </w:r>
          </w:p>
        </w:tc>
        <w:tc>
          <w:tcPr>
            <w:tcW w:w="16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1687DE">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2829 </w:t>
            </w:r>
          </w:p>
        </w:tc>
        <w:tc>
          <w:tcPr>
            <w:tcW w:w="18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222F99">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90.9</w:t>
            </w:r>
          </w:p>
        </w:tc>
        <w:tc>
          <w:tcPr>
            <w:tcW w:w="19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B7277E">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-1.6</w:t>
            </w:r>
          </w:p>
        </w:tc>
      </w:tr>
      <w:tr w14:paraId="17761F5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4" w:hRule="atLeast"/>
        </w:trPr>
        <w:tc>
          <w:tcPr>
            <w:tcW w:w="3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971C93">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208 社会保障和就业支出</w:t>
            </w:r>
          </w:p>
        </w:tc>
        <w:tc>
          <w:tcPr>
            <w:tcW w:w="16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412CF2">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87676 </w:t>
            </w:r>
          </w:p>
        </w:tc>
        <w:tc>
          <w:tcPr>
            <w:tcW w:w="18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1F17CE">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94.6</w:t>
            </w:r>
          </w:p>
        </w:tc>
        <w:tc>
          <w:tcPr>
            <w:tcW w:w="19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CF8DDF">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2.9</w:t>
            </w:r>
          </w:p>
        </w:tc>
      </w:tr>
      <w:tr w14:paraId="0D3BF47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4" w:hRule="atLeast"/>
        </w:trPr>
        <w:tc>
          <w:tcPr>
            <w:tcW w:w="3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77B358">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210 卫生健康支出</w:t>
            </w:r>
          </w:p>
        </w:tc>
        <w:tc>
          <w:tcPr>
            <w:tcW w:w="16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DF6329">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31206 </w:t>
            </w:r>
          </w:p>
        </w:tc>
        <w:tc>
          <w:tcPr>
            <w:tcW w:w="18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2F8253">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87.9</w:t>
            </w:r>
          </w:p>
        </w:tc>
        <w:tc>
          <w:tcPr>
            <w:tcW w:w="19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46459C">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-37.2</w:t>
            </w:r>
          </w:p>
        </w:tc>
      </w:tr>
      <w:tr w14:paraId="77E2440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4" w:hRule="atLeast"/>
        </w:trPr>
        <w:tc>
          <w:tcPr>
            <w:tcW w:w="3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F6F421">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211 节能环保支出</w:t>
            </w:r>
          </w:p>
        </w:tc>
        <w:tc>
          <w:tcPr>
            <w:tcW w:w="16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D4D63D">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11039 </w:t>
            </w:r>
          </w:p>
        </w:tc>
        <w:tc>
          <w:tcPr>
            <w:tcW w:w="18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3E1B09">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85.5</w:t>
            </w:r>
          </w:p>
        </w:tc>
        <w:tc>
          <w:tcPr>
            <w:tcW w:w="19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3BAF72">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-31</w:t>
            </w:r>
          </w:p>
        </w:tc>
      </w:tr>
      <w:tr w14:paraId="3CD6214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4" w:hRule="atLeast"/>
        </w:trPr>
        <w:tc>
          <w:tcPr>
            <w:tcW w:w="3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43A773">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212 城乡社区支出</w:t>
            </w:r>
          </w:p>
        </w:tc>
        <w:tc>
          <w:tcPr>
            <w:tcW w:w="16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248878">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32974 </w:t>
            </w:r>
          </w:p>
        </w:tc>
        <w:tc>
          <w:tcPr>
            <w:tcW w:w="18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7B0803">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73.6</w:t>
            </w:r>
          </w:p>
        </w:tc>
        <w:tc>
          <w:tcPr>
            <w:tcW w:w="19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92E108">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-56.2</w:t>
            </w:r>
          </w:p>
        </w:tc>
      </w:tr>
      <w:tr w14:paraId="1D49C3E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4" w:hRule="atLeast"/>
        </w:trPr>
        <w:tc>
          <w:tcPr>
            <w:tcW w:w="3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40F448">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213 农林水支出</w:t>
            </w:r>
          </w:p>
        </w:tc>
        <w:tc>
          <w:tcPr>
            <w:tcW w:w="16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E4084F">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35686 </w:t>
            </w:r>
          </w:p>
        </w:tc>
        <w:tc>
          <w:tcPr>
            <w:tcW w:w="18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108E04">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59.6</w:t>
            </w:r>
          </w:p>
        </w:tc>
        <w:tc>
          <w:tcPr>
            <w:tcW w:w="19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9CFC2E">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-20.7</w:t>
            </w:r>
          </w:p>
        </w:tc>
      </w:tr>
      <w:tr w14:paraId="2CA876B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4" w:hRule="atLeast"/>
        </w:trPr>
        <w:tc>
          <w:tcPr>
            <w:tcW w:w="3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FB4A6C">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214 交通运输支出</w:t>
            </w:r>
          </w:p>
        </w:tc>
        <w:tc>
          <w:tcPr>
            <w:tcW w:w="16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FB5EBD">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8367 </w:t>
            </w:r>
          </w:p>
        </w:tc>
        <w:tc>
          <w:tcPr>
            <w:tcW w:w="18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E9831B">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57.1</w:t>
            </w:r>
          </w:p>
        </w:tc>
        <w:tc>
          <w:tcPr>
            <w:tcW w:w="19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84CC81">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79.6</w:t>
            </w:r>
          </w:p>
        </w:tc>
      </w:tr>
      <w:tr w14:paraId="34D414A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4" w:hRule="atLeast"/>
        </w:trPr>
        <w:tc>
          <w:tcPr>
            <w:tcW w:w="3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44A9F9">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215 资源勘探信息等支出</w:t>
            </w:r>
          </w:p>
        </w:tc>
        <w:tc>
          <w:tcPr>
            <w:tcW w:w="16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B2875A">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1198 </w:t>
            </w:r>
          </w:p>
        </w:tc>
        <w:tc>
          <w:tcPr>
            <w:tcW w:w="18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432E33">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52.8</w:t>
            </w:r>
          </w:p>
        </w:tc>
        <w:tc>
          <w:tcPr>
            <w:tcW w:w="19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6EC23F">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-74.2</w:t>
            </w:r>
          </w:p>
        </w:tc>
      </w:tr>
      <w:tr w14:paraId="0E4D638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4" w:hRule="atLeast"/>
        </w:trPr>
        <w:tc>
          <w:tcPr>
            <w:tcW w:w="3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638048">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216 商业服务业等支出</w:t>
            </w:r>
          </w:p>
        </w:tc>
        <w:tc>
          <w:tcPr>
            <w:tcW w:w="16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CEC0FA">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821 </w:t>
            </w:r>
          </w:p>
        </w:tc>
        <w:tc>
          <w:tcPr>
            <w:tcW w:w="18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B4BD86">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26.6</w:t>
            </w:r>
          </w:p>
        </w:tc>
        <w:tc>
          <w:tcPr>
            <w:tcW w:w="19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EDDA85">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-24.8</w:t>
            </w:r>
          </w:p>
        </w:tc>
      </w:tr>
      <w:tr w14:paraId="2611C8D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4" w:hRule="atLeast"/>
        </w:trPr>
        <w:tc>
          <w:tcPr>
            <w:tcW w:w="3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E16486">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217 金融支出</w:t>
            </w:r>
          </w:p>
        </w:tc>
        <w:tc>
          <w:tcPr>
            <w:tcW w:w="16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C6EE28">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3 </w:t>
            </w:r>
          </w:p>
        </w:tc>
        <w:tc>
          <w:tcPr>
            <w:tcW w:w="18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34238C">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100</w:t>
            </w:r>
          </w:p>
        </w:tc>
        <w:tc>
          <w:tcPr>
            <w:tcW w:w="19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E309C5">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100</w:t>
            </w:r>
          </w:p>
        </w:tc>
      </w:tr>
      <w:tr w14:paraId="0138B98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4" w:hRule="atLeast"/>
        </w:trPr>
        <w:tc>
          <w:tcPr>
            <w:tcW w:w="3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226978">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220 自然资源海洋气象等支出</w:t>
            </w:r>
          </w:p>
        </w:tc>
        <w:tc>
          <w:tcPr>
            <w:tcW w:w="16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C8A11F">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2936 </w:t>
            </w:r>
          </w:p>
        </w:tc>
        <w:tc>
          <w:tcPr>
            <w:tcW w:w="18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F91E5A">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90.2</w:t>
            </w:r>
          </w:p>
        </w:tc>
        <w:tc>
          <w:tcPr>
            <w:tcW w:w="19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5B1601">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198.1</w:t>
            </w:r>
          </w:p>
        </w:tc>
      </w:tr>
      <w:tr w14:paraId="03792A0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4" w:hRule="atLeast"/>
        </w:trPr>
        <w:tc>
          <w:tcPr>
            <w:tcW w:w="3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DACA36">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221 住房保障支出</w:t>
            </w:r>
          </w:p>
        </w:tc>
        <w:tc>
          <w:tcPr>
            <w:tcW w:w="16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8E01B8">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16561 </w:t>
            </w:r>
          </w:p>
        </w:tc>
        <w:tc>
          <w:tcPr>
            <w:tcW w:w="18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38B668">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100</w:t>
            </w:r>
          </w:p>
        </w:tc>
        <w:tc>
          <w:tcPr>
            <w:tcW w:w="19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6DC7FE">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-16.7</w:t>
            </w:r>
          </w:p>
        </w:tc>
      </w:tr>
      <w:tr w14:paraId="6E930D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3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46D2E6">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222 粮油物资储备支出</w:t>
            </w:r>
          </w:p>
        </w:tc>
        <w:tc>
          <w:tcPr>
            <w:tcW w:w="16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0A26C3">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359 </w:t>
            </w:r>
          </w:p>
        </w:tc>
        <w:tc>
          <w:tcPr>
            <w:tcW w:w="18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39FB42">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100</w:t>
            </w:r>
          </w:p>
        </w:tc>
        <w:tc>
          <w:tcPr>
            <w:tcW w:w="19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06012C">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-72.1</w:t>
            </w:r>
          </w:p>
        </w:tc>
      </w:tr>
      <w:tr w14:paraId="6C72A95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4" w:hRule="atLeast"/>
        </w:trPr>
        <w:tc>
          <w:tcPr>
            <w:tcW w:w="3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E94A58">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224 灾害防治及应急管理支出</w:t>
            </w:r>
          </w:p>
        </w:tc>
        <w:tc>
          <w:tcPr>
            <w:tcW w:w="16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A2A0BF">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3003 </w:t>
            </w:r>
          </w:p>
        </w:tc>
        <w:tc>
          <w:tcPr>
            <w:tcW w:w="18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D2D6D1">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93.2</w:t>
            </w:r>
          </w:p>
        </w:tc>
        <w:tc>
          <w:tcPr>
            <w:tcW w:w="19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E2E6F4">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-6.2</w:t>
            </w:r>
          </w:p>
        </w:tc>
      </w:tr>
      <w:tr w14:paraId="6EB7CAA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4" w:hRule="atLeast"/>
        </w:trPr>
        <w:tc>
          <w:tcPr>
            <w:tcW w:w="3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128E44">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232 债务付息支出</w:t>
            </w:r>
          </w:p>
        </w:tc>
        <w:tc>
          <w:tcPr>
            <w:tcW w:w="16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30EAA0">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2835 </w:t>
            </w:r>
          </w:p>
        </w:tc>
        <w:tc>
          <w:tcPr>
            <w:tcW w:w="18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7F7055">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100</w:t>
            </w:r>
          </w:p>
        </w:tc>
        <w:tc>
          <w:tcPr>
            <w:tcW w:w="19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BF73B9">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14.5</w:t>
            </w:r>
          </w:p>
        </w:tc>
      </w:tr>
      <w:tr w14:paraId="10B254B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4" w:hRule="atLeast"/>
        </w:trPr>
        <w:tc>
          <w:tcPr>
            <w:tcW w:w="3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A50676">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233 债务发行费用</w:t>
            </w:r>
          </w:p>
        </w:tc>
        <w:tc>
          <w:tcPr>
            <w:tcW w:w="16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622F5D">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11 </w:t>
            </w:r>
          </w:p>
        </w:tc>
        <w:tc>
          <w:tcPr>
            <w:tcW w:w="18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7AB713">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95.8</w:t>
            </w:r>
          </w:p>
        </w:tc>
        <w:tc>
          <w:tcPr>
            <w:tcW w:w="19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2A5995">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-21.4</w:t>
            </w:r>
          </w:p>
        </w:tc>
      </w:tr>
      <w:tr w14:paraId="6DA3A88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4" w:hRule="atLeast"/>
        </w:trPr>
        <w:tc>
          <w:tcPr>
            <w:tcW w:w="35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219FFA">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合计</w:t>
            </w:r>
          </w:p>
        </w:tc>
        <w:tc>
          <w:tcPr>
            <w:tcW w:w="16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AA3F61">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 xml:space="preserve">445879 </w:t>
            </w:r>
          </w:p>
        </w:tc>
        <w:tc>
          <w:tcPr>
            <w:tcW w:w="18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F08008">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84.6</w:t>
            </w:r>
          </w:p>
        </w:tc>
        <w:tc>
          <w:tcPr>
            <w:tcW w:w="19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5C1A7E">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-15.2</w:t>
            </w:r>
          </w:p>
        </w:tc>
      </w:tr>
    </w:tbl>
    <w:p w14:paraId="3C0B6009">
      <w:pPr>
        <w:rPr>
          <w:rFonts w:hint="eastAsia"/>
          <w:color w:val="000000" w:themeColor="text1"/>
          <w:lang w:eastAsia="zh-CN"/>
          <w14:textFill>
            <w14:solidFill>
              <w14:schemeClr w14:val="tx1"/>
            </w14:solidFill>
          </w14:textFill>
        </w:rPr>
      </w:pPr>
      <w:r>
        <w:rPr>
          <w:rFonts w:hint="eastAsia"/>
          <w:color w:val="000000" w:themeColor="text1"/>
          <w:lang w:eastAsia="zh-CN"/>
          <w14:textFill>
            <w14:solidFill>
              <w14:schemeClr w14:val="tx1"/>
            </w14:solidFill>
          </w14:textFill>
        </w:rPr>
        <w:br w:type="page"/>
      </w:r>
    </w:p>
    <w:tbl>
      <w:tblPr>
        <w:tblStyle w:val="10"/>
        <w:tblW w:w="900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3713"/>
        <w:gridCol w:w="1598"/>
        <w:gridCol w:w="1814"/>
        <w:gridCol w:w="1875"/>
      </w:tblGrid>
      <w:tr w14:paraId="2C4CEA0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713" w:type="dxa"/>
            <w:tcBorders>
              <w:top w:val="nil"/>
              <w:left w:val="nil"/>
              <w:bottom w:val="nil"/>
              <w:right w:val="nil"/>
            </w:tcBorders>
            <w:shd w:val="clear" w:color="auto" w:fill="auto"/>
            <w:vAlign w:val="center"/>
          </w:tcPr>
          <w:p w14:paraId="368FF402">
            <w:pPr>
              <w:keepNext w:val="0"/>
              <w:keepLines w:val="0"/>
              <w:widowControl/>
              <w:suppressLineNumbers w:val="0"/>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表3</w:t>
            </w:r>
          </w:p>
        </w:tc>
        <w:tc>
          <w:tcPr>
            <w:tcW w:w="1598" w:type="dxa"/>
            <w:tcBorders>
              <w:top w:val="nil"/>
              <w:left w:val="nil"/>
              <w:bottom w:val="nil"/>
              <w:right w:val="nil"/>
            </w:tcBorders>
            <w:shd w:val="clear" w:color="auto" w:fill="auto"/>
            <w:noWrap/>
            <w:vAlign w:val="bottom"/>
          </w:tcPr>
          <w:p w14:paraId="1C671180">
            <w:pPr>
              <w:rPr>
                <w:rFonts w:hint="eastAsia" w:ascii="宋体" w:hAnsi="宋体" w:eastAsia="宋体" w:cs="宋体"/>
                <w:i w:val="0"/>
                <w:iCs w:val="0"/>
                <w:color w:val="000000" w:themeColor="text1"/>
                <w:sz w:val="24"/>
                <w:szCs w:val="24"/>
                <w:u w:val="none"/>
                <w14:textFill>
                  <w14:solidFill>
                    <w14:schemeClr w14:val="tx1"/>
                  </w14:solidFill>
                </w14:textFill>
              </w:rPr>
            </w:pPr>
          </w:p>
        </w:tc>
        <w:tc>
          <w:tcPr>
            <w:tcW w:w="1814" w:type="dxa"/>
            <w:tcBorders>
              <w:top w:val="nil"/>
              <w:left w:val="nil"/>
              <w:bottom w:val="nil"/>
              <w:right w:val="nil"/>
            </w:tcBorders>
            <w:shd w:val="clear" w:color="auto" w:fill="auto"/>
            <w:noWrap/>
            <w:vAlign w:val="bottom"/>
          </w:tcPr>
          <w:p w14:paraId="7B221F11">
            <w:pPr>
              <w:rPr>
                <w:rFonts w:hint="eastAsia" w:ascii="宋体" w:hAnsi="宋体" w:eastAsia="宋体" w:cs="宋体"/>
                <w:i w:val="0"/>
                <w:iCs w:val="0"/>
                <w:color w:val="000000" w:themeColor="text1"/>
                <w:sz w:val="24"/>
                <w:szCs w:val="24"/>
                <w:u w:val="none"/>
                <w14:textFill>
                  <w14:solidFill>
                    <w14:schemeClr w14:val="tx1"/>
                  </w14:solidFill>
                </w14:textFill>
              </w:rPr>
            </w:pPr>
          </w:p>
        </w:tc>
        <w:tc>
          <w:tcPr>
            <w:tcW w:w="1875" w:type="dxa"/>
            <w:tcBorders>
              <w:top w:val="nil"/>
              <w:left w:val="nil"/>
              <w:bottom w:val="nil"/>
              <w:right w:val="nil"/>
            </w:tcBorders>
            <w:shd w:val="clear" w:color="auto" w:fill="auto"/>
            <w:noWrap/>
            <w:vAlign w:val="bottom"/>
          </w:tcPr>
          <w:p w14:paraId="3486D653">
            <w:pPr>
              <w:rPr>
                <w:rFonts w:hint="eastAsia" w:ascii="宋体" w:hAnsi="宋体" w:eastAsia="宋体" w:cs="宋体"/>
                <w:i w:val="0"/>
                <w:iCs w:val="0"/>
                <w:color w:val="000000" w:themeColor="text1"/>
                <w:sz w:val="24"/>
                <w:szCs w:val="24"/>
                <w:u w:val="none"/>
                <w14:textFill>
                  <w14:solidFill>
                    <w14:schemeClr w14:val="tx1"/>
                  </w14:solidFill>
                </w14:textFill>
              </w:rPr>
            </w:pPr>
          </w:p>
        </w:tc>
      </w:tr>
      <w:tr w14:paraId="1167EE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5" w:hRule="atLeast"/>
        </w:trPr>
        <w:tc>
          <w:tcPr>
            <w:tcW w:w="9000" w:type="dxa"/>
            <w:gridSpan w:val="4"/>
            <w:tcBorders>
              <w:top w:val="nil"/>
              <w:left w:val="nil"/>
              <w:bottom w:val="nil"/>
              <w:right w:val="nil"/>
            </w:tcBorders>
            <w:shd w:val="clear" w:color="auto" w:fill="auto"/>
            <w:noWrap/>
            <w:vAlign w:val="bottom"/>
          </w:tcPr>
          <w:p w14:paraId="116C9151">
            <w:pPr>
              <w:keepNext w:val="0"/>
              <w:keepLines w:val="0"/>
              <w:widowControl/>
              <w:suppressLineNumbers w:val="0"/>
              <w:jc w:val="center"/>
              <w:textAlignment w:val="center"/>
              <w:rPr>
                <w:rFonts w:hint="eastAsia" w:ascii="宋体" w:hAnsi="宋体" w:eastAsia="宋体" w:cs="宋体"/>
                <w:b/>
                <w:bCs/>
                <w:i w:val="0"/>
                <w:iCs w:val="0"/>
                <w:color w:val="000000" w:themeColor="text1"/>
                <w:kern w:val="0"/>
                <w:sz w:val="40"/>
                <w:szCs w:val="40"/>
                <w:u w:val="none"/>
                <w:lang w:val="en-US" w:eastAsia="zh-CN" w:bidi="ar"/>
                <w14:textFill>
                  <w14:solidFill>
                    <w14:schemeClr w14:val="tx1"/>
                  </w14:solidFill>
                </w14:textFill>
              </w:rPr>
            </w:pPr>
            <w:r>
              <w:rPr>
                <w:rFonts w:hint="eastAsia" w:ascii="宋体" w:hAnsi="宋体" w:eastAsia="宋体" w:cs="宋体"/>
                <w:b/>
                <w:bCs/>
                <w:i w:val="0"/>
                <w:iCs w:val="0"/>
                <w:color w:val="000000" w:themeColor="text1"/>
                <w:kern w:val="0"/>
                <w:sz w:val="40"/>
                <w:szCs w:val="40"/>
                <w:u w:val="none"/>
                <w:lang w:val="en-US" w:eastAsia="zh-CN" w:bidi="ar"/>
                <w14:textFill>
                  <w14:solidFill>
                    <w14:schemeClr w14:val="tx1"/>
                  </w14:solidFill>
                </w14:textFill>
              </w:rPr>
              <w:t>2024年区级政府性基金预算收入完成情况表</w:t>
            </w:r>
          </w:p>
        </w:tc>
      </w:tr>
      <w:tr w14:paraId="7ABE07C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713" w:type="dxa"/>
            <w:tcBorders>
              <w:top w:val="nil"/>
              <w:left w:val="nil"/>
              <w:bottom w:val="nil"/>
              <w:right w:val="nil"/>
            </w:tcBorders>
            <w:shd w:val="clear" w:color="auto" w:fill="auto"/>
            <w:vAlign w:val="bottom"/>
          </w:tcPr>
          <w:p w14:paraId="7E6BB381">
            <w:pPr>
              <w:rPr>
                <w:rFonts w:hint="eastAsia" w:ascii="宋体" w:hAnsi="宋体" w:eastAsia="宋体" w:cs="宋体"/>
                <w:i w:val="0"/>
                <w:iCs w:val="0"/>
                <w:color w:val="000000" w:themeColor="text1"/>
                <w:sz w:val="24"/>
                <w:szCs w:val="24"/>
                <w:u w:val="none"/>
                <w14:textFill>
                  <w14:solidFill>
                    <w14:schemeClr w14:val="tx1"/>
                  </w14:solidFill>
                </w14:textFill>
              </w:rPr>
            </w:pPr>
          </w:p>
        </w:tc>
        <w:tc>
          <w:tcPr>
            <w:tcW w:w="1598" w:type="dxa"/>
            <w:tcBorders>
              <w:top w:val="nil"/>
              <w:left w:val="nil"/>
              <w:bottom w:val="nil"/>
              <w:right w:val="nil"/>
            </w:tcBorders>
            <w:shd w:val="clear" w:color="auto" w:fill="auto"/>
            <w:noWrap/>
            <w:vAlign w:val="bottom"/>
          </w:tcPr>
          <w:p w14:paraId="67ABFB38">
            <w:pPr>
              <w:rPr>
                <w:rFonts w:hint="eastAsia" w:ascii="宋体" w:hAnsi="宋体" w:eastAsia="宋体" w:cs="宋体"/>
                <w:i w:val="0"/>
                <w:iCs w:val="0"/>
                <w:color w:val="000000" w:themeColor="text1"/>
                <w:sz w:val="24"/>
                <w:szCs w:val="24"/>
                <w:u w:val="none"/>
                <w14:textFill>
                  <w14:solidFill>
                    <w14:schemeClr w14:val="tx1"/>
                  </w14:solidFill>
                </w14:textFill>
              </w:rPr>
            </w:pPr>
          </w:p>
        </w:tc>
        <w:tc>
          <w:tcPr>
            <w:tcW w:w="1814" w:type="dxa"/>
            <w:tcBorders>
              <w:top w:val="nil"/>
              <w:left w:val="nil"/>
              <w:bottom w:val="nil"/>
              <w:right w:val="nil"/>
            </w:tcBorders>
            <w:shd w:val="clear" w:color="auto" w:fill="auto"/>
            <w:noWrap/>
            <w:vAlign w:val="bottom"/>
          </w:tcPr>
          <w:p w14:paraId="45D100E8">
            <w:pPr>
              <w:rPr>
                <w:rFonts w:hint="eastAsia" w:ascii="宋体" w:hAnsi="宋体" w:eastAsia="宋体" w:cs="宋体"/>
                <w:i w:val="0"/>
                <w:iCs w:val="0"/>
                <w:color w:val="000000" w:themeColor="text1"/>
                <w:sz w:val="24"/>
                <w:szCs w:val="24"/>
                <w:u w:val="none"/>
                <w14:textFill>
                  <w14:solidFill>
                    <w14:schemeClr w14:val="tx1"/>
                  </w14:solidFill>
                </w14:textFill>
              </w:rPr>
            </w:pPr>
          </w:p>
        </w:tc>
        <w:tc>
          <w:tcPr>
            <w:tcW w:w="1875" w:type="dxa"/>
            <w:tcBorders>
              <w:top w:val="nil"/>
              <w:left w:val="nil"/>
              <w:bottom w:val="nil"/>
              <w:right w:val="nil"/>
            </w:tcBorders>
            <w:shd w:val="clear" w:color="auto" w:fill="auto"/>
            <w:vAlign w:val="center"/>
          </w:tcPr>
          <w:p w14:paraId="00D7F0D7">
            <w:pPr>
              <w:keepNext w:val="0"/>
              <w:keepLines w:val="0"/>
              <w:widowControl/>
              <w:suppressLineNumbers w:val="0"/>
              <w:jc w:val="righ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单位：万元</w:t>
            </w:r>
          </w:p>
        </w:tc>
      </w:tr>
      <w:tr w14:paraId="633D26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2" w:hRule="atLeast"/>
        </w:trPr>
        <w:tc>
          <w:tcPr>
            <w:tcW w:w="37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B119C3">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科目名称</w:t>
            </w:r>
          </w:p>
        </w:tc>
        <w:tc>
          <w:tcPr>
            <w:tcW w:w="15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84B0B1">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实际完成</w:t>
            </w:r>
          </w:p>
        </w:tc>
        <w:tc>
          <w:tcPr>
            <w:tcW w:w="18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3F4EB0">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占调整预算</w:t>
            </w: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br w:type="textWrapping"/>
            </w: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w:t>
            </w:r>
          </w:p>
        </w:tc>
        <w:tc>
          <w:tcPr>
            <w:tcW w:w="18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BBF9B9">
            <w:pPr>
              <w:keepNext w:val="0"/>
              <w:keepLines w:val="0"/>
              <w:widowControl/>
              <w:suppressLineNumbers w:val="0"/>
              <w:jc w:val="center"/>
              <w:textAlignment w:val="cente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可比增长</w:t>
            </w:r>
          </w:p>
          <w:p w14:paraId="32249593">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w:t>
            </w:r>
          </w:p>
        </w:tc>
      </w:tr>
      <w:tr w14:paraId="7918D2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8" w:hRule="atLeast"/>
        </w:trPr>
        <w:tc>
          <w:tcPr>
            <w:tcW w:w="37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E12EB1">
            <w:pPr>
              <w:keepNext w:val="0"/>
              <w:keepLines w:val="0"/>
              <w:widowControl/>
              <w:suppressLineNumbers w:val="0"/>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 国有土地收益基金收入</w:t>
            </w:r>
          </w:p>
        </w:tc>
        <w:tc>
          <w:tcPr>
            <w:tcW w:w="15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592D47">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163</w:t>
            </w:r>
          </w:p>
        </w:tc>
        <w:tc>
          <w:tcPr>
            <w:tcW w:w="18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FFFA06">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100</w:t>
            </w:r>
          </w:p>
        </w:tc>
        <w:tc>
          <w:tcPr>
            <w:tcW w:w="18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66D7E1">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-95.9</w:t>
            </w:r>
          </w:p>
        </w:tc>
      </w:tr>
      <w:tr w14:paraId="4AE241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8" w:hRule="atLeast"/>
        </w:trPr>
        <w:tc>
          <w:tcPr>
            <w:tcW w:w="37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D66F74">
            <w:pPr>
              <w:keepNext w:val="0"/>
              <w:keepLines w:val="0"/>
              <w:widowControl/>
              <w:suppressLineNumbers w:val="0"/>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 农业土地开发资金收入</w:t>
            </w:r>
          </w:p>
        </w:tc>
        <w:tc>
          <w:tcPr>
            <w:tcW w:w="15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34E8C9">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22</w:t>
            </w:r>
          </w:p>
        </w:tc>
        <w:tc>
          <w:tcPr>
            <w:tcW w:w="18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355672">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100</w:t>
            </w:r>
          </w:p>
        </w:tc>
        <w:tc>
          <w:tcPr>
            <w:tcW w:w="18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4FEB0A">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-97.9</w:t>
            </w:r>
          </w:p>
        </w:tc>
      </w:tr>
      <w:tr w14:paraId="6030A7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8" w:hRule="atLeast"/>
        </w:trPr>
        <w:tc>
          <w:tcPr>
            <w:tcW w:w="37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C42D4E">
            <w:pPr>
              <w:keepNext w:val="0"/>
              <w:keepLines w:val="0"/>
              <w:widowControl/>
              <w:suppressLineNumbers w:val="0"/>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3. 国有土地使用权出让收入</w:t>
            </w:r>
          </w:p>
        </w:tc>
        <w:tc>
          <w:tcPr>
            <w:tcW w:w="15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63CDEA">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9641 </w:t>
            </w:r>
          </w:p>
        </w:tc>
        <w:tc>
          <w:tcPr>
            <w:tcW w:w="18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375C0F">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100.1</w:t>
            </w:r>
          </w:p>
        </w:tc>
        <w:tc>
          <w:tcPr>
            <w:tcW w:w="18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A765C3">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-89.6</w:t>
            </w:r>
          </w:p>
        </w:tc>
      </w:tr>
      <w:tr w14:paraId="20E6B9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8" w:hRule="atLeast"/>
        </w:trPr>
        <w:tc>
          <w:tcPr>
            <w:tcW w:w="37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C97700">
            <w:pPr>
              <w:keepNext w:val="0"/>
              <w:keepLines w:val="0"/>
              <w:widowControl/>
              <w:suppressLineNumbers w:val="0"/>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4. 彩票公益金收入</w:t>
            </w:r>
          </w:p>
        </w:tc>
        <w:tc>
          <w:tcPr>
            <w:tcW w:w="15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85DA69">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206</w:t>
            </w:r>
          </w:p>
        </w:tc>
        <w:tc>
          <w:tcPr>
            <w:tcW w:w="18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B4AC5B">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114.4</w:t>
            </w:r>
          </w:p>
        </w:tc>
        <w:tc>
          <w:tcPr>
            <w:tcW w:w="18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2EBF35">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-23.7</w:t>
            </w:r>
          </w:p>
        </w:tc>
      </w:tr>
      <w:tr w14:paraId="21CF26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8" w:hRule="atLeast"/>
        </w:trPr>
        <w:tc>
          <w:tcPr>
            <w:tcW w:w="37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E3BCBF">
            <w:pPr>
              <w:keepNext w:val="0"/>
              <w:keepLines w:val="0"/>
              <w:widowControl/>
              <w:suppressLineNumbers w:val="0"/>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5. 城市基础设施配套费收入</w:t>
            </w:r>
          </w:p>
        </w:tc>
        <w:tc>
          <w:tcPr>
            <w:tcW w:w="15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84B151">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4780</w:t>
            </w:r>
          </w:p>
        </w:tc>
        <w:tc>
          <w:tcPr>
            <w:tcW w:w="18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C7FA0E">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177.1</w:t>
            </w:r>
          </w:p>
        </w:tc>
        <w:tc>
          <w:tcPr>
            <w:tcW w:w="18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05C49E">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-49.5</w:t>
            </w:r>
          </w:p>
        </w:tc>
      </w:tr>
      <w:tr w14:paraId="5E7D22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8" w:hRule="atLeast"/>
        </w:trPr>
        <w:tc>
          <w:tcPr>
            <w:tcW w:w="37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2B47B1">
            <w:pPr>
              <w:keepNext w:val="0"/>
              <w:keepLines w:val="0"/>
              <w:widowControl/>
              <w:suppressLineNumbers w:val="0"/>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6. 污水处理费收入</w:t>
            </w:r>
          </w:p>
        </w:tc>
        <w:tc>
          <w:tcPr>
            <w:tcW w:w="15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6BC858">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601</w:t>
            </w:r>
          </w:p>
        </w:tc>
        <w:tc>
          <w:tcPr>
            <w:tcW w:w="18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3201DA">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100</w:t>
            </w:r>
          </w:p>
        </w:tc>
        <w:tc>
          <w:tcPr>
            <w:tcW w:w="18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C495F2">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-72.2</w:t>
            </w:r>
          </w:p>
        </w:tc>
      </w:tr>
      <w:tr w14:paraId="5572984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88" w:hRule="atLeast"/>
        </w:trPr>
        <w:tc>
          <w:tcPr>
            <w:tcW w:w="37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5F4E73">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合计</w:t>
            </w:r>
          </w:p>
        </w:tc>
        <w:tc>
          <w:tcPr>
            <w:tcW w:w="15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05A46E">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 xml:space="preserve">15413 </w:t>
            </w:r>
          </w:p>
        </w:tc>
        <w:tc>
          <w:tcPr>
            <w:tcW w:w="18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C5752C">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115.9</w:t>
            </w:r>
          </w:p>
        </w:tc>
        <w:tc>
          <w:tcPr>
            <w:tcW w:w="18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F89BFE">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-86</w:t>
            </w:r>
          </w:p>
        </w:tc>
      </w:tr>
    </w:tbl>
    <w:p w14:paraId="682F1F0F">
      <w:pPr>
        <w:rPr>
          <w:rFonts w:hint="eastAsia"/>
          <w:color w:val="000000" w:themeColor="text1"/>
          <w:lang w:eastAsia="zh-CN"/>
          <w14:textFill>
            <w14:solidFill>
              <w14:schemeClr w14:val="tx1"/>
            </w14:solidFill>
          </w14:textFill>
        </w:rPr>
      </w:pPr>
    </w:p>
    <w:p w14:paraId="1EC33F6C">
      <w:pPr>
        <w:rPr>
          <w:rFonts w:hint="eastAsia"/>
          <w:color w:val="000000" w:themeColor="text1"/>
          <w:lang w:eastAsia="zh-CN"/>
          <w14:textFill>
            <w14:solidFill>
              <w14:schemeClr w14:val="tx1"/>
            </w14:solidFill>
          </w14:textFill>
        </w:rPr>
      </w:pPr>
      <w:r>
        <w:rPr>
          <w:rFonts w:hint="eastAsia"/>
          <w:color w:val="000000" w:themeColor="text1"/>
          <w:lang w:eastAsia="zh-CN"/>
          <w14:textFill>
            <w14:solidFill>
              <w14:schemeClr w14:val="tx1"/>
            </w14:solidFill>
          </w14:textFill>
        </w:rPr>
        <w:br w:type="page"/>
      </w:r>
    </w:p>
    <w:tbl>
      <w:tblPr>
        <w:tblStyle w:val="10"/>
        <w:tblW w:w="8999"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4803"/>
        <w:gridCol w:w="1275"/>
        <w:gridCol w:w="1545"/>
        <w:gridCol w:w="1376"/>
      </w:tblGrid>
      <w:tr w14:paraId="1E67F2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8" w:hRule="atLeast"/>
        </w:trPr>
        <w:tc>
          <w:tcPr>
            <w:tcW w:w="4803" w:type="dxa"/>
            <w:tcBorders>
              <w:top w:val="nil"/>
              <w:left w:val="nil"/>
              <w:bottom w:val="nil"/>
              <w:right w:val="nil"/>
            </w:tcBorders>
            <w:shd w:val="clear" w:color="auto" w:fill="auto"/>
            <w:noWrap/>
            <w:vAlign w:val="bottom"/>
          </w:tcPr>
          <w:p w14:paraId="4C6B1919">
            <w:pPr>
              <w:keepNext w:val="0"/>
              <w:keepLines w:val="0"/>
              <w:widowControl/>
              <w:suppressLineNumbers w:val="0"/>
              <w:jc w:val="left"/>
              <w:textAlignment w:val="bottom"/>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表4</w:t>
            </w:r>
          </w:p>
        </w:tc>
        <w:tc>
          <w:tcPr>
            <w:tcW w:w="1275" w:type="dxa"/>
            <w:tcBorders>
              <w:top w:val="nil"/>
              <w:left w:val="nil"/>
              <w:bottom w:val="nil"/>
              <w:right w:val="nil"/>
            </w:tcBorders>
            <w:shd w:val="clear" w:color="auto" w:fill="auto"/>
            <w:noWrap/>
            <w:vAlign w:val="center"/>
          </w:tcPr>
          <w:p w14:paraId="69C915D8">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c>
          <w:tcPr>
            <w:tcW w:w="1545" w:type="dxa"/>
            <w:tcBorders>
              <w:top w:val="nil"/>
              <w:left w:val="nil"/>
              <w:bottom w:val="nil"/>
              <w:right w:val="nil"/>
            </w:tcBorders>
            <w:shd w:val="clear" w:color="auto" w:fill="auto"/>
            <w:noWrap/>
            <w:vAlign w:val="center"/>
          </w:tcPr>
          <w:p w14:paraId="0E833414">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c>
          <w:tcPr>
            <w:tcW w:w="1376" w:type="dxa"/>
            <w:tcBorders>
              <w:top w:val="nil"/>
              <w:left w:val="nil"/>
              <w:bottom w:val="nil"/>
              <w:right w:val="nil"/>
            </w:tcBorders>
            <w:shd w:val="clear" w:color="auto" w:fill="auto"/>
            <w:noWrap/>
            <w:vAlign w:val="bottom"/>
          </w:tcPr>
          <w:p w14:paraId="7A7FEF2D">
            <w:pPr>
              <w:rPr>
                <w:rFonts w:hint="eastAsia" w:ascii="宋体" w:hAnsi="宋体" w:eastAsia="宋体" w:cs="宋体"/>
                <w:i w:val="0"/>
                <w:iCs w:val="0"/>
                <w:color w:val="000000" w:themeColor="text1"/>
                <w:sz w:val="24"/>
                <w:szCs w:val="24"/>
                <w:u w:val="none"/>
                <w14:textFill>
                  <w14:solidFill>
                    <w14:schemeClr w14:val="tx1"/>
                  </w14:solidFill>
                </w14:textFill>
              </w:rPr>
            </w:pPr>
          </w:p>
        </w:tc>
      </w:tr>
      <w:tr w14:paraId="4CC5BE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8" w:hRule="atLeast"/>
        </w:trPr>
        <w:tc>
          <w:tcPr>
            <w:tcW w:w="8999" w:type="dxa"/>
            <w:gridSpan w:val="4"/>
            <w:tcBorders>
              <w:top w:val="nil"/>
              <w:left w:val="nil"/>
              <w:bottom w:val="nil"/>
              <w:right w:val="nil"/>
            </w:tcBorders>
            <w:shd w:val="clear" w:color="auto" w:fill="auto"/>
            <w:noWrap/>
            <w:vAlign w:val="bottom"/>
          </w:tcPr>
          <w:p w14:paraId="52DA3D25">
            <w:pPr>
              <w:keepNext w:val="0"/>
              <w:keepLines w:val="0"/>
              <w:widowControl/>
              <w:suppressLineNumbers w:val="0"/>
              <w:jc w:val="center"/>
              <w:textAlignment w:val="center"/>
              <w:rPr>
                <w:rFonts w:hint="eastAsia" w:ascii="宋体" w:hAnsi="宋体" w:eastAsia="宋体" w:cs="宋体"/>
                <w:b/>
                <w:bCs/>
                <w:i w:val="0"/>
                <w:iCs w:val="0"/>
                <w:color w:val="000000" w:themeColor="text1"/>
                <w:kern w:val="0"/>
                <w:sz w:val="40"/>
                <w:szCs w:val="40"/>
                <w:u w:val="none"/>
                <w:lang w:val="en-US" w:eastAsia="zh-CN" w:bidi="ar"/>
                <w14:textFill>
                  <w14:solidFill>
                    <w14:schemeClr w14:val="tx1"/>
                  </w14:solidFill>
                </w14:textFill>
              </w:rPr>
            </w:pPr>
            <w:r>
              <w:rPr>
                <w:rFonts w:hint="eastAsia" w:ascii="宋体" w:hAnsi="宋体" w:eastAsia="宋体" w:cs="宋体"/>
                <w:b/>
                <w:bCs/>
                <w:i w:val="0"/>
                <w:iCs w:val="0"/>
                <w:color w:val="000000" w:themeColor="text1"/>
                <w:kern w:val="0"/>
                <w:sz w:val="40"/>
                <w:szCs w:val="40"/>
                <w:u w:val="none"/>
                <w:lang w:val="en-US" w:eastAsia="zh-CN" w:bidi="ar"/>
                <w14:textFill>
                  <w14:solidFill>
                    <w14:schemeClr w14:val="tx1"/>
                  </w14:solidFill>
                </w14:textFill>
              </w:rPr>
              <w:t>2024年区级政府性基金预算支出完成情况表</w:t>
            </w:r>
          </w:p>
        </w:tc>
      </w:tr>
      <w:tr w14:paraId="1311F7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8" w:hRule="atLeast"/>
        </w:trPr>
        <w:tc>
          <w:tcPr>
            <w:tcW w:w="4803" w:type="dxa"/>
            <w:tcBorders>
              <w:top w:val="nil"/>
              <w:left w:val="nil"/>
              <w:bottom w:val="nil"/>
              <w:right w:val="nil"/>
            </w:tcBorders>
            <w:shd w:val="clear" w:color="auto" w:fill="auto"/>
            <w:vAlign w:val="bottom"/>
          </w:tcPr>
          <w:p w14:paraId="61ACABB8">
            <w:pPr>
              <w:rPr>
                <w:rFonts w:hint="eastAsia" w:ascii="宋体" w:hAnsi="宋体" w:eastAsia="宋体" w:cs="宋体"/>
                <w:i w:val="0"/>
                <w:iCs w:val="0"/>
                <w:color w:val="000000" w:themeColor="text1"/>
                <w:sz w:val="24"/>
                <w:szCs w:val="24"/>
                <w:u w:val="none"/>
                <w14:textFill>
                  <w14:solidFill>
                    <w14:schemeClr w14:val="tx1"/>
                  </w14:solidFill>
                </w14:textFill>
              </w:rPr>
            </w:pPr>
          </w:p>
        </w:tc>
        <w:tc>
          <w:tcPr>
            <w:tcW w:w="1275" w:type="dxa"/>
            <w:tcBorders>
              <w:top w:val="nil"/>
              <w:left w:val="nil"/>
              <w:bottom w:val="nil"/>
              <w:right w:val="nil"/>
            </w:tcBorders>
            <w:shd w:val="clear" w:color="auto" w:fill="auto"/>
            <w:noWrap/>
            <w:vAlign w:val="center"/>
          </w:tcPr>
          <w:p w14:paraId="268B08E6">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c>
          <w:tcPr>
            <w:tcW w:w="1545" w:type="dxa"/>
            <w:tcBorders>
              <w:top w:val="nil"/>
              <w:left w:val="nil"/>
              <w:bottom w:val="nil"/>
              <w:right w:val="nil"/>
            </w:tcBorders>
            <w:shd w:val="clear" w:color="auto" w:fill="auto"/>
            <w:noWrap/>
            <w:vAlign w:val="bottom"/>
          </w:tcPr>
          <w:p w14:paraId="48B15C0A">
            <w:pPr>
              <w:rPr>
                <w:rFonts w:hint="eastAsia" w:ascii="宋体" w:hAnsi="宋体" w:eastAsia="宋体" w:cs="宋体"/>
                <w:i w:val="0"/>
                <w:iCs w:val="0"/>
                <w:color w:val="000000" w:themeColor="text1"/>
                <w:sz w:val="24"/>
                <w:szCs w:val="24"/>
                <w:u w:val="none"/>
                <w14:textFill>
                  <w14:solidFill>
                    <w14:schemeClr w14:val="tx1"/>
                  </w14:solidFill>
                </w14:textFill>
              </w:rPr>
            </w:pPr>
          </w:p>
        </w:tc>
        <w:tc>
          <w:tcPr>
            <w:tcW w:w="1376" w:type="dxa"/>
            <w:tcBorders>
              <w:top w:val="nil"/>
              <w:left w:val="nil"/>
              <w:bottom w:val="nil"/>
              <w:right w:val="nil"/>
            </w:tcBorders>
            <w:shd w:val="clear" w:color="auto" w:fill="auto"/>
            <w:noWrap/>
            <w:vAlign w:val="center"/>
          </w:tcPr>
          <w:p w14:paraId="6F976921">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单位：万元</w:t>
            </w:r>
          </w:p>
        </w:tc>
      </w:tr>
      <w:tr w14:paraId="09E6E5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5" w:hRule="atLeast"/>
        </w:trPr>
        <w:tc>
          <w:tcPr>
            <w:tcW w:w="48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C622D7">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科目名称</w:t>
            </w: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1D35B0">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实际完成</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06C184">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占调整预算</w:t>
            </w: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br w:type="textWrapping"/>
            </w: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w:t>
            </w:r>
          </w:p>
        </w:tc>
        <w:tc>
          <w:tcPr>
            <w:tcW w:w="13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9C8ED0">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可比增长（%）</w:t>
            </w:r>
          </w:p>
        </w:tc>
      </w:tr>
      <w:tr w14:paraId="1EBE81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5" w:hRule="atLeast"/>
        </w:trPr>
        <w:tc>
          <w:tcPr>
            <w:tcW w:w="48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E70691">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一、文化旅游体育与传媒支出</w:t>
            </w:r>
          </w:p>
        </w:tc>
        <w:tc>
          <w:tcPr>
            <w:tcW w:w="1275" w:type="dxa"/>
            <w:tcBorders>
              <w:top w:val="single" w:color="000000" w:sz="4" w:space="0"/>
              <w:left w:val="single" w:color="000000" w:sz="4" w:space="0"/>
              <w:bottom w:val="single" w:color="000000" w:sz="4" w:space="0"/>
              <w:right w:val="nil"/>
            </w:tcBorders>
            <w:shd w:val="clear" w:color="auto" w:fill="auto"/>
            <w:vAlign w:val="center"/>
          </w:tcPr>
          <w:p w14:paraId="55FE8A4D">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 xml:space="preserve">35 </w:t>
            </w:r>
          </w:p>
        </w:tc>
        <w:tc>
          <w:tcPr>
            <w:tcW w:w="1545" w:type="dxa"/>
            <w:tcBorders>
              <w:top w:val="single" w:color="000000" w:sz="4" w:space="0"/>
              <w:left w:val="single" w:color="000000" w:sz="4" w:space="0"/>
              <w:bottom w:val="single" w:color="000000" w:sz="4" w:space="0"/>
              <w:right w:val="nil"/>
            </w:tcBorders>
            <w:shd w:val="clear" w:color="auto" w:fill="auto"/>
            <w:noWrap/>
            <w:vAlign w:val="center"/>
          </w:tcPr>
          <w:p w14:paraId="1665F830">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97.2</w:t>
            </w:r>
          </w:p>
        </w:tc>
        <w:tc>
          <w:tcPr>
            <w:tcW w:w="1376" w:type="dxa"/>
            <w:tcBorders>
              <w:top w:val="nil"/>
              <w:left w:val="single" w:color="000000" w:sz="4" w:space="0"/>
              <w:bottom w:val="single" w:color="000000" w:sz="4" w:space="0"/>
              <w:right w:val="single" w:color="000000" w:sz="4" w:space="0"/>
            </w:tcBorders>
            <w:shd w:val="clear" w:color="auto" w:fill="auto"/>
            <w:noWrap/>
            <w:vAlign w:val="center"/>
          </w:tcPr>
          <w:p w14:paraId="021487EB">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100</w:t>
            </w:r>
          </w:p>
        </w:tc>
      </w:tr>
      <w:tr w14:paraId="749220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5" w:hRule="atLeast"/>
        </w:trPr>
        <w:tc>
          <w:tcPr>
            <w:tcW w:w="48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468B38">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    国家电影事业发展专项资金安排的支出</w:t>
            </w:r>
          </w:p>
        </w:tc>
        <w:tc>
          <w:tcPr>
            <w:tcW w:w="1275" w:type="dxa"/>
            <w:tcBorders>
              <w:top w:val="single" w:color="000000" w:sz="4" w:space="0"/>
              <w:left w:val="single" w:color="000000" w:sz="4" w:space="0"/>
              <w:bottom w:val="single" w:color="000000" w:sz="4" w:space="0"/>
              <w:right w:val="nil"/>
            </w:tcBorders>
            <w:shd w:val="clear" w:color="auto" w:fill="auto"/>
            <w:noWrap/>
            <w:vAlign w:val="center"/>
          </w:tcPr>
          <w:p w14:paraId="58DAEAA3">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35 </w:t>
            </w:r>
          </w:p>
        </w:tc>
        <w:tc>
          <w:tcPr>
            <w:tcW w:w="1545" w:type="dxa"/>
            <w:tcBorders>
              <w:top w:val="single" w:color="000000" w:sz="4" w:space="0"/>
              <w:left w:val="single" w:color="000000" w:sz="4" w:space="0"/>
              <w:bottom w:val="single" w:color="000000" w:sz="4" w:space="0"/>
              <w:right w:val="nil"/>
            </w:tcBorders>
            <w:shd w:val="clear" w:color="auto" w:fill="auto"/>
            <w:noWrap/>
            <w:vAlign w:val="center"/>
          </w:tcPr>
          <w:p w14:paraId="4D56E8B1">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97.2</w:t>
            </w:r>
          </w:p>
        </w:tc>
        <w:tc>
          <w:tcPr>
            <w:tcW w:w="1376" w:type="dxa"/>
            <w:tcBorders>
              <w:top w:val="nil"/>
              <w:left w:val="single" w:color="000000" w:sz="4" w:space="0"/>
              <w:bottom w:val="single" w:color="000000" w:sz="4" w:space="0"/>
              <w:right w:val="single" w:color="000000" w:sz="4" w:space="0"/>
            </w:tcBorders>
            <w:shd w:val="clear" w:color="auto" w:fill="auto"/>
            <w:noWrap/>
            <w:vAlign w:val="center"/>
          </w:tcPr>
          <w:p w14:paraId="235B73C9">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100</w:t>
            </w:r>
          </w:p>
        </w:tc>
      </w:tr>
      <w:tr w14:paraId="45095BC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5" w:hRule="atLeast"/>
        </w:trPr>
        <w:tc>
          <w:tcPr>
            <w:tcW w:w="48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A5793B">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二、城乡社区支出</w:t>
            </w:r>
          </w:p>
        </w:tc>
        <w:tc>
          <w:tcPr>
            <w:tcW w:w="1275" w:type="dxa"/>
            <w:tcBorders>
              <w:top w:val="single" w:color="000000" w:sz="4" w:space="0"/>
              <w:left w:val="single" w:color="000000" w:sz="4" w:space="0"/>
              <w:bottom w:val="single" w:color="000000" w:sz="4" w:space="0"/>
              <w:right w:val="nil"/>
            </w:tcBorders>
            <w:shd w:val="clear" w:color="auto" w:fill="FFFFFF"/>
            <w:vAlign w:val="center"/>
          </w:tcPr>
          <w:p w14:paraId="7E4CA7BD">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 xml:space="preserve">32176 </w:t>
            </w:r>
          </w:p>
        </w:tc>
        <w:tc>
          <w:tcPr>
            <w:tcW w:w="1545" w:type="dxa"/>
            <w:tcBorders>
              <w:top w:val="single" w:color="000000" w:sz="4" w:space="0"/>
              <w:left w:val="single" w:color="000000" w:sz="4" w:space="0"/>
              <w:bottom w:val="single" w:color="000000" w:sz="4" w:space="0"/>
              <w:right w:val="nil"/>
            </w:tcBorders>
            <w:shd w:val="clear" w:color="auto" w:fill="auto"/>
            <w:noWrap/>
            <w:vAlign w:val="center"/>
          </w:tcPr>
          <w:p w14:paraId="160CD67B">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65.4</w:t>
            </w:r>
          </w:p>
        </w:tc>
        <w:tc>
          <w:tcPr>
            <w:tcW w:w="1376" w:type="dxa"/>
            <w:tcBorders>
              <w:top w:val="nil"/>
              <w:left w:val="single" w:color="000000" w:sz="4" w:space="0"/>
              <w:bottom w:val="single" w:color="000000" w:sz="4" w:space="0"/>
              <w:right w:val="single" w:color="000000" w:sz="4" w:space="0"/>
            </w:tcBorders>
            <w:shd w:val="clear" w:color="auto" w:fill="auto"/>
            <w:noWrap/>
            <w:vAlign w:val="center"/>
          </w:tcPr>
          <w:p w14:paraId="60AE2F67">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-66</w:t>
            </w:r>
          </w:p>
        </w:tc>
      </w:tr>
      <w:tr w14:paraId="1380A1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5" w:hRule="atLeast"/>
        </w:trPr>
        <w:tc>
          <w:tcPr>
            <w:tcW w:w="48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03554B">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    国有土地使用权出让收入安排的支出</w:t>
            </w:r>
          </w:p>
        </w:tc>
        <w:tc>
          <w:tcPr>
            <w:tcW w:w="1275" w:type="dxa"/>
            <w:tcBorders>
              <w:top w:val="single" w:color="000000" w:sz="4" w:space="0"/>
              <w:left w:val="single" w:color="000000" w:sz="4" w:space="0"/>
              <w:bottom w:val="single" w:color="000000" w:sz="4" w:space="0"/>
              <w:right w:val="nil"/>
            </w:tcBorders>
            <w:shd w:val="clear" w:color="auto" w:fill="auto"/>
            <w:noWrap/>
            <w:vAlign w:val="center"/>
          </w:tcPr>
          <w:p w14:paraId="34A7CEFB">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30616 </w:t>
            </w:r>
          </w:p>
        </w:tc>
        <w:tc>
          <w:tcPr>
            <w:tcW w:w="1545" w:type="dxa"/>
            <w:tcBorders>
              <w:top w:val="single" w:color="000000" w:sz="4" w:space="0"/>
              <w:left w:val="single" w:color="000000" w:sz="4" w:space="0"/>
              <w:bottom w:val="single" w:color="000000" w:sz="4" w:space="0"/>
              <w:right w:val="nil"/>
            </w:tcBorders>
            <w:shd w:val="clear" w:color="auto" w:fill="auto"/>
            <w:noWrap/>
            <w:vAlign w:val="center"/>
          </w:tcPr>
          <w:p w14:paraId="22C03B60">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67.1</w:t>
            </w:r>
          </w:p>
        </w:tc>
        <w:tc>
          <w:tcPr>
            <w:tcW w:w="1376" w:type="dxa"/>
            <w:tcBorders>
              <w:top w:val="nil"/>
              <w:left w:val="single" w:color="000000" w:sz="4" w:space="0"/>
              <w:bottom w:val="single" w:color="000000" w:sz="4" w:space="0"/>
              <w:right w:val="single" w:color="000000" w:sz="4" w:space="0"/>
            </w:tcBorders>
            <w:shd w:val="clear" w:color="auto" w:fill="auto"/>
            <w:noWrap/>
            <w:vAlign w:val="center"/>
          </w:tcPr>
          <w:p w14:paraId="55A258F0">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-66.3</w:t>
            </w:r>
          </w:p>
        </w:tc>
      </w:tr>
      <w:tr w14:paraId="4424F3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5" w:hRule="atLeast"/>
        </w:trPr>
        <w:tc>
          <w:tcPr>
            <w:tcW w:w="48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21FF70">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    城市基础设施配套费安排的支出</w:t>
            </w:r>
          </w:p>
        </w:tc>
        <w:tc>
          <w:tcPr>
            <w:tcW w:w="1275" w:type="dxa"/>
            <w:tcBorders>
              <w:top w:val="single" w:color="000000" w:sz="4" w:space="0"/>
              <w:left w:val="single" w:color="000000" w:sz="4" w:space="0"/>
              <w:bottom w:val="single" w:color="000000" w:sz="4" w:space="0"/>
              <w:right w:val="nil"/>
            </w:tcBorders>
            <w:shd w:val="clear" w:color="auto" w:fill="auto"/>
            <w:noWrap/>
            <w:vAlign w:val="center"/>
          </w:tcPr>
          <w:p w14:paraId="652F8A73">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1210 </w:t>
            </w:r>
          </w:p>
        </w:tc>
        <w:tc>
          <w:tcPr>
            <w:tcW w:w="1545" w:type="dxa"/>
            <w:tcBorders>
              <w:top w:val="single" w:color="000000" w:sz="4" w:space="0"/>
              <w:left w:val="single" w:color="000000" w:sz="4" w:space="0"/>
              <w:bottom w:val="single" w:color="000000" w:sz="4" w:space="0"/>
              <w:right w:val="nil"/>
            </w:tcBorders>
            <w:shd w:val="clear" w:color="auto" w:fill="auto"/>
            <w:noWrap/>
            <w:vAlign w:val="center"/>
          </w:tcPr>
          <w:p w14:paraId="21E6B1BB">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44.8</w:t>
            </w:r>
          </w:p>
        </w:tc>
        <w:tc>
          <w:tcPr>
            <w:tcW w:w="1376" w:type="dxa"/>
            <w:tcBorders>
              <w:top w:val="nil"/>
              <w:left w:val="single" w:color="000000" w:sz="4" w:space="0"/>
              <w:bottom w:val="single" w:color="000000" w:sz="4" w:space="0"/>
              <w:right w:val="single" w:color="000000" w:sz="4" w:space="0"/>
            </w:tcBorders>
            <w:shd w:val="clear" w:color="auto" w:fill="auto"/>
            <w:noWrap/>
            <w:vAlign w:val="center"/>
          </w:tcPr>
          <w:p w14:paraId="2FA75163">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267.8</w:t>
            </w:r>
          </w:p>
        </w:tc>
      </w:tr>
      <w:tr w14:paraId="1F474F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5" w:hRule="atLeast"/>
        </w:trPr>
        <w:tc>
          <w:tcPr>
            <w:tcW w:w="48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137F77">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    污水处理费安排的支出</w:t>
            </w:r>
          </w:p>
        </w:tc>
        <w:tc>
          <w:tcPr>
            <w:tcW w:w="1275" w:type="dxa"/>
            <w:tcBorders>
              <w:top w:val="single" w:color="000000" w:sz="4" w:space="0"/>
              <w:left w:val="single" w:color="000000" w:sz="4" w:space="0"/>
              <w:bottom w:val="single" w:color="000000" w:sz="4" w:space="0"/>
              <w:right w:val="nil"/>
            </w:tcBorders>
            <w:shd w:val="clear" w:color="auto" w:fill="auto"/>
            <w:noWrap/>
            <w:vAlign w:val="center"/>
          </w:tcPr>
          <w:p w14:paraId="76BB32A0">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350 </w:t>
            </w:r>
          </w:p>
        </w:tc>
        <w:tc>
          <w:tcPr>
            <w:tcW w:w="1545" w:type="dxa"/>
            <w:tcBorders>
              <w:top w:val="single" w:color="000000" w:sz="4" w:space="0"/>
              <w:left w:val="single" w:color="000000" w:sz="4" w:space="0"/>
              <w:bottom w:val="single" w:color="000000" w:sz="4" w:space="0"/>
              <w:right w:val="nil"/>
            </w:tcBorders>
            <w:shd w:val="clear" w:color="auto" w:fill="auto"/>
            <w:noWrap/>
            <w:vAlign w:val="center"/>
          </w:tcPr>
          <w:p w14:paraId="5487F7E7">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58.2</w:t>
            </w:r>
          </w:p>
        </w:tc>
        <w:tc>
          <w:tcPr>
            <w:tcW w:w="1376" w:type="dxa"/>
            <w:tcBorders>
              <w:top w:val="nil"/>
              <w:left w:val="single" w:color="000000" w:sz="4" w:space="0"/>
              <w:bottom w:val="single" w:color="000000" w:sz="4" w:space="0"/>
              <w:right w:val="single" w:color="000000" w:sz="4" w:space="0"/>
            </w:tcBorders>
            <w:shd w:val="clear" w:color="auto" w:fill="auto"/>
            <w:noWrap/>
            <w:vAlign w:val="center"/>
          </w:tcPr>
          <w:p w14:paraId="6250AAB3">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337.5</w:t>
            </w:r>
          </w:p>
        </w:tc>
      </w:tr>
      <w:tr w14:paraId="620D88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5" w:hRule="atLeast"/>
        </w:trPr>
        <w:tc>
          <w:tcPr>
            <w:tcW w:w="48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C40E38">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三、农林水支出</w:t>
            </w:r>
          </w:p>
        </w:tc>
        <w:tc>
          <w:tcPr>
            <w:tcW w:w="1275" w:type="dxa"/>
            <w:tcBorders>
              <w:top w:val="single" w:color="000000" w:sz="4" w:space="0"/>
              <w:left w:val="single" w:color="000000" w:sz="4" w:space="0"/>
              <w:bottom w:val="single" w:color="000000" w:sz="4" w:space="0"/>
              <w:right w:val="nil"/>
            </w:tcBorders>
            <w:shd w:val="clear" w:color="auto" w:fill="auto"/>
            <w:vAlign w:val="center"/>
          </w:tcPr>
          <w:p w14:paraId="216A03CD">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 xml:space="preserve">3 </w:t>
            </w:r>
          </w:p>
        </w:tc>
        <w:tc>
          <w:tcPr>
            <w:tcW w:w="1545" w:type="dxa"/>
            <w:tcBorders>
              <w:top w:val="single" w:color="000000" w:sz="4" w:space="0"/>
              <w:left w:val="single" w:color="000000" w:sz="4" w:space="0"/>
              <w:bottom w:val="single" w:color="000000" w:sz="4" w:space="0"/>
              <w:right w:val="nil"/>
            </w:tcBorders>
            <w:shd w:val="clear" w:color="auto" w:fill="auto"/>
            <w:noWrap/>
            <w:vAlign w:val="center"/>
          </w:tcPr>
          <w:p w14:paraId="1728BEE6">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100</w:t>
            </w:r>
          </w:p>
        </w:tc>
        <w:tc>
          <w:tcPr>
            <w:tcW w:w="1376" w:type="dxa"/>
            <w:tcBorders>
              <w:top w:val="nil"/>
              <w:left w:val="single" w:color="000000" w:sz="4" w:space="0"/>
              <w:bottom w:val="single" w:color="000000" w:sz="4" w:space="0"/>
              <w:right w:val="single" w:color="000000" w:sz="4" w:space="0"/>
            </w:tcBorders>
            <w:shd w:val="clear" w:color="auto" w:fill="auto"/>
            <w:noWrap/>
            <w:vAlign w:val="center"/>
          </w:tcPr>
          <w:p w14:paraId="78EDBE63">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0</w:t>
            </w:r>
          </w:p>
        </w:tc>
      </w:tr>
      <w:tr w14:paraId="0823BB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5" w:hRule="atLeast"/>
        </w:trPr>
        <w:tc>
          <w:tcPr>
            <w:tcW w:w="48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3EE474">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    大中型水库移民后期扶持基金支出</w:t>
            </w:r>
          </w:p>
        </w:tc>
        <w:tc>
          <w:tcPr>
            <w:tcW w:w="1275" w:type="dxa"/>
            <w:tcBorders>
              <w:top w:val="single" w:color="000000" w:sz="4" w:space="0"/>
              <w:left w:val="single" w:color="000000" w:sz="4" w:space="0"/>
              <w:bottom w:val="single" w:color="000000" w:sz="4" w:space="0"/>
              <w:right w:val="nil"/>
            </w:tcBorders>
            <w:shd w:val="clear" w:color="auto" w:fill="auto"/>
            <w:noWrap/>
            <w:vAlign w:val="center"/>
          </w:tcPr>
          <w:p w14:paraId="27E38710">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3 </w:t>
            </w:r>
          </w:p>
        </w:tc>
        <w:tc>
          <w:tcPr>
            <w:tcW w:w="1545" w:type="dxa"/>
            <w:tcBorders>
              <w:top w:val="single" w:color="000000" w:sz="4" w:space="0"/>
              <w:left w:val="single" w:color="000000" w:sz="4" w:space="0"/>
              <w:bottom w:val="single" w:color="000000" w:sz="4" w:space="0"/>
              <w:right w:val="nil"/>
            </w:tcBorders>
            <w:shd w:val="clear" w:color="auto" w:fill="auto"/>
            <w:noWrap/>
            <w:vAlign w:val="center"/>
          </w:tcPr>
          <w:p w14:paraId="07962B65">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100</w:t>
            </w:r>
          </w:p>
        </w:tc>
        <w:tc>
          <w:tcPr>
            <w:tcW w:w="1376" w:type="dxa"/>
            <w:tcBorders>
              <w:top w:val="nil"/>
              <w:left w:val="single" w:color="000000" w:sz="4" w:space="0"/>
              <w:bottom w:val="single" w:color="000000" w:sz="4" w:space="0"/>
              <w:right w:val="single" w:color="000000" w:sz="4" w:space="0"/>
            </w:tcBorders>
            <w:shd w:val="clear" w:color="auto" w:fill="auto"/>
            <w:noWrap/>
            <w:vAlign w:val="center"/>
          </w:tcPr>
          <w:p w14:paraId="4233A842">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0</w:t>
            </w:r>
          </w:p>
        </w:tc>
      </w:tr>
      <w:tr w14:paraId="1DDE412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5" w:hRule="atLeast"/>
        </w:trPr>
        <w:tc>
          <w:tcPr>
            <w:tcW w:w="48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0E32F8">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四、资源勘探工业信息等支出</w:t>
            </w:r>
          </w:p>
        </w:tc>
        <w:tc>
          <w:tcPr>
            <w:tcW w:w="1275" w:type="dxa"/>
            <w:tcBorders>
              <w:top w:val="single" w:color="000000" w:sz="4" w:space="0"/>
              <w:left w:val="single" w:color="000000" w:sz="4" w:space="0"/>
              <w:bottom w:val="single" w:color="000000" w:sz="4" w:space="0"/>
              <w:right w:val="nil"/>
            </w:tcBorders>
            <w:shd w:val="clear" w:color="auto" w:fill="auto"/>
            <w:noWrap/>
            <w:vAlign w:val="center"/>
          </w:tcPr>
          <w:p w14:paraId="587C77FF">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 xml:space="preserve">55 </w:t>
            </w:r>
          </w:p>
        </w:tc>
        <w:tc>
          <w:tcPr>
            <w:tcW w:w="1545" w:type="dxa"/>
            <w:tcBorders>
              <w:top w:val="single" w:color="000000" w:sz="4" w:space="0"/>
              <w:left w:val="single" w:color="000000" w:sz="4" w:space="0"/>
              <w:bottom w:val="single" w:color="000000" w:sz="4" w:space="0"/>
              <w:right w:val="nil"/>
            </w:tcBorders>
            <w:shd w:val="clear" w:color="auto" w:fill="auto"/>
            <w:noWrap/>
            <w:vAlign w:val="center"/>
          </w:tcPr>
          <w:p w14:paraId="46B19B5C">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100</w:t>
            </w:r>
          </w:p>
        </w:tc>
        <w:tc>
          <w:tcPr>
            <w:tcW w:w="1376" w:type="dxa"/>
            <w:tcBorders>
              <w:top w:val="nil"/>
              <w:left w:val="single" w:color="000000" w:sz="4" w:space="0"/>
              <w:bottom w:val="single" w:color="000000" w:sz="4" w:space="0"/>
              <w:right w:val="single" w:color="000000" w:sz="4" w:space="0"/>
            </w:tcBorders>
            <w:shd w:val="clear" w:color="auto" w:fill="auto"/>
            <w:noWrap/>
            <w:vAlign w:val="center"/>
          </w:tcPr>
          <w:p w14:paraId="0831A754">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100</w:t>
            </w:r>
          </w:p>
        </w:tc>
      </w:tr>
      <w:tr w14:paraId="45C2A1D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5" w:hRule="atLeast"/>
        </w:trPr>
        <w:tc>
          <w:tcPr>
            <w:tcW w:w="48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F301DD">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    超长期特别国债安排的支出</w:t>
            </w:r>
          </w:p>
        </w:tc>
        <w:tc>
          <w:tcPr>
            <w:tcW w:w="1275" w:type="dxa"/>
            <w:tcBorders>
              <w:top w:val="single" w:color="000000" w:sz="4" w:space="0"/>
              <w:left w:val="single" w:color="000000" w:sz="4" w:space="0"/>
              <w:bottom w:val="single" w:color="000000" w:sz="4" w:space="0"/>
              <w:right w:val="nil"/>
            </w:tcBorders>
            <w:shd w:val="clear" w:color="auto" w:fill="auto"/>
            <w:noWrap/>
            <w:vAlign w:val="center"/>
          </w:tcPr>
          <w:p w14:paraId="381A4149">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55 </w:t>
            </w:r>
          </w:p>
        </w:tc>
        <w:tc>
          <w:tcPr>
            <w:tcW w:w="1545" w:type="dxa"/>
            <w:tcBorders>
              <w:top w:val="single" w:color="000000" w:sz="4" w:space="0"/>
              <w:left w:val="single" w:color="000000" w:sz="4" w:space="0"/>
              <w:bottom w:val="single" w:color="000000" w:sz="4" w:space="0"/>
              <w:right w:val="nil"/>
            </w:tcBorders>
            <w:shd w:val="clear" w:color="auto" w:fill="auto"/>
            <w:noWrap/>
            <w:vAlign w:val="center"/>
          </w:tcPr>
          <w:p w14:paraId="79707E50">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100</w:t>
            </w:r>
          </w:p>
        </w:tc>
        <w:tc>
          <w:tcPr>
            <w:tcW w:w="1376" w:type="dxa"/>
            <w:tcBorders>
              <w:top w:val="nil"/>
              <w:left w:val="single" w:color="000000" w:sz="4" w:space="0"/>
              <w:bottom w:val="single" w:color="000000" w:sz="4" w:space="0"/>
              <w:right w:val="single" w:color="000000" w:sz="4" w:space="0"/>
            </w:tcBorders>
            <w:shd w:val="clear" w:color="auto" w:fill="auto"/>
            <w:noWrap/>
            <w:vAlign w:val="center"/>
          </w:tcPr>
          <w:p w14:paraId="24691E8E">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100</w:t>
            </w:r>
          </w:p>
        </w:tc>
      </w:tr>
      <w:tr w14:paraId="0E3E99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5" w:hRule="atLeast"/>
        </w:trPr>
        <w:tc>
          <w:tcPr>
            <w:tcW w:w="48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7EF07E">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五、其他支出</w:t>
            </w:r>
          </w:p>
        </w:tc>
        <w:tc>
          <w:tcPr>
            <w:tcW w:w="1275" w:type="dxa"/>
            <w:tcBorders>
              <w:top w:val="single" w:color="000000" w:sz="4" w:space="0"/>
              <w:left w:val="single" w:color="000000" w:sz="4" w:space="0"/>
              <w:bottom w:val="single" w:color="000000" w:sz="4" w:space="0"/>
              <w:right w:val="nil"/>
            </w:tcBorders>
            <w:shd w:val="clear" w:color="auto" w:fill="auto"/>
            <w:noWrap/>
            <w:vAlign w:val="center"/>
          </w:tcPr>
          <w:p w14:paraId="65F05ACF">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 xml:space="preserve">53822 </w:t>
            </w:r>
          </w:p>
        </w:tc>
        <w:tc>
          <w:tcPr>
            <w:tcW w:w="1545" w:type="dxa"/>
            <w:tcBorders>
              <w:top w:val="single" w:color="000000" w:sz="4" w:space="0"/>
              <w:left w:val="single" w:color="000000" w:sz="4" w:space="0"/>
              <w:bottom w:val="single" w:color="000000" w:sz="4" w:space="0"/>
              <w:right w:val="nil"/>
            </w:tcBorders>
            <w:shd w:val="clear" w:color="auto" w:fill="auto"/>
            <w:noWrap/>
            <w:vAlign w:val="center"/>
          </w:tcPr>
          <w:p w14:paraId="71ED4B06">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41.4</w:t>
            </w:r>
          </w:p>
        </w:tc>
        <w:tc>
          <w:tcPr>
            <w:tcW w:w="1376" w:type="dxa"/>
            <w:tcBorders>
              <w:top w:val="nil"/>
              <w:left w:val="single" w:color="000000" w:sz="4" w:space="0"/>
              <w:bottom w:val="single" w:color="000000" w:sz="4" w:space="0"/>
              <w:right w:val="single" w:color="000000" w:sz="4" w:space="0"/>
            </w:tcBorders>
            <w:shd w:val="clear" w:color="auto" w:fill="auto"/>
            <w:noWrap/>
            <w:vAlign w:val="center"/>
          </w:tcPr>
          <w:p w14:paraId="0FC32A61">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-82.4</w:t>
            </w:r>
          </w:p>
        </w:tc>
      </w:tr>
      <w:tr w14:paraId="7BCE65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5" w:hRule="atLeast"/>
        </w:trPr>
        <w:tc>
          <w:tcPr>
            <w:tcW w:w="48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74C3C1">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    彩票公益金安排的支出</w:t>
            </w:r>
          </w:p>
        </w:tc>
        <w:tc>
          <w:tcPr>
            <w:tcW w:w="1275" w:type="dxa"/>
            <w:tcBorders>
              <w:top w:val="single" w:color="000000" w:sz="4" w:space="0"/>
              <w:left w:val="single" w:color="000000" w:sz="4" w:space="0"/>
              <w:bottom w:val="single" w:color="000000" w:sz="4" w:space="0"/>
              <w:right w:val="nil"/>
            </w:tcBorders>
            <w:shd w:val="clear" w:color="auto" w:fill="auto"/>
            <w:noWrap/>
            <w:vAlign w:val="center"/>
          </w:tcPr>
          <w:p w14:paraId="15516E13">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653 </w:t>
            </w:r>
          </w:p>
        </w:tc>
        <w:tc>
          <w:tcPr>
            <w:tcW w:w="1545" w:type="dxa"/>
            <w:tcBorders>
              <w:top w:val="single" w:color="000000" w:sz="4" w:space="0"/>
              <w:left w:val="single" w:color="000000" w:sz="4" w:space="0"/>
              <w:bottom w:val="single" w:color="000000" w:sz="4" w:space="0"/>
              <w:right w:val="nil"/>
            </w:tcBorders>
            <w:shd w:val="clear" w:color="auto" w:fill="auto"/>
            <w:noWrap/>
            <w:vAlign w:val="center"/>
          </w:tcPr>
          <w:p w14:paraId="65069BDD">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36.5</w:t>
            </w:r>
          </w:p>
        </w:tc>
        <w:tc>
          <w:tcPr>
            <w:tcW w:w="1376" w:type="dxa"/>
            <w:tcBorders>
              <w:top w:val="nil"/>
              <w:left w:val="single" w:color="000000" w:sz="4" w:space="0"/>
              <w:bottom w:val="single" w:color="000000" w:sz="4" w:space="0"/>
              <w:right w:val="single" w:color="000000" w:sz="4" w:space="0"/>
            </w:tcBorders>
            <w:shd w:val="clear" w:color="auto" w:fill="auto"/>
            <w:noWrap/>
            <w:vAlign w:val="center"/>
          </w:tcPr>
          <w:p w14:paraId="27AC14AA">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24.9</w:t>
            </w:r>
          </w:p>
        </w:tc>
      </w:tr>
      <w:tr w14:paraId="2C2733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5" w:hRule="atLeast"/>
        </w:trPr>
        <w:tc>
          <w:tcPr>
            <w:tcW w:w="48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8FDD33">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    其他政府性基金及对应专项债务收入安排的支出</w:t>
            </w:r>
          </w:p>
        </w:tc>
        <w:tc>
          <w:tcPr>
            <w:tcW w:w="1275" w:type="dxa"/>
            <w:tcBorders>
              <w:top w:val="single" w:color="000000" w:sz="4" w:space="0"/>
              <w:left w:val="single" w:color="000000" w:sz="4" w:space="0"/>
              <w:bottom w:val="single" w:color="000000" w:sz="4" w:space="0"/>
              <w:right w:val="nil"/>
            </w:tcBorders>
            <w:shd w:val="clear" w:color="auto" w:fill="auto"/>
            <w:noWrap/>
            <w:vAlign w:val="center"/>
          </w:tcPr>
          <w:p w14:paraId="09F327E4">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52810 </w:t>
            </w:r>
          </w:p>
        </w:tc>
        <w:tc>
          <w:tcPr>
            <w:tcW w:w="1545" w:type="dxa"/>
            <w:tcBorders>
              <w:top w:val="single" w:color="000000" w:sz="4" w:space="0"/>
              <w:left w:val="single" w:color="000000" w:sz="4" w:space="0"/>
              <w:bottom w:val="single" w:color="000000" w:sz="4" w:space="0"/>
              <w:right w:val="nil"/>
            </w:tcBorders>
            <w:shd w:val="clear" w:color="auto" w:fill="auto"/>
            <w:noWrap/>
            <w:vAlign w:val="center"/>
          </w:tcPr>
          <w:p w14:paraId="4728C267">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42</w:t>
            </w:r>
          </w:p>
        </w:tc>
        <w:tc>
          <w:tcPr>
            <w:tcW w:w="1376" w:type="dxa"/>
            <w:tcBorders>
              <w:top w:val="nil"/>
              <w:left w:val="single" w:color="000000" w:sz="4" w:space="0"/>
              <w:bottom w:val="single" w:color="000000" w:sz="4" w:space="0"/>
              <w:right w:val="single" w:color="000000" w:sz="4" w:space="0"/>
            </w:tcBorders>
            <w:shd w:val="clear" w:color="auto" w:fill="auto"/>
            <w:noWrap/>
            <w:vAlign w:val="center"/>
          </w:tcPr>
          <w:p w14:paraId="7DFA2C3E">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-82.7</w:t>
            </w:r>
          </w:p>
        </w:tc>
      </w:tr>
      <w:tr w14:paraId="3D04C6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5" w:hRule="atLeast"/>
        </w:trPr>
        <w:tc>
          <w:tcPr>
            <w:tcW w:w="48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9EE3AB">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    超长期特别国债安排的其他支出</w:t>
            </w:r>
          </w:p>
        </w:tc>
        <w:tc>
          <w:tcPr>
            <w:tcW w:w="1275" w:type="dxa"/>
            <w:tcBorders>
              <w:top w:val="single" w:color="000000" w:sz="4" w:space="0"/>
              <w:left w:val="single" w:color="000000" w:sz="4" w:space="0"/>
              <w:bottom w:val="single" w:color="000000" w:sz="4" w:space="0"/>
              <w:right w:val="nil"/>
            </w:tcBorders>
            <w:shd w:val="clear" w:color="auto" w:fill="auto"/>
            <w:noWrap/>
            <w:vAlign w:val="center"/>
          </w:tcPr>
          <w:p w14:paraId="2295D1EA">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359 </w:t>
            </w:r>
          </w:p>
        </w:tc>
        <w:tc>
          <w:tcPr>
            <w:tcW w:w="1545" w:type="dxa"/>
            <w:tcBorders>
              <w:top w:val="single" w:color="000000" w:sz="4" w:space="0"/>
              <w:left w:val="single" w:color="000000" w:sz="4" w:space="0"/>
              <w:bottom w:val="single" w:color="000000" w:sz="4" w:space="0"/>
              <w:right w:val="nil"/>
            </w:tcBorders>
            <w:shd w:val="clear" w:color="auto" w:fill="auto"/>
            <w:noWrap/>
            <w:vAlign w:val="center"/>
          </w:tcPr>
          <w:p w14:paraId="26EEC9E5">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14.8</w:t>
            </w:r>
          </w:p>
        </w:tc>
        <w:tc>
          <w:tcPr>
            <w:tcW w:w="1376" w:type="dxa"/>
            <w:tcBorders>
              <w:top w:val="nil"/>
              <w:left w:val="single" w:color="000000" w:sz="4" w:space="0"/>
              <w:bottom w:val="single" w:color="000000" w:sz="4" w:space="0"/>
              <w:right w:val="single" w:color="000000" w:sz="4" w:space="0"/>
            </w:tcBorders>
            <w:shd w:val="clear" w:color="auto" w:fill="auto"/>
            <w:noWrap/>
            <w:vAlign w:val="center"/>
          </w:tcPr>
          <w:p w14:paraId="549CEB30">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100</w:t>
            </w:r>
          </w:p>
        </w:tc>
      </w:tr>
      <w:tr w14:paraId="5D4D0D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5" w:hRule="atLeast"/>
        </w:trPr>
        <w:tc>
          <w:tcPr>
            <w:tcW w:w="48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67F1E6">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六、债务付息支出</w:t>
            </w:r>
          </w:p>
        </w:tc>
        <w:tc>
          <w:tcPr>
            <w:tcW w:w="1275" w:type="dxa"/>
            <w:tcBorders>
              <w:top w:val="single" w:color="000000" w:sz="4" w:space="0"/>
              <w:left w:val="single" w:color="000000" w:sz="4" w:space="0"/>
              <w:bottom w:val="single" w:color="000000" w:sz="4" w:space="0"/>
              <w:right w:val="nil"/>
            </w:tcBorders>
            <w:shd w:val="clear" w:color="auto" w:fill="auto"/>
            <w:vAlign w:val="center"/>
          </w:tcPr>
          <w:p w14:paraId="296F8A53">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 xml:space="preserve">39743 </w:t>
            </w:r>
          </w:p>
        </w:tc>
        <w:tc>
          <w:tcPr>
            <w:tcW w:w="1545" w:type="dxa"/>
            <w:tcBorders>
              <w:top w:val="single" w:color="000000" w:sz="4" w:space="0"/>
              <w:left w:val="single" w:color="000000" w:sz="4" w:space="0"/>
              <w:bottom w:val="single" w:color="000000" w:sz="4" w:space="0"/>
              <w:right w:val="nil"/>
            </w:tcBorders>
            <w:shd w:val="clear" w:color="auto" w:fill="auto"/>
            <w:noWrap/>
            <w:vAlign w:val="center"/>
          </w:tcPr>
          <w:p w14:paraId="377D7B65">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100</w:t>
            </w:r>
          </w:p>
        </w:tc>
        <w:tc>
          <w:tcPr>
            <w:tcW w:w="1376" w:type="dxa"/>
            <w:tcBorders>
              <w:top w:val="nil"/>
              <w:left w:val="single" w:color="000000" w:sz="4" w:space="0"/>
              <w:bottom w:val="single" w:color="000000" w:sz="4" w:space="0"/>
              <w:right w:val="single" w:color="000000" w:sz="4" w:space="0"/>
            </w:tcBorders>
            <w:shd w:val="clear" w:color="auto" w:fill="auto"/>
            <w:noWrap/>
            <w:vAlign w:val="center"/>
          </w:tcPr>
          <w:p w14:paraId="137D3B64">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19.4</w:t>
            </w:r>
          </w:p>
        </w:tc>
      </w:tr>
      <w:tr w14:paraId="31720D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5" w:hRule="atLeast"/>
        </w:trPr>
        <w:tc>
          <w:tcPr>
            <w:tcW w:w="48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E0A3A2">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    地方政府专项债务付息支出</w:t>
            </w:r>
          </w:p>
        </w:tc>
        <w:tc>
          <w:tcPr>
            <w:tcW w:w="1275" w:type="dxa"/>
            <w:tcBorders>
              <w:top w:val="single" w:color="000000" w:sz="4" w:space="0"/>
              <w:left w:val="single" w:color="000000" w:sz="4" w:space="0"/>
              <w:bottom w:val="single" w:color="000000" w:sz="4" w:space="0"/>
              <w:right w:val="nil"/>
            </w:tcBorders>
            <w:shd w:val="clear" w:color="auto" w:fill="auto"/>
            <w:noWrap/>
            <w:vAlign w:val="center"/>
          </w:tcPr>
          <w:p w14:paraId="0F47C6F3">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39743 </w:t>
            </w:r>
          </w:p>
        </w:tc>
        <w:tc>
          <w:tcPr>
            <w:tcW w:w="1545" w:type="dxa"/>
            <w:tcBorders>
              <w:top w:val="single" w:color="000000" w:sz="4" w:space="0"/>
              <w:left w:val="single" w:color="000000" w:sz="4" w:space="0"/>
              <w:bottom w:val="single" w:color="000000" w:sz="4" w:space="0"/>
              <w:right w:val="nil"/>
            </w:tcBorders>
            <w:shd w:val="clear" w:color="auto" w:fill="auto"/>
            <w:noWrap/>
            <w:vAlign w:val="center"/>
          </w:tcPr>
          <w:p w14:paraId="32772013">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100</w:t>
            </w:r>
          </w:p>
        </w:tc>
        <w:tc>
          <w:tcPr>
            <w:tcW w:w="1376" w:type="dxa"/>
            <w:tcBorders>
              <w:top w:val="nil"/>
              <w:left w:val="single" w:color="000000" w:sz="4" w:space="0"/>
              <w:bottom w:val="single" w:color="000000" w:sz="4" w:space="0"/>
              <w:right w:val="single" w:color="000000" w:sz="4" w:space="0"/>
            </w:tcBorders>
            <w:shd w:val="clear" w:color="auto" w:fill="auto"/>
            <w:noWrap/>
            <w:vAlign w:val="center"/>
          </w:tcPr>
          <w:p w14:paraId="016F4338">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19.4</w:t>
            </w:r>
          </w:p>
        </w:tc>
      </w:tr>
      <w:tr w14:paraId="120E712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5" w:hRule="atLeast"/>
        </w:trPr>
        <w:tc>
          <w:tcPr>
            <w:tcW w:w="48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8D3A85">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七、债务发行费用支出</w:t>
            </w:r>
          </w:p>
        </w:tc>
        <w:tc>
          <w:tcPr>
            <w:tcW w:w="1275" w:type="dxa"/>
            <w:tcBorders>
              <w:top w:val="single" w:color="000000" w:sz="4" w:space="0"/>
              <w:left w:val="single" w:color="000000" w:sz="4" w:space="0"/>
              <w:bottom w:val="single" w:color="000000" w:sz="4" w:space="0"/>
              <w:right w:val="nil"/>
            </w:tcBorders>
            <w:shd w:val="clear" w:color="auto" w:fill="auto"/>
            <w:noWrap/>
            <w:vAlign w:val="center"/>
          </w:tcPr>
          <w:p w14:paraId="30D7B7CF">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 xml:space="preserve">100 </w:t>
            </w:r>
          </w:p>
        </w:tc>
        <w:tc>
          <w:tcPr>
            <w:tcW w:w="1545" w:type="dxa"/>
            <w:tcBorders>
              <w:top w:val="single" w:color="000000" w:sz="4" w:space="0"/>
              <w:left w:val="single" w:color="000000" w:sz="4" w:space="0"/>
              <w:bottom w:val="single" w:color="000000" w:sz="4" w:space="0"/>
              <w:right w:val="nil"/>
            </w:tcBorders>
            <w:shd w:val="clear" w:color="auto" w:fill="auto"/>
            <w:noWrap/>
            <w:vAlign w:val="center"/>
          </w:tcPr>
          <w:p w14:paraId="5EF5E8A4">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100</w:t>
            </w:r>
          </w:p>
        </w:tc>
        <w:tc>
          <w:tcPr>
            <w:tcW w:w="1376" w:type="dxa"/>
            <w:tcBorders>
              <w:top w:val="nil"/>
              <w:left w:val="single" w:color="000000" w:sz="4" w:space="0"/>
              <w:bottom w:val="single" w:color="000000" w:sz="4" w:space="0"/>
              <w:right w:val="single" w:color="000000" w:sz="4" w:space="0"/>
            </w:tcBorders>
            <w:shd w:val="clear" w:color="auto" w:fill="auto"/>
            <w:noWrap/>
            <w:vAlign w:val="center"/>
          </w:tcPr>
          <w:p w14:paraId="34E35464">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-64</w:t>
            </w:r>
          </w:p>
        </w:tc>
      </w:tr>
      <w:tr w14:paraId="51D89DD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5" w:hRule="atLeast"/>
        </w:trPr>
        <w:tc>
          <w:tcPr>
            <w:tcW w:w="48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95EBE0">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    地方政府专项债务发行费用支出</w:t>
            </w:r>
          </w:p>
        </w:tc>
        <w:tc>
          <w:tcPr>
            <w:tcW w:w="1275" w:type="dxa"/>
            <w:tcBorders>
              <w:top w:val="single" w:color="000000" w:sz="4" w:space="0"/>
              <w:left w:val="single" w:color="000000" w:sz="4" w:space="0"/>
              <w:bottom w:val="single" w:color="000000" w:sz="4" w:space="0"/>
              <w:right w:val="nil"/>
            </w:tcBorders>
            <w:shd w:val="clear" w:color="auto" w:fill="auto"/>
            <w:noWrap/>
            <w:vAlign w:val="center"/>
          </w:tcPr>
          <w:p w14:paraId="33029F32">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100 </w:t>
            </w:r>
          </w:p>
        </w:tc>
        <w:tc>
          <w:tcPr>
            <w:tcW w:w="1545" w:type="dxa"/>
            <w:tcBorders>
              <w:top w:val="single" w:color="000000" w:sz="4" w:space="0"/>
              <w:left w:val="single" w:color="000000" w:sz="4" w:space="0"/>
              <w:bottom w:val="single" w:color="000000" w:sz="4" w:space="0"/>
              <w:right w:val="nil"/>
            </w:tcBorders>
            <w:shd w:val="clear" w:color="auto" w:fill="auto"/>
            <w:noWrap/>
            <w:vAlign w:val="center"/>
          </w:tcPr>
          <w:p w14:paraId="413CB83E">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100</w:t>
            </w:r>
          </w:p>
        </w:tc>
        <w:tc>
          <w:tcPr>
            <w:tcW w:w="1376" w:type="dxa"/>
            <w:tcBorders>
              <w:top w:val="nil"/>
              <w:left w:val="single" w:color="000000" w:sz="4" w:space="0"/>
              <w:bottom w:val="single" w:color="000000" w:sz="4" w:space="0"/>
              <w:right w:val="single" w:color="000000" w:sz="4" w:space="0"/>
            </w:tcBorders>
            <w:shd w:val="clear" w:color="auto" w:fill="auto"/>
            <w:noWrap/>
            <w:vAlign w:val="center"/>
          </w:tcPr>
          <w:p w14:paraId="05683308">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-64</w:t>
            </w:r>
          </w:p>
        </w:tc>
      </w:tr>
      <w:tr w14:paraId="1DC4A6D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5" w:hRule="atLeast"/>
        </w:trPr>
        <w:tc>
          <w:tcPr>
            <w:tcW w:w="48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C02A0E">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合计</w:t>
            </w:r>
          </w:p>
        </w:tc>
        <w:tc>
          <w:tcPr>
            <w:tcW w:w="1275" w:type="dxa"/>
            <w:tcBorders>
              <w:top w:val="single" w:color="000000" w:sz="4" w:space="0"/>
              <w:left w:val="single" w:color="000000" w:sz="4" w:space="0"/>
              <w:bottom w:val="single" w:color="000000" w:sz="4" w:space="0"/>
              <w:right w:val="nil"/>
            </w:tcBorders>
            <w:shd w:val="clear" w:color="auto" w:fill="auto"/>
            <w:vAlign w:val="center"/>
          </w:tcPr>
          <w:p w14:paraId="6EB6F5AF">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 xml:space="preserve">125934 </w:t>
            </w:r>
          </w:p>
        </w:tc>
        <w:tc>
          <w:tcPr>
            <w:tcW w:w="1545" w:type="dxa"/>
            <w:tcBorders>
              <w:top w:val="single" w:color="000000" w:sz="4" w:space="0"/>
              <w:left w:val="single" w:color="000000" w:sz="4" w:space="0"/>
              <w:bottom w:val="single" w:color="000000" w:sz="4" w:space="0"/>
              <w:right w:val="nil"/>
            </w:tcBorders>
            <w:shd w:val="clear" w:color="auto" w:fill="auto"/>
            <w:noWrap/>
            <w:vAlign w:val="center"/>
          </w:tcPr>
          <w:p w14:paraId="4D7EBB4A">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57.5</w:t>
            </w:r>
          </w:p>
        </w:tc>
        <w:tc>
          <w:tcPr>
            <w:tcW w:w="1376" w:type="dxa"/>
            <w:tcBorders>
              <w:top w:val="nil"/>
              <w:left w:val="single" w:color="000000" w:sz="4" w:space="0"/>
              <w:bottom w:val="single" w:color="000000" w:sz="4" w:space="0"/>
              <w:right w:val="single" w:color="000000" w:sz="4" w:space="0"/>
            </w:tcBorders>
            <w:shd w:val="clear" w:color="auto" w:fill="auto"/>
            <w:noWrap/>
            <w:vAlign w:val="center"/>
          </w:tcPr>
          <w:p w14:paraId="621A0EAC">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-71</w:t>
            </w:r>
          </w:p>
        </w:tc>
      </w:tr>
    </w:tbl>
    <w:p w14:paraId="5ED93237">
      <w:pPr>
        <w:rPr>
          <w:rFonts w:hint="eastAsia"/>
          <w:color w:val="000000" w:themeColor="text1"/>
          <w:lang w:eastAsia="zh-CN"/>
          <w14:textFill>
            <w14:solidFill>
              <w14:schemeClr w14:val="tx1"/>
            </w14:solidFill>
          </w14:textFill>
        </w:rPr>
      </w:pPr>
      <w:r>
        <w:rPr>
          <w:rFonts w:hint="eastAsia"/>
          <w:color w:val="000000" w:themeColor="text1"/>
          <w:lang w:eastAsia="zh-CN"/>
          <w14:textFill>
            <w14:solidFill>
              <w14:schemeClr w14:val="tx1"/>
            </w14:solidFill>
          </w14:textFill>
        </w:rPr>
        <w:br w:type="page"/>
      </w:r>
    </w:p>
    <w:tbl>
      <w:tblPr>
        <w:tblStyle w:val="10"/>
        <w:tblW w:w="900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4056"/>
        <w:gridCol w:w="1914"/>
        <w:gridCol w:w="1642"/>
        <w:gridCol w:w="1388"/>
      </w:tblGrid>
      <w:tr w14:paraId="41FD9B1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0" w:hRule="atLeast"/>
        </w:trPr>
        <w:tc>
          <w:tcPr>
            <w:tcW w:w="4056" w:type="dxa"/>
            <w:tcBorders>
              <w:top w:val="nil"/>
              <w:left w:val="nil"/>
              <w:bottom w:val="nil"/>
              <w:right w:val="nil"/>
            </w:tcBorders>
            <w:shd w:val="clear" w:color="auto" w:fill="auto"/>
            <w:noWrap/>
            <w:vAlign w:val="center"/>
          </w:tcPr>
          <w:p w14:paraId="7C72FC8C">
            <w:pPr>
              <w:keepNext w:val="0"/>
              <w:keepLines w:val="0"/>
              <w:widowControl/>
              <w:suppressLineNumbers w:val="0"/>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表5</w:t>
            </w:r>
          </w:p>
        </w:tc>
        <w:tc>
          <w:tcPr>
            <w:tcW w:w="1914" w:type="dxa"/>
            <w:tcBorders>
              <w:top w:val="nil"/>
              <w:left w:val="nil"/>
              <w:bottom w:val="nil"/>
              <w:right w:val="nil"/>
            </w:tcBorders>
            <w:shd w:val="clear" w:color="auto" w:fill="auto"/>
            <w:noWrap/>
            <w:vAlign w:val="center"/>
          </w:tcPr>
          <w:p w14:paraId="2A69857D">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c>
          <w:tcPr>
            <w:tcW w:w="1642" w:type="dxa"/>
            <w:tcBorders>
              <w:top w:val="nil"/>
              <w:left w:val="nil"/>
              <w:bottom w:val="nil"/>
              <w:right w:val="nil"/>
            </w:tcBorders>
            <w:shd w:val="clear" w:color="auto" w:fill="auto"/>
            <w:noWrap/>
            <w:vAlign w:val="center"/>
          </w:tcPr>
          <w:p w14:paraId="661319D1">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c>
          <w:tcPr>
            <w:tcW w:w="1388" w:type="dxa"/>
            <w:tcBorders>
              <w:top w:val="nil"/>
              <w:left w:val="nil"/>
              <w:bottom w:val="nil"/>
              <w:right w:val="nil"/>
            </w:tcBorders>
            <w:shd w:val="clear" w:color="auto" w:fill="auto"/>
            <w:noWrap/>
            <w:vAlign w:val="center"/>
          </w:tcPr>
          <w:p w14:paraId="04E78FD7">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r>
      <w:tr w14:paraId="49DDD8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50" w:hRule="atLeast"/>
        </w:trPr>
        <w:tc>
          <w:tcPr>
            <w:tcW w:w="9000" w:type="dxa"/>
            <w:gridSpan w:val="4"/>
            <w:tcBorders>
              <w:top w:val="nil"/>
              <w:left w:val="nil"/>
              <w:bottom w:val="nil"/>
              <w:right w:val="nil"/>
            </w:tcBorders>
            <w:shd w:val="clear" w:color="auto" w:fill="auto"/>
            <w:noWrap/>
            <w:vAlign w:val="center"/>
          </w:tcPr>
          <w:p w14:paraId="308F45DD">
            <w:pPr>
              <w:keepNext w:val="0"/>
              <w:keepLines w:val="0"/>
              <w:widowControl/>
              <w:suppressLineNumbers w:val="0"/>
              <w:jc w:val="center"/>
              <w:textAlignment w:val="center"/>
              <w:rPr>
                <w:rFonts w:hint="eastAsia" w:ascii="宋体" w:hAnsi="宋体" w:eastAsia="宋体" w:cs="宋体"/>
                <w:b/>
                <w:bCs/>
                <w:i w:val="0"/>
                <w:iCs w:val="0"/>
                <w:color w:val="000000" w:themeColor="text1"/>
                <w:kern w:val="0"/>
                <w:sz w:val="40"/>
                <w:szCs w:val="40"/>
                <w:u w:val="none"/>
                <w:lang w:val="en-US" w:eastAsia="zh-CN" w:bidi="ar"/>
                <w14:textFill>
                  <w14:solidFill>
                    <w14:schemeClr w14:val="tx1"/>
                  </w14:solidFill>
                </w14:textFill>
              </w:rPr>
            </w:pPr>
            <w:r>
              <w:rPr>
                <w:rFonts w:hint="eastAsia" w:ascii="宋体" w:hAnsi="宋体" w:eastAsia="宋体" w:cs="宋体"/>
                <w:b/>
                <w:bCs/>
                <w:i w:val="0"/>
                <w:iCs w:val="0"/>
                <w:color w:val="000000" w:themeColor="text1"/>
                <w:kern w:val="0"/>
                <w:sz w:val="40"/>
                <w:szCs w:val="40"/>
                <w:u w:val="none"/>
                <w:lang w:val="en-US" w:eastAsia="zh-CN" w:bidi="ar"/>
                <w14:textFill>
                  <w14:solidFill>
                    <w14:schemeClr w14:val="tx1"/>
                  </w14:solidFill>
                </w14:textFill>
              </w:rPr>
              <w:t>2024年区级社保基金预算收入完成情况表</w:t>
            </w:r>
          </w:p>
        </w:tc>
      </w:tr>
      <w:tr w14:paraId="076937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4056" w:type="dxa"/>
            <w:tcBorders>
              <w:top w:val="nil"/>
              <w:left w:val="nil"/>
              <w:bottom w:val="nil"/>
              <w:right w:val="nil"/>
            </w:tcBorders>
            <w:shd w:val="clear" w:color="auto" w:fill="auto"/>
            <w:noWrap/>
            <w:vAlign w:val="center"/>
          </w:tcPr>
          <w:p w14:paraId="67E6A68E">
            <w:pPr>
              <w:jc w:val="left"/>
              <w:rPr>
                <w:rFonts w:hint="eastAsia" w:ascii="宋体" w:hAnsi="宋体" w:eastAsia="宋体" w:cs="宋体"/>
                <w:i w:val="0"/>
                <w:iCs w:val="0"/>
                <w:color w:val="000000" w:themeColor="text1"/>
                <w:sz w:val="24"/>
                <w:szCs w:val="24"/>
                <w:u w:val="none"/>
                <w14:textFill>
                  <w14:solidFill>
                    <w14:schemeClr w14:val="tx1"/>
                  </w14:solidFill>
                </w14:textFill>
              </w:rPr>
            </w:pPr>
          </w:p>
        </w:tc>
        <w:tc>
          <w:tcPr>
            <w:tcW w:w="1914" w:type="dxa"/>
            <w:tcBorders>
              <w:top w:val="nil"/>
              <w:left w:val="nil"/>
              <w:bottom w:val="nil"/>
              <w:right w:val="nil"/>
            </w:tcBorders>
            <w:shd w:val="clear" w:color="auto" w:fill="auto"/>
            <w:noWrap/>
            <w:vAlign w:val="center"/>
          </w:tcPr>
          <w:p w14:paraId="67A5C0BE">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c>
          <w:tcPr>
            <w:tcW w:w="3030" w:type="dxa"/>
            <w:gridSpan w:val="2"/>
            <w:tcBorders>
              <w:top w:val="nil"/>
              <w:left w:val="nil"/>
              <w:bottom w:val="single" w:color="000000" w:sz="4" w:space="0"/>
              <w:right w:val="nil"/>
            </w:tcBorders>
            <w:shd w:val="clear" w:color="auto" w:fill="auto"/>
            <w:noWrap/>
            <w:vAlign w:val="center"/>
          </w:tcPr>
          <w:p w14:paraId="77A82E67">
            <w:pPr>
              <w:keepNext w:val="0"/>
              <w:keepLines w:val="0"/>
              <w:widowControl/>
              <w:suppressLineNumbers w:val="0"/>
              <w:jc w:val="righ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单位：万元</w:t>
            </w:r>
          </w:p>
        </w:tc>
      </w:tr>
      <w:tr w14:paraId="2D0571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15" w:hRule="atLeast"/>
        </w:trPr>
        <w:tc>
          <w:tcPr>
            <w:tcW w:w="40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CD5CAB">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科目名称</w:t>
            </w:r>
          </w:p>
        </w:tc>
        <w:tc>
          <w:tcPr>
            <w:tcW w:w="19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5F055B">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实际完成</w:t>
            </w:r>
          </w:p>
        </w:tc>
        <w:tc>
          <w:tcPr>
            <w:tcW w:w="1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E88EC2">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占调整预算</w:t>
            </w: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br w:type="textWrapping"/>
            </w: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w:t>
            </w:r>
          </w:p>
        </w:tc>
        <w:tc>
          <w:tcPr>
            <w:tcW w:w="13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4A77B7">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可比增长（%）</w:t>
            </w:r>
          </w:p>
        </w:tc>
      </w:tr>
      <w:tr w14:paraId="02FED8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7" w:hRule="atLeast"/>
        </w:trPr>
        <w:tc>
          <w:tcPr>
            <w:tcW w:w="40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3CF8D8">
            <w:pPr>
              <w:keepNext w:val="0"/>
              <w:keepLines w:val="0"/>
              <w:widowControl/>
              <w:suppressLineNumbers w:val="0"/>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一、城乡居民基本养老保险基金收入</w:t>
            </w:r>
          </w:p>
        </w:tc>
        <w:tc>
          <w:tcPr>
            <w:tcW w:w="19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547C05">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48022</w:t>
            </w:r>
          </w:p>
        </w:tc>
        <w:tc>
          <w:tcPr>
            <w:tcW w:w="164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B0D7A9">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98.2</w:t>
            </w:r>
          </w:p>
        </w:tc>
        <w:tc>
          <w:tcPr>
            <w:tcW w:w="13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D357FF">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11.6%</w:t>
            </w:r>
          </w:p>
        </w:tc>
      </w:tr>
      <w:tr w14:paraId="7056A2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7" w:hRule="atLeast"/>
        </w:trPr>
        <w:tc>
          <w:tcPr>
            <w:tcW w:w="40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A19203">
            <w:pPr>
              <w:keepNext w:val="0"/>
              <w:keepLines w:val="0"/>
              <w:widowControl/>
              <w:suppressLineNumbers w:val="0"/>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二、机关事业单位基本养老保险收入</w:t>
            </w:r>
          </w:p>
        </w:tc>
        <w:tc>
          <w:tcPr>
            <w:tcW w:w="19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CA6C79">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44586</w:t>
            </w:r>
          </w:p>
        </w:tc>
        <w:tc>
          <w:tcPr>
            <w:tcW w:w="164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720A25">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97.9</w:t>
            </w:r>
          </w:p>
        </w:tc>
        <w:tc>
          <w:tcPr>
            <w:tcW w:w="13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FB423B">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9.6%</w:t>
            </w:r>
          </w:p>
        </w:tc>
      </w:tr>
      <w:tr w14:paraId="04608B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7" w:hRule="atLeast"/>
        </w:trPr>
        <w:tc>
          <w:tcPr>
            <w:tcW w:w="40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F05899">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合计</w:t>
            </w:r>
          </w:p>
        </w:tc>
        <w:tc>
          <w:tcPr>
            <w:tcW w:w="19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F74C0C">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92608</w:t>
            </w:r>
          </w:p>
        </w:tc>
        <w:tc>
          <w:tcPr>
            <w:tcW w:w="164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F721EA">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98.1</w:t>
            </w:r>
          </w:p>
        </w:tc>
        <w:tc>
          <w:tcPr>
            <w:tcW w:w="13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4D26BC">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10.7%</w:t>
            </w:r>
          </w:p>
        </w:tc>
      </w:tr>
    </w:tbl>
    <w:p w14:paraId="78EFB660">
      <w:pPr>
        <w:rPr>
          <w:rFonts w:hint="eastAsia"/>
          <w:color w:val="000000" w:themeColor="text1"/>
          <w:lang w:eastAsia="zh-CN"/>
          <w14:textFill>
            <w14:solidFill>
              <w14:schemeClr w14:val="tx1"/>
            </w14:solidFill>
          </w14:textFill>
        </w:rPr>
      </w:pPr>
    </w:p>
    <w:p w14:paraId="0DB90863">
      <w:pPr>
        <w:rPr>
          <w:rFonts w:hint="eastAsia"/>
          <w:color w:val="000000" w:themeColor="text1"/>
          <w:lang w:eastAsia="zh-CN"/>
          <w14:textFill>
            <w14:solidFill>
              <w14:schemeClr w14:val="tx1"/>
            </w14:solidFill>
          </w14:textFill>
        </w:rPr>
      </w:pPr>
      <w:r>
        <w:rPr>
          <w:rFonts w:hint="eastAsia"/>
          <w:color w:val="000000" w:themeColor="text1"/>
          <w:lang w:eastAsia="zh-CN"/>
          <w14:textFill>
            <w14:solidFill>
              <w14:schemeClr w14:val="tx1"/>
            </w14:solidFill>
          </w14:textFill>
        </w:rPr>
        <w:br w:type="page"/>
      </w:r>
    </w:p>
    <w:tbl>
      <w:tblPr>
        <w:tblStyle w:val="10"/>
        <w:tblW w:w="900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4142"/>
        <w:gridCol w:w="1760"/>
        <w:gridCol w:w="1546"/>
        <w:gridCol w:w="1552"/>
      </w:tblGrid>
      <w:tr w14:paraId="7D4EDA7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4142" w:type="dxa"/>
            <w:tcBorders>
              <w:top w:val="nil"/>
              <w:left w:val="nil"/>
              <w:bottom w:val="nil"/>
              <w:right w:val="nil"/>
            </w:tcBorders>
            <w:shd w:val="clear" w:color="auto" w:fill="auto"/>
            <w:noWrap/>
            <w:vAlign w:val="center"/>
          </w:tcPr>
          <w:p w14:paraId="7CEDB86A">
            <w:pPr>
              <w:keepNext w:val="0"/>
              <w:keepLines w:val="0"/>
              <w:widowControl/>
              <w:suppressLineNumbers w:val="0"/>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表6</w:t>
            </w:r>
          </w:p>
        </w:tc>
        <w:tc>
          <w:tcPr>
            <w:tcW w:w="1760" w:type="dxa"/>
            <w:tcBorders>
              <w:top w:val="nil"/>
              <w:left w:val="nil"/>
              <w:bottom w:val="nil"/>
              <w:right w:val="nil"/>
            </w:tcBorders>
            <w:shd w:val="clear" w:color="auto" w:fill="auto"/>
            <w:noWrap/>
            <w:vAlign w:val="center"/>
          </w:tcPr>
          <w:p w14:paraId="1978D075">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c>
          <w:tcPr>
            <w:tcW w:w="1546" w:type="dxa"/>
            <w:tcBorders>
              <w:top w:val="nil"/>
              <w:left w:val="nil"/>
              <w:bottom w:val="nil"/>
              <w:right w:val="nil"/>
            </w:tcBorders>
            <w:shd w:val="clear" w:color="auto" w:fill="auto"/>
            <w:noWrap/>
            <w:vAlign w:val="center"/>
          </w:tcPr>
          <w:p w14:paraId="2B812DDD">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c>
          <w:tcPr>
            <w:tcW w:w="1552" w:type="dxa"/>
            <w:tcBorders>
              <w:top w:val="nil"/>
              <w:left w:val="nil"/>
              <w:bottom w:val="nil"/>
              <w:right w:val="nil"/>
            </w:tcBorders>
            <w:shd w:val="clear" w:color="auto" w:fill="auto"/>
            <w:noWrap/>
            <w:vAlign w:val="center"/>
          </w:tcPr>
          <w:p w14:paraId="55321B90">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r>
      <w:tr w14:paraId="721B554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9000" w:type="dxa"/>
            <w:gridSpan w:val="4"/>
            <w:tcBorders>
              <w:top w:val="nil"/>
              <w:left w:val="nil"/>
              <w:bottom w:val="nil"/>
              <w:right w:val="nil"/>
            </w:tcBorders>
            <w:shd w:val="clear" w:color="auto" w:fill="auto"/>
            <w:vAlign w:val="center"/>
          </w:tcPr>
          <w:p w14:paraId="2244C4BE">
            <w:pPr>
              <w:keepNext w:val="0"/>
              <w:keepLines w:val="0"/>
              <w:widowControl/>
              <w:suppressLineNumbers w:val="0"/>
              <w:jc w:val="center"/>
              <w:textAlignment w:val="center"/>
              <w:rPr>
                <w:rFonts w:hint="eastAsia" w:ascii="宋体" w:hAnsi="宋体" w:eastAsia="宋体" w:cs="宋体"/>
                <w:b/>
                <w:bCs/>
                <w:i w:val="0"/>
                <w:iCs w:val="0"/>
                <w:color w:val="000000" w:themeColor="text1"/>
                <w:kern w:val="0"/>
                <w:sz w:val="40"/>
                <w:szCs w:val="40"/>
                <w:u w:val="none"/>
                <w:lang w:val="en-US" w:eastAsia="zh-CN" w:bidi="ar"/>
                <w14:textFill>
                  <w14:solidFill>
                    <w14:schemeClr w14:val="tx1"/>
                  </w14:solidFill>
                </w14:textFill>
              </w:rPr>
            </w:pPr>
            <w:r>
              <w:rPr>
                <w:rFonts w:hint="eastAsia" w:ascii="宋体" w:hAnsi="宋体" w:eastAsia="宋体" w:cs="宋体"/>
                <w:b/>
                <w:bCs/>
                <w:i w:val="0"/>
                <w:iCs w:val="0"/>
                <w:color w:val="000000" w:themeColor="text1"/>
                <w:kern w:val="0"/>
                <w:sz w:val="40"/>
                <w:szCs w:val="40"/>
                <w:u w:val="none"/>
                <w:lang w:val="en-US" w:eastAsia="zh-CN" w:bidi="ar"/>
                <w14:textFill>
                  <w14:solidFill>
                    <w14:schemeClr w14:val="tx1"/>
                  </w14:solidFill>
                </w14:textFill>
              </w:rPr>
              <w:t>2024年区级社保基金预算支出完成情况表</w:t>
            </w:r>
          </w:p>
        </w:tc>
      </w:tr>
      <w:tr w14:paraId="47EC1D6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4142" w:type="dxa"/>
            <w:tcBorders>
              <w:top w:val="nil"/>
              <w:left w:val="nil"/>
              <w:bottom w:val="nil"/>
              <w:right w:val="nil"/>
            </w:tcBorders>
            <w:shd w:val="clear" w:color="auto" w:fill="auto"/>
            <w:noWrap/>
            <w:vAlign w:val="center"/>
          </w:tcPr>
          <w:p w14:paraId="17BA6DE7">
            <w:pPr>
              <w:rPr>
                <w:rFonts w:hint="eastAsia" w:ascii="宋体" w:hAnsi="宋体" w:eastAsia="宋体" w:cs="宋体"/>
                <w:i w:val="0"/>
                <w:iCs w:val="0"/>
                <w:color w:val="000000" w:themeColor="text1"/>
                <w:sz w:val="24"/>
                <w:szCs w:val="24"/>
                <w:u w:val="none"/>
                <w14:textFill>
                  <w14:solidFill>
                    <w14:schemeClr w14:val="tx1"/>
                  </w14:solidFill>
                </w14:textFill>
              </w:rPr>
            </w:pPr>
          </w:p>
        </w:tc>
        <w:tc>
          <w:tcPr>
            <w:tcW w:w="1760" w:type="dxa"/>
            <w:tcBorders>
              <w:top w:val="nil"/>
              <w:left w:val="nil"/>
              <w:bottom w:val="nil"/>
              <w:right w:val="nil"/>
            </w:tcBorders>
            <w:shd w:val="clear" w:color="auto" w:fill="auto"/>
            <w:noWrap/>
            <w:vAlign w:val="center"/>
          </w:tcPr>
          <w:p w14:paraId="24C171CE">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c>
          <w:tcPr>
            <w:tcW w:w="3098" w:type="dxa"/>
            <w:gridSpan w:val="2"/>
            <w:tcBorders>
              <w:top w:val="nil"/>
              <w:left w:val="nil"/>
              <w:bottom w:val="single" w:color="000000" w:sz="4" w:space="0"/>
              <w:right w:val="nil"/>
            </w:tcBorders>
            <w:shd w:val="clear" w:color="auto" w:fill="auto"/>
            <w:noWrap/>
            <w:vAlign w:val="center"/>
          </w:tcPr>
          <w:p w14:paraId="551E511E">
            <w:pPr>
              <w:keepNext w:val="0"/>
              <w:keepLines w:val="0"/>
              <w:widowControl/>
              <w:suppressLineNumbers w:val="0"/>
              <w:jc w:val="righ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单位：万元</w:t>
            </w:r>
          </w:p>
        </w:tc>
      </w:tr>
      <w:tr w14:paraId="175E34E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65" w:hRule="atLeast"/>
        </w:trPr>
        <w:tc>
          <w:tcPr>
            <w:tcW w:w="414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84A8D4">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科目名称</w:t>
            </w:r>
          </w:p>
        </w:tc>
        <w:tc>
          <w:tcPr>
            <w:tcW w:w="17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5D3426">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实际完成</w:t>
            </w:r>
          </w:p>
        </w:tc>
        <w:tc>
          <w:tcPr>
            <w:tcW w:w="15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B7E935">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占调整预算</w:t>
            </w: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br w:type="textWrapping"/>
            </w: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w:t>
            </w:r>
          </w:p>
        </w:tc>
        <w:tc>
          <w:tcPr>
            <w:tcW w:w="15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36D287">
            <w:pPr>
              <w:keepNext w:val="0"/>
              <w:keepLines w:val="0"/>
              <w:widowControl/>
              <w:suppressLineNumbers w:val="0"/>
              <w:jc w:val="center"/>
              <w:textAlignment w:val="cente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可比增长</w:t>
            </w:r>
          </w:p>
          <w:p w14:paraId="79046DB8">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w:t>
            </w:r>
          </w:p>
        </w:tc>
      </w:tr>
      <w:tr w14:paraId="5B2D6D1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0" w:hRule="atLeast"/>
        </w:trPr>
        <w:tc>
          <w:tcPr>
            <w:tcW w:w="414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B0D064">
            <w:pPr>
              <w:keepNext w:val="0"/>
              <w:keepLines w:val="0"/>
              <w:widowControl/>
              <w:suppressLineNumbers w:val="0"/>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一、城乡居民基本养老保险基金支出</w:t>
            </w:r>
          </w:p>
        </w:tc>
        <w:tc>
          <w:tcPr>
            <w:tcW w:w="17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A7C6D9">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37749</w:t>
            </w:r>
          </w:p>
        </w:tc>
        <w:tc>
          <w:tcPr>
            <w:tcW w:w="1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2CA3C1">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96</w:t>
            </w:r>
          </w:p>
        </w:tc>
        <w:tc>
          <w:tcPr>
            <w:tcW w:w="15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B29A5B">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15.8%</w:t>
            </w:r>
          </w:p>
        </w:tc>
      </w:tr>
      <w:tr w14:paraId="707365F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0" w:hRule="atLeast"/>
        </w:trPr>
        <w:tc>
          <w:tcPr>
            <w:tcW w:w="414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EE2E8B">
            <w:pPr>
              <w:keepNext w:val="0"/>
              <w:keepLines w:val="0"/>
              <w:widowControl/>
              <w:suppressLineNumbers w:val="0"/>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二、机关事业单位基本养老保险支出</w:t>
            </w:r>
          </w:p>
        </w:tc>
        <w:tc>
          <w:tcPr>
            <w:tcW w:w="17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B0B485">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48958</w:t>
            </w:r>
          </w:p>
        </w:tc>
        <w:tc>
          <w:tcPr>
            <w:tcW w:w="1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26D8DD">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97.8</w:t>
            </w:r>
          </w:p>
        </w:tc>
        <w:tc>
          <w:tcPr>
            <w:tcW w:w="15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7053E8">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8.9%</w:t>
            </w:r>
          </w:p>
        </w:tc>
      </w:tr>
      <w:tr w14:paraId="69E761E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0" w:hRule="atLeast"/>
        </w:trPr>
        <w:tc>
          <w:tcPr>
            <w:tcW w:w="41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1032DF">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合  计</w:t>
            </w:r>
          </w:p>
        </w:tc>
        <w:tc>
          <w:tcPr>
            <w:tcW w:w="17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6F3362">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86707</w:t>
            </w:r>
          </w:p>
        </w:tc>
        <w:tc>
          <w:tcPr>
            <w:tcW w:w="1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343159">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97</w:t>
            </w:r>
          </w:p>
        </w:tc>
        <w:tc>
          <w:tcPr>
            <w:tcW w:w="15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A3D3F6">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11.8%</w:t>
            </w:r>
          </w:p>
        </w:tc>
      </w:tr>
    </w:tbl>
    <w:p w14:paraId="51673E86">
      <w:pPr>
        <w:rPr>
          <w:rFonts w:hint="eastAsia"/>
          <w:color w:val="000000" w:themeColor="text1"/>
          <w:lang w:eastAsia="zh-CN"/>
          <w14:textFill>
            <w14:solidFill>
              <w14:schemeClr w14:val="tx1"/>
            </w14:solidFill>
          </w14:textFill>
        </w:rPr>
      </w:pPr>
    </w:p>
    <w:p w14:paraId="7A8A7C39">
      <w:pPr>
        <w:rPr>
          <w:rFonts w:hint="eastAsia"/>
          <w:color w:val="000000" w:themeColor="text1"/>
          <w:lang w:eastAsia="zh-CN"/>
          <w14:textFill>
            <w14:solidFill>
              <w14:schemeClr w14:val="tx1"/>
            </w14:solidFill>
          </w14:textFill>
        </w:rPr>
      </w:pPr>
      <w:r>
        <w:rPr>
          <w:rFonts w:hint="eastAsia"/>
          <w:color w:val="000000" w:themeColor="text1"/>
          <w:lang w:eastAsia="zh-CN"/>
          <w14:textFill>
            <w14:solidFill>
              <w14:schemeClr w14:val="tx1"/>
            </w14:solidFill>
          </w14:textFill>
        </w:rPr>
        <w:br w:type="page"/>
      </w:r>
    </w:p>
    <w:tbl>
      <w:tblPr>
        <w:tblStyle w:val="10"/>
        <w:tblW w:w="9002"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4275"/>
        <w:gridCol w:w="1574"/>
        <w:gridCol w:w="1543"/>
        <w:gridCol w:w="1610"/>
      </w:tblGrid>
      <w:tr w14:paraId="7972DEC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5" w:hRule="atLeast"/>
        </w:trPr>
        <w:tc>
          <w:tcPr>
            <w:tcW w:w="4275" w:type="dxa"/>
            <w:tcBorders>
              <w:top w:val="nil"/>
              <w:left w:val="nil"/>
              <w:bottom w:val="nil"/>
              <w:right w:val="nil"/>
            </w:tcBorders>
            <w:shd w:val="clear" w:color="auto" w:fill="auto"/>
            <w:noWrap/>
            <w:vAlign w:val="center"/>
          </w:tcPr>
          <w:p w14:paraId="7F7FBD3C">
            <w:pPr>
              <w:keepNext w:val="0"/>
              <w:keepLines w:val="0"/>
              <w:widowControl/>
              <w:suppressLineNumbers w:val="0"/>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表7</w:t>
            </w:r>
          </w:p>
        </w:tc>
        <w:tc>
          <w:tcPr>
            <w:tcW w:w="1574" w:type="dxa"/>
            <w:tcBorders>
              <w:top w:val="nil"/>
              <w:left w:val="nil"/>
              <w:bottom w:val="nil"/>
              <w:right w:val="nil"/>
            </w:tcBorders>
            <w:shd w:val="clear" w:color="auto" w:fill="auto"/>
            <w:noWrap/>
            <w:vAlign w:val="bottom"/>
          </w:tcPr>
          <w:p w14:paraId="18A1052D">
            <w:pPr>
              <w:rPr>
                <w:rFonts w:hint="eastAsia" w:ascii="宋体" w:hAnsi="宋体" w:eastAsia="宋体" w:cs="宋体"/>
                <w:i w:val="0"/>
                <w:iCs w:val="0"/>
                <w:color w:val="000000" w:themeColor="text1"/>
                <w:sz w:val="24"/>
                <w:szCs w:val="24"/>
                <w:u w:val="none"/>
                <w14:textFill>
                  <w14:solidFill>
                    <w14:schemeClr w14:val="tx1"/>
                  </w14:solidFill>
                </w14:textFill>
              </w:rPr>
            </w:pPr>
          </w:p>
        </w:tc>
        <w:tc>
          <w:tcPr>
            <w:tcW w:w="1543" w:type="dxa"/>
            <w:tcBorders>
              <w:top w:val="nil"/>
              <w:left w:val="nil"/>
              <w:bottom w:val="nil"/>
              <w:right w:val="nil"/>
            </w:tcBorders>
            <w:shd w:val="clear" w:color="auto" w:fill="auto"/>
            <w:noWrap/>
            <w:vAlign w:val="bottom"/>
          </w:tcPr>
          <w:p w14:paraId="050D7FBD">
            <w:pPr>
              <w:rPr>
                <w:rFonts w:hint="eastAsia" w:ascii="宋体" w:hAnsi="宋体" w:eastAsia="宋体" w:cs="宋体"/>
                <w:i w:val="0"/>
                <w:iCs w:val="0"/>
                <w:color w:val="000000" w:themeColor="text1"/>
                <w:sz w:val="24"/>
                <w:szCs w:val="24"/>
                <w:u w:val="none"/>
                <w14:textFill>
                  <w14:solidFill>
                    <w14:schemeClr w14:val="tx1"/>
                  </w14:solidFill>
                </w14:textFill>
              </w:rPr>
            </w:pPr>
          </w:p>
        </w:tc>
        <w:tc>
          <w:tcPr>
            <w:tcW w:w="1610" w:type="dxa"/>
            <w:tcBorders>
              <w:top w:val="nil"/>
              <w:left w:val="nil"/>
              <w:bottom w:val="nil"/>
              <w:right w:val="nil"/>
            </w:tcBorders>
            <w:shd w:val="clear" w:color="auto" w:fill="auto"/>
            <w:noWrap/>
            <w:vAlign w:val="bottom"/>
          </w:tcPr>
          <w:p w14:paraId="6646BDD4">
            <w:pPr>
              <w:rPr>
                <w:rFonts w:hint="eastAsia" w:ascii="宋体" w:hAnsi="宋体" w:eastAsia="宋体" w:cs="宋体"/>
                <w:i w:val="0"/>
                <w:iCs w:val="0"/>
                <w:color w:val="000000" w:themeColor="text1"/>
                <w:sz w:val="24"/>
                <w:szCs w:val="24"/>
                <w:u w:val="none"/>
                <w14:textFill>
                  <w14:solidFill>
                    <w14:schemeClr w14:val="tx1"/>
                  </w14:solidFill>
                </w14:textFill>
              </w:rPr>
            </w:pPr>
          </w:p>
        </w:tc>
      </w:tr>
      <w:tr w14:paraId="36891A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0" w:hRule="atLeast"/>
        </w:trPr>
        <w:tc>
          <w:tcPr>
            <w:tcW w:w="9002" w:type="dxa"/>
            <w:gridSpan w:val="4"/>
            <w:tcBorders>
              <w:top w:val="nil"/>
              <w:left w:val="nil"/>
              <w:bottom w:val="nil"/>
              <w:right w:val="nil"/>
            </w:tcBorders>
            <w:shd w:val="clear" w:color="auto" w:fill="auto"/>
            <w:vAlign w:val="center"/>
          </w:tcPr>
          <w:p w14:paraId="52A8AD99">
            <w:pPr>
              <w:keepNext w:val="0"/>
              <w:keepLines w:val="0"/>
              <w:widowControl/>
              <w:suppressLineNumbers w:val="0"/>
              <w:jc w:val="center"/>
              <w:textAlignment w:val="center"/>
              <w:rPr>
                <w:rFonts w:hint="eastAsia" w:ascii="宋体" w:hAnsi="宋体" w:eastAsia="宋体" w:cs="宋体"/>
                <w:b/>
                <w:bCs/>
                <w:i w:val="0"/>
                <w:iCs w:val="0"/>
                <w:color w:val="000000" w:themeColor="text1"/>
                <w:kern w:val="0"/>
                <w:sz w:val="40"/>
                <w:szCs w:val="40"/>
                <w:u w:val="none"/>
                <w:lang w:val="en-US" w:eastAsia="zh-CN" w:bidi="ar"/>
                <w14:textFill>
                  <w14:solidFill>
                    <w14:schemeClr w14:val="tx1"/>
                  </w14:solidFill>
                </w14:textFill>
              </w:rPr>
            </w:pPr>
            <w:r>
              <w:rPr>
                <w:rFonts w:hint="eastAsia" w:ascii="宋体" w:hAnsi="宋体" w:eastAsia="宋体" w:cs="宋体"/>
                <w:b/>
                <w:bCs/>
                <w:i w:val="0"/>
                <w:iCs w:val="0"/>
                <w:color w:val="000000" w:themeColor="text1"/>
                <w:kern w:val="0"/>
                <w:sz w:val="40"/>
                <w:szCs w:val="40"/>
                <w:u w:val="none"/>
                <w:lang w:val="en-US" w:eastAsia="zh-CN" w:bidi="ar"/>
                <w14:textFill>
                  <w14:solidFill>
                    <w14:schemeClr w14:val="tx1"/>
                  </w14:solidFill>
                </w14:textFill>
              </w:rPr>
              <w:t>2024年区级国有资本经营预算收入完成情况表</w:t>
            </w:r>
          </w:p>
        </w:tc>
      </w:tr>
      <w:tr w14:paraId="320155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275" w:type="dxa"/>
            <w:tcBorders>
              <w:top w:val="nil"/>
              <w:left w:val="nil"/>
              <w:bottom w:val="nil"/>
              <w:right w:val="nil"/>
            </w:tcBorders>
            <w:shd w:val="clear" w:color="auto" w:fill="auto"/>
            <w:noWrap/>
            <w:vAlign w:val="center"/>
          </w:tcPr>
          <w:p w14:paraId="103B74E3">
            <w:pPr>
              <w:jc w:val="left"/>
              <w:rPr>
                <w:rFonts w:hint="eastAsia" w:ascii="宋体" w:hAnsi="宋体" w:eastAsia="宋体" w:cs="宋体"/>
                <w:i w:val="0"/>
                <w:iCs w:val="0"/>
                <w:color w:val="000000" w:themeColor="text1"/>
                <w:sz w:val="24"/>
                <w:szCs w:val="24"/>
                <w:u w:val="none"/>
                <w14:textFill>
                  <w14:solidFill>
                    <w14:schemeClr w14:val="tx1"/>
                  </w14:solidFill>
                </w14:textFill>
              </w:rPr>
            </w:pPr>
          </w:p>
        </w:tc>
        <w:tc>
          <w:tcPr>
            <w:tcW w:w="1574" w:type="dxa"/>
            <w:tcBorders>
              <w:top w:val="nil"/>
              <w:left w:val="nil"/>
              <w:bottom w:val="nil"/>
              <w:right w:val="nil"/>
            </w:tcBorders>
            <w:shd w:val="clear" w:color="auto" w:fill="auto"/>
            <w:noWrap/>
            <w:vAlign w:val="bottom"/>
          </w:tcPr>
          <w:p w14:paraId="55144504">
            <w:pPr>
              <w:rPr>
                <w:rFonts w:hint="eastAsia" w:ascii="宋体" w:hAnsi="宋体" w:eastAsia="宋体" w:cs="宋体"/>
                <w:i w:val="0"/>
                <w:iCs w:val="0"/>
                <w:color w:val="000000" w:themeColor="text1"/>
                <w:sz w:val="24"/>
                <w:szCs w:val="24"/>
                <w:u w:val="none"/>
                <w14:textFill>
                  <w14:solidFill>
                    <w14:schemeClr w14:val="tx1"/>
                  </w14:solidFill>
                </w14:textFill>
              </w:rPr>
            </w:pPr>
          </w:p>
        </w:tc>
        <w:tc>
          <w:tcPr>
            <w:tcW w:w="1543" w:type="dxa"/>
            <w:tcBorders>
              <w:top w:val="nil"/>
              <w:left w:val="nil"/>
              <w:bottom w:val="single" w:color="000000" w:sz="4" w:space="0"/>
              <w:right w:val="nil"/>
            </w:tcBorders>
            <w:shd w:val="clear" w:color="auto" w:fill="auto"/>
            <w:noWrap/>
            <w:vAlign w:val="center"/>
          </w:tcPr>
          <w:p w14:paraId="300756E9">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c>
          <w:tcPr>
            <w:tcW w:w="1610" w:type="dxa"/>
            <w:tcBorders>
              <w:top w:val="nil"/>
              <w:left w:val="nil"/>
              <w:bottom w:val="single" w:color="000000" w:sz="4" w:space="0"/>
              <w:right w:val="nil"/>
            </w:tcBorders>
            <w:shd w:val="clear" w:color="auto" w:fill="auto"/>
            <w:noWrap/>
            <w:vAlign w:val="center"/>
          </w:tcPr>
          <w:p w14:paraId="1DE78118">
            <w:pPr>
              <w:keepNext w:val="0"/>
              <w:keepLines w:val="0"/>
              <w:widowControl/>
              <w:suppressLineNumbers w:val="0"/>
              <w:jc w:val="righ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单位：万元</w:t>
            </w:r>
          </w:p>
        </w:tc>
      </w:tr>
      <w:tr w14:paraId="05C45E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5" w:hRule="atLeast"/>
        </w:trPr>
        <w:tc>
          <w:tcPr>
            <w:tcW w:w="42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F25026">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科目名称</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F9C39D">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实际完成</w:t>
            </w:r>
          </w:p>
        </w:tc>
        <w:tc>
          <w:tcPr>
            <w:tcW w:w="1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309936">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占调整预算</w:t>
            </w: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br w:type="textWrapping"/>
            </w: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w:t>
            </w:r>
          </w:p>
        </w:tc>
        <w:tc>
          <w:tcPr>
            <w:tcW w:w="16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4568A8">
            <w:pPr>
              <w:keepNext w:val="0"/>
              <w:keepLines w:val="0"/>
              <w:widowControl/>
              <w:suppressLineNumbers w:val="0"/>
              <w:jc w:val="center"/>
              <w:textAlignment w:val="cente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可比增长</w:t>
            </w:r>
          </w:p>
          <w:p w14:paraId="181A0AC1">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w:t>
            </w:r>
          </w:p>
        </w:tc>
      </w:tr>
      <w:tr w14:paraId="4210EC0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0" w:hRule="atLeast"/>
        </w:trPr>
        <w:tc>
          <w:tcPr>
            <w:tcW w:w="42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D410A1">
            <w:pPr>
              <w:keepNext w:val="0"/>
              <w:keepLines w:val="0"/>
              <w:widowControl/>
              <w:suppressLineNumbers w:val="0"/>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  1.利润收入</w:t>
            </w:r>
          </w:p>
        </w:tc>
        <w:tc>
          <w:tcPr>
            <w:tcW w:w="1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EF3E57">
            <w:pPr>
              <w:jc w:val="center"/>
              <w:rPr>
                <w:rFonts w:hint="eastAsia" w:ascii="宋体" w:hAnsi="宋体" w:eastAsia="宋体" w:cs="宋体"/>
                <w:b/>
                <w:bCs/>
                <w:i w:val="0"/>
                <w:iCs w:val="0"/>
                <w:color w:val="000000" w:themeColor="text1"/>
                <w:sz w:val="24"/>
                <w:szCs w:val="24"/>
                <w:u w:val="none"/>
                <w14:textFill>
                  <w14:solidFill>
                    <w14:schemeClr w14:val="tx1"/>
                  </w14:solidFill>
                </w14:textFill>
              </w:rPr>
            </w:pPr>
          </w:p>
        </w:tc>
        <w:tc>
          <w:tcPr>
            <w:tcW w:w="15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4D2CB5">
            <w:pPr>
              <w:jc w:val="center"/>
              <w:rPr>
                <w:rFonts w:hint="eastAsia" w:ascii="宋体" w:hAnsi="宋体" w:eastAsia="宋体" w:cs="宋体"/>
                <w:b/>
                <w:bCs/>
                <w:i w:val="0"/>
                <w:iCs w:val="0"/>
                <w:color w:val="000000" w:themeColor="text1"/>
                <w:sz w:val="24"/>
                <w:szCs w:val="24"/>
                <w:u w:val="none"/>
                <w14:textFill>
                  <w14:solidFill>
                    <w14:schemeClr w14:val="tx1"/>
                  </w14:solidFill>
                </w14:textFill>
              </w:rPr>
            </w:pPr>
          </w:p>
        </w:tc>
        <w:tc>
          <w:tcPr>
            <w:tcW w:w="161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444DB10C">
            <w:pPr>
              <w:rPr>
                <w:rFonts w:hint="eastAsia" w:ascii="宋体" w:hAnsi="宋体" w:eastAsia="宋体" w:cs="宋体"/>
                <w:i w:val="0"/>
                <w:iCs w:val="0"/>
                <w:color w:val="000000" w:themeColor="text1"/>
                <w:sz w:val="24"/>
                <w:szCs w:val="24"/>
                <w:u w:val="none"/>
                <w14:textFill>
                  <w14:solidFill>
                    <w14:schemeClr w14:val="tx1"/>
                  </w14:solidFill>
                </w14:textFill>
              </w:rPr>
            </w:pPr>
          </w:p>
        </w:tc>
      </w:tr>
      <w:tr w14:paraId="75918C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atLeast"/>
        </w:trPr>
        <w:tc>
          <w:tcPr>
            <w:tcW w:w="42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2D150D">
            <w:pPr>
              <w:keepNext w:val="0"/>
              <w:keepLines w:val="0"/>
              <w:widowControl/>
              <w:suppressLineNumbers w:val="0"/>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  2.股利、股息收入</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DB615B">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c>
          <w:tcPr>
            <w:tcW w:w="15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B747D6">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c>
          <w:tcPr>
            <w:tcW w:w="161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57728787">
            <w:pPr>
              <w:rPr>
                <w:rFonts w:hint="eastAsia" w:ascii="宋体" w:hAnsi="宋体" w:eastAsia="宋体" w:cs="宋体"/>
                <w:i w:val="0"/>
                <w:iCs w:val="0"/>
                <w:color w:val="000000" w:themeColor="text1"/>
                <w:sz w:val="24"/>
                <w:szCs w:val="24"/>
                <w:u w:val="none"/>
                <w14:textFill>
                  <w14:solidFill>
                    <w14:schemeClr w14:val="tx1"/>
                  </w14:solidFill>
                </w14:textFill>
              </w:rPr>
            </w:pPr>
          </w:p>
        </w:tc>
      </w:tr>
      <w:tr w14:paraId="2B5BD6F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0" w:hRule="atLeast"/>
        </w:trPr>
        <w:tc>
          <w:tcPr>
            <w:tcW w:w="42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E77FF0">
            <w:pPr>
              <w:keepNext w:val="0"/>
              <w:keepLines w:val="0"/>
              <w:widowControl/>
              <w:suppressLineNumbers w:val="0"/>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  3.产权转让收入</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48BBCB">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c>
          <w:tcPr>
            <w:tcW w:w="15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F0D0B1">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c>
          <w:tcPr>
            <w:tcW w:w="161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11EB7D25">
            <w:pPr>
              <w:rPr>
                <w:rFonts w:hint="eastAsia" w:ascii="宋体" w:hAnsi="宋体" w:eastAsia="宋体" w:cs="宋体"/>
                <w:i w:val="0"/>
                <w:iCs w:val="0"/>
                <w:color w:val="000000" w:themeColor="text1"/>
                <w:sz w:val="24"/>
                <w:szCs w:val="24"/>
                <w:u w:val="none"/>
                <w14:textFill>
                  <w14:solidFill>
                    <w14:schemeClr w14:val="tx1"/>
                  </w14:solidFill>
                </w14:textFill>
              </w:rPr>
            </w:pPr>
          </w:p>
        </w:tc>
      </w:tr>
      <w:tr w14:paraId="381F6F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atLeast"/>
        </w:trPr>
        <w:tc>
          <w:tcPr>
            <w:tcW w:w="42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55FF1D">
            <w:pPr>
              <w:keepNext w:val="0"/>
              <w:keepLines w:val="0"/>
              <w:widowControl/>
              <w:suppressLineNumbers w:val="0"/>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  4.清算收入</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086244">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c>
          <w:tcPr>
            <w:tcW w:w="15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9B397A">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c>
          <w:tcPr>
            <w:tcW w:w="161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027723C1">
            <w:pPr>
              <w:rPr>
                <w:rFonts w:hint="eastAsia" w:ascii="宋体" w:hAnsi="宋体" w:eastAsia="宋体" w:cs="宋体"/>
                <w:i w:val="0"/>
                <w:iCs w:val="0"/>
                <w:color w:val="000000" w:themeColor="text1"/>
                <w:sz w:val="24"/>
                <w:szCs w:val="24"/>
                <w:u w:val="none"/>
                <w14:textFill>
                  <w14:solidFill>
                    <w14:schemeClr w14:val="tx1"/>
                  </w14:solidFill>
                </w14:textFill>
              </w:rPr>
            </w:pPr>
          </w:p>
        </w:tc>
      </w:tr>
      <w:tr w14:paraId="45E22E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atLeast"/>
        </w:trPr>
        <w:tc>
          <w:tcPr>
            <w:tcW w:w="4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F03188">
            <w:pPr>
              <w:keepNext w:val="0"/>
              <w:keepLines w:val="0"/>
              <w:widowControl/>
              <w:suppressLineNumbers w:val="0"/>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  5.其他国有资本经营预算收入</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4F7945">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c>
          <w:tcPr>
            <w:tcW w:w="15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A5DDFF">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c>
          <w:tcPr>
            <w:tcW w:w="161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1783BE3A">
            <w:pPr>
              <w:rPr>
                <w:rFonts w:hint="eastAsia" w:ascii="宋体" w:hAnsi="宋体" w:eastAsia="宋体" w:cs="宋体"/>
                <w:i w:val="0"/>
                <w:iCs w:val="0"/>
                <w:color w:val="000000" w:themeColor="text1"/>
                <w:sz w:val="24"/>
                <w:szCs w:val="24"/>
                <w:u w:val="none"/>
                <w14:textFill>
                  <w14:solidFill>
                    <w14:schemeClr w14:val="tx1"/>
                  </w14:solidFill>
                </w14:textFill>
              </w:rPr>
            </w:pPr>
          </w:p>
        </w:tc>
      </w:tr>
      <w:tr w14:paraId="02612FF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0" w:hRule="atLeast"/>
        </w:trPr>
        <w:tc>
          <w:tcPr>
            <w:tcW w:w="42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0E4D81">
            <w:pPr>
              <w:keepNext w:val="0"/>
              <w:keepLines w:val="0"/>
              <w:widowControl/>
              <w:suppressLineNumbers w:val="0"/>
              <w:jc w:val="left"/>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一、国有资本经营收入</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39FC41">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c>
          <w:tcPr>
            <w:tcW w:w="15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C274EB">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c>
          <w:tcPr>
            <w:tcW w:w="161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7979DD94">
            <w:pPr>
              <w:rPr>
                <w:rFonts w:hint="eastAsia" w:ascii="宋体" w:hAnsi="宋体" w:eastAsia="宋体" w:cs="宋体"/>
                <w:i w:val="0"/>
                <w:iCs w:val="0"/>
                <w:color w:val="000000" w:themeColor="text1"/>
                <w:sz w:val="24"/>
                <w:szCs w:val="24"/>
                <w:u w:val="none"/>
                <w14:textFill>
                  <w14:solidFill>
                    <w14:schemeClr w14:val="tx1"/>
                  </w14:solidFill>
                </w14:textFill>
              </w:rPr>
            </w:pPr>
          </w:p>
        </w:tc>
      </w:tr>
      <w:tr w14:paraId="1C59FB9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0" w:hRule="atLeast"/>
        </w:trPr>
        <w:tc>
          <w:tcPr>
            <w:tcW w:w="42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5501C4">
            <w:pPr>
              <w:keepNext w:val="0"/>
              <w:keepLines w:val="0"/>
              <w:widowControl/>
              <w:suppressLineNumbers w:val="0"/>
              <w:jc w:val="left"/>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二、上级补助收入</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7F9C8B">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 xml:space="preserve">20 </w:t>
            </w:r>
          </w:p>
        </w:tc>
        <w:tc>
          <w:tcPr>
            <w:tcW w:w="15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EAD05A">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 xml:space="preserve">100 </w:t>
            </w:r>
          </w:p>
        </w:tc>
        <w:tc>
          <w:tcPr>
            <w:tcW w:w="16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2B80E5">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0</w:t>
            </w:r>
          </w:p>
        </w:tc>
      </w:tr>
      <w:tr w14:paraId="78E483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atLeast"/>
        </w:trPr>
        <w:tc>
          <w:tcPr>
            <w:tcW w:w="42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289726">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收入总计</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F5AEF9">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 xml:space="preserve">20 </w:t>
            </w:r>
          </w:p>
        </w:tc>
        <w:tc>
          <w:tcPr>
            <w:tcW w:w="15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A79176">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 xml:space="preserve">100 </w:t>
            </w:r>
          </w:p>
        </w:tc>
        <w:tc>
          <w:tcPr>
            <w:tcW w:w="16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60F80B">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0</w:t>
            </w:r>
          </w:p>
        </w:tc>
      </w:tr>
    </w:tbl>
    <w:p w14:paraId="53553D81">
      <w:pPr>
        <w:rPr>
          <w:rFonts w:hint="eastAsia"/>
          <w:color w:val="000000" w:themeColor="text1"/>
          <w:lang w:eastAsia="zh-CN"/>
          <w14:textFill>
            <w14:solidFill>
              <w14:schemeClr w14:val="tx1"/>
            </w14:solidFill>
          </w14:textFill>
        </w:rPr>
      </w:pPr>
    </w:p>
    <w:p w14:paraId="4767ABA0">
      <w:pPr>
        <w:rPr>
          <w:rFonts w:hint="eastAsia"/>
          <w:color w:val="000000" w:themeColor="text1"/>
          <w:lang w:eastAsia="zh-CN"/>
          <w14:textFill>
            <w14:solidFill>
              <w14:schemeClr w14:val="tx1"/>
            </w14:solidFill>
          </w14:textFill>
        </w:rPr>
      </w:pPr>
      <w:r>
        <w:rPr>
          <w:rFonts w:hint="eastAsia"/>
          <w:color w:val="000000" w:themeColor="text1"/>
          <w:lang w:eastAsia="zh-CN"/>
          <w14:textFill>
            <w14:solidFill>
              <w14:schemeClr w14:val="tx1"/>
            </w14:solidFill>
          </w14:textFill>
        </w:rPr>
        <w:br w:type="page"/>
      </w:r>
    </w:p>
    <w:tbl>
      <w:tblPr>
        <w:tblStyle w:val="10"/>
        <w:tblW w:w="8999"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4410"/>
        <w:gridCol w:w="1497"/>
        <w:gridCol w:w="1557"/>
        <w:gridCol w:w="1535"/>
      </w:tblGrid>
      <w:tr w14:paraId="16CA553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4410" w:type="dxa"/>
            <w:tcBorders>
              <w:top w:val="nil"/>
              <w:left w:val="nil"/>
              <w:bottom w:val="nil"/>
              <w:right w:val="nil"/>
            </w:tcBorders>
            <w:shd w:val="clear" w:color="auto" w:fill="auto"/>
            <w:noWrap/>
            <w:vAlign w:val="center"/>
          </w:tcPr>
          <w:p w14:paraId="62BF0A86">
            <w:pPr>
              <w:keepNext w:val="0"/>
              <w:keepLines w:val="0"/>
              <w:widowControl/>
              <w:suppressLineNumbers w:val="0"/>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表8</w:t>
            </w:r>
          </w:p>
        </w:tc>
        <w:tc>
          <w:tcPr>
            <w:tcW w:w="1497" w:type="dxa"/>
            <w:tcBorders>
              <w:top w:val="nil"/>
              <w:left w:val="nil"/>
              <w:bottom w:val="nil"/>
              <w:right w:val="nil"/>
            </w:tcBorders>
            <w:shd w:val="clear" w:color="auto" w:fill="auto"/>
            <w:noWrap/>
            <w:vAlign w:val="bottom"/>
          </w:tcPr>
          <w:p w14:paraId="39A4C0AD">
            <w:pPr>
              <w:rPr>
                <w:rFonts w:hint="eastAsia" w:ascii="宋体" w:hAnsi="宋体" w:eastAsia="宋体" w:cs="宋体"/>
                <w:i w:val="0"/>
                <w:iCs w:val="0"/>
                <w:color w:val="000000" w:themeColor="text1"/>
                <w:sz w:val="24"/>
                <w:szCs w:val="24"/>
                <w:u w:val="none"/>
                <w14:textFill>
                  <w14:solidFill>
                    <w14:schemeClr w14:val="tx1"/>
                  </w14:solidFill>
                </w14:textFill>
              </w:rPr>
            </w:pPr>
          </w:p>
        </w:tc>
        <w:tc>
          <w:tcPr>
            <w:tcW w:w="1557" w:type="dxa"/>
            <w:tcBorders>
              <w:top w:val="nil"/>
              <w:left w:val="nil"/>
              <w:bottom w:val="nil"/>
              <w:right w:val="nil"/>
            </w:tcBorders>
            <w:shd w:val="clear" w:color="auto" w:fill="auto"/>
            <w:noWrap/>
            <w:vAlign w:val="bottom"/>
          </w:tcPr>
          <w:p w14:paraId="504DDCE0">
            <w:pPr>
              <w:rPr>
                <w:rFonts w:hint="eastAsia" w:ascii="宋体" w:hAnsi="宋体" w:eastAsia="宋体" w:cs="宋体"/>
                <w:i w:val="0"/>
                <w:iCs w:val="0"/>
                <w:color w:val="000000" w:themeColor="text1"/>
                <w:sz w:val="24"/>
                <w:szCs w:val="24"/>
                <w:u w:val="none"/>
                <w14:textFill>
                  <w14:solidFill>
                    <w14:schemeClr w14:val="tx1"/>
                  </w14:solidFill>
                </w14:textFill>
              </w:rPr>
            </w:pPr>
          </w:p>
        </w:tc>
        <w:tc>
          <w:tcPr>
            <w:tcW w:w="1535" w:type="dxa"/>
            <w:tcBorders>
              <w:top w:val="nil"/>
              <w:left w:val="nil"/>
              <w:bottom w:val="nil"/>
              <w:right w:val="nil"/>
            </w:tcBorders>
            <w:shd w:val="clear" w:color="auto" w:fill="auto"/>
            <w:noWrap/>
            <w:vAlign w:val="bottom"/>
          </w:tcPr>
          <w:p w14:paraId="7361CFD4">
            <w:pPr>
              <w:rPr>
                <w:rFonts w:hint="eastAsia" w:ascii="宋体" w:hAnsi="宋体" w:eastAsia="宋体" w:cs="宋体"/>
                <w:i w:val="0"/>
                <w:iCs w:val="0"/>
                <w:color w:val="000000" w:themeColor="text1"/>
                <w:sz w:val="24"/>
                <w:szCs w:val="24"/>
                <w:u w:val="none"/>
                <w14:textFill>
                  <w14:solidFill>
                    <w14:schemeClr w14:val="tx1"/>
                  </w14:solidFill>
                </w14:textFill>
              </w:rPr>
            </w:pPr>
          </w:p>
        </w:tc>
      </w:tr>
      <w:tr w14:paraId="07B987F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5" w:hRule="atLeast"/>
        </w:trPr>
        <w:tc>
          <w:tcPr>
            <w:tcW w:w="8999" w:type="dxa"/>
            <w:gridSpan w:val="4"/>
            <w:tcBorders>
              <w:top w:val="nil"/>
              <w:left w:val="nil"/>
              <w:bottom w:val="nil"/>
              <w:right w:val="nil"/>
            </w:tcBorders>
            <w:shd w:val="clear" w:color="auto" w:fill="auto"/>
            <w:vAlign w:val="center"/>
          </w:tcPr>
          <w:p w14:paraId="00AC87F8">
            <w:pPr>
              <w:keepNext w:val="0"/>
              <w:keepLines w:val="0"/>
              <w:widowControl/>
              <w:suppressLineNumbers w:val="0"/>
              <w:jc w:val="center"/>
              <w:textAlignment w:val="center"/>
              <w:rPr>
                <w:rFonts w:hint="eastAsia" w:ascii="宋体" w:hAnsi="宋体" w:eastAsia="宋体" w:cs="宋体"/>
                <w:b/>
                <w:bCs/>
                <w:i w:val="0"/>
                <w:iCs w:val="0"/>
                <w:color w:val="000000" w:themeColor="text1"/>
                <w:kern w:val="0"/>
                <w:sz w:val="40"/>
                <w:szCs w:val="40"/>
                <w:u w:val="none"/>
                <w:lang w:val="en-US" w:eastAsia="zh-CN" w:bidi="ar"/>
                <w14:textFill>
                  <w14:solidFill>
                    <w14:schemeClr w14:val="tx1"/>
                  </w14:solidFill>
                </w14:textFill>
              </w:rPr>
            </w:pPr>
            <w:r>
              <w:rPr>
                <w:rFonts w:hint="eastAsia" w:ascii="宋体" w:hAnsi="宋体" w:eastAsia="宋体" w:cs="宋体"/>
                <w:b/>
                <w:bCs/>
                <w:i w:val="0"/>
                <w:iCs w:val="0"/>
                <w:color w:val="000000" w:themeColor="text1"/>
                <w:kern w:val="0"/>
                <w:sz w:val="40"/>
                <w:szCs w:val="40"/>
                <w:u w:val="none"/>
                <w:lang w:val="en-US" w:eastAsia="zh-CN" w:bidi="ar"/>
                <w14:textFill>
                  <w14:solidFill>
                    <w14:schemeClr w14:val="tx1"/>
                  </w14:solidFill>
                </w14:textFill>
              </w:rPr>
              <w:t>2024年区级国有资本经营预算支出完成情况表</w:t>
            </w:r>
          </w:p>
        </w:tc>
      </w:tr>
      <w:tr w14:paraId="18FB5CD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4410" w:type="dxa"/>
            <w:tcBorders>
              <w:top w:val="nil"/>
              <w:left w:val="nil"/>
              <w:bottom w:val="nil"/>
              <w:right w:val="nil"/>
            </w:tcBorders>
            <w:shd w:val="clear" w:color="auto" w:fill="auto"/>
            <w:noWrap/>
            <w:vAlign w:val="center"/>
          </w:tcPr>
          <w:p w14:paraId="2B59A934">
            <w:pPr>
              <w:jc w:val="left"/>
              <w:rPr>
                <w:rFonts w:hint="eastAsia" w:ascii="宋体" w:hAnsi="宋体" w:eastAsia="宋体" w:cs="宋体"/>
                <w:i w:val="0"/>
                <w:iCs w:val="0"/>
                <w:color w:val="000000" w:themeColor="text1"/>
                <w:sz w:val="24"/>
                <w:szCs w:val="24"/>
                <w:u w:val="none"/>
                <w14:textFill>
                  <w14:solidFill>
                    <w14:schemeClr w14:val="tx1"/>
                  </w14:solidFill>
                </w14:textFill>
              </w:rPr>
            </w:pPr>
          </w:p>
        </w:tc>
        <w:tc>
          <w:tcPr>
            <w:tcW w:w="1497" w:type="dxa"/>
            <w:tcBorders>
              <w:top w:val="nil"/>
              <w:left w:val="nil"/>
              <w:bottom w:val="nil"/>
              <w:right w:val="nil"/>
            </w:tcBorders>
            <w:shd w:val="clear" w:color="auto" w:fill="auto"/>
            <w:noWrap/>
            <w:vAlign w:val="bottom"/>
          </w:tcPr>
          <w:p w14:paraId="64018964">
            <w:pPr>
              <w:rPr>
                <w:rFonts w:hint="eastAsia" w:ascii="宋体" w:hAnsi="宋体" w:eastAsia="宋体" w:cs="宋体"/>
                <w:i w:val="0"/>
                <w:iCs w:val="0"/>
                <w:color w:val="000000" w:themeColor="text1"/>
                <w:sz w:val="24"/>
                <w:szCs w:val="24"/>
                <w:u w:val="none"/>
                <w14:textFill>
                  <w14:solidFill>
                    <w14:schemeClr w14:val="tx1"/>
                  </w14:solidFill>
                </w14:textFill>
              </w:rPr>
            </w:pPr>
          </w:p>
        </w:tc>
        <w:tc>
          <w:tcPr>
            <w:tcW w:w="1557" w:type="dxa"/>
            <w:tcBorders>
              <w:top w:val="nil"/>
              <w:left w:val="nil"/>
              <w:bottom w:val="single" w:color="000000" w:sz="4" w:space="0"/>
              <w:right w:val="nil"/>
            </w:tcBorders>
            <w:shd w:val="clear" w:color="auto" w:fill="auto"/>
            <w:noWrap/>
            <w:vAlign w:val="center"/>
          </w:tcPr>
          <w:p w14:paraId="7456B74C">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c>
          <w:tcPr>
            <w:tcW w:w="1535" w:type="dxa"/>
            <w:tcBorders>
              <w:top w:val="nil"/>
              <w:left w:val="nil"/>
              <w:bottom w:val="single" w:color="000000" w:sz="4" w:space="0"/>
              <w:right w:val="nil"/>
            </w:tcBorders>
            <w:shd w:val="clear" w:color="auto" w:fill="auto"/>
            <w:noWrap/>
            <w:vAlign w:val="center"/>
          </w:tcPr>
          <w:p w14:paraId="4398836D">
            <w:pPr>
              <w:keepNext w:val="0"/>
              <w:keepLines w:val="0"/>
              <w:widowControl/>
              <w:suppressLineNumbers w:val="0"/>
              <w:jc w:val="righ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单位：万元</w:t>
            </w:r>
          </w:p>
        </w:tc>
      </w:tr>
      <w:tr w14:paraId="78BD6CE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49" w:hRule="atLeast"/>
        </w:trPr>
        <w:tc>
          <w:tcPr>
            <w:tcW w:w="44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3FFD7A">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科目名称</w:t>
            </w:r>
          </w:p>
        </w:tc>
        <w:tc>
          <w:tcPr>
            <w:tcW w:w="14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5EAB04">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实际完成</w:t>
            </w:r>
          </w:p>
        </w:tc>
        <w:tc>
          <w:tcPr>
            <w:tcW w:w="15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2EE4E3">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占调整预算</w:t>
            </w: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br w:type="textWrapping"/>
            </w: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w:t>
            </w:r>
          </w:p>
        </w:tc>
        <w:tc>
          <w:tcPr>
            <w:tcW w:w="15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B78A3E">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比上年增长(%)</w:t>
            </w:r>
          </w:p>
        </w:tc>
      </w:tr>
      <w:tr w14:paraId="61C7F83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0" w:hRule="atLeast"/>
        </w:trPr>
        <w:tc>
          <w:tcPr>
            <w:tcW w:w="4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FD1A46">
            <w:pPr>
              <w:keepNext w:val="0"/>
              <w:keepLines w:val="0"/>
              <w:widowControl/>
              <w:suppressLineNumbers w:val="0"/>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  1.解决历史遗留问题及改革成本支出</w:t>
            </w:r>
          </w:p>
        </w:tc>
        <w:tc>
          <w:tcPr>
            <w:tcW w:w="149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FBD29CA">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20 </w:t>
            </w:r>
          </w:p>
        </w:tc>
        <w:tc>
          <w:tcPr>
            <w:tcW w:w="15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FAD379">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100 </w:t>
            </w:r>
          </w:p>
        </w:tc>
        <w:tc>
          <w:tcPr>
            <w:tcW w:w="15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AC882E">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0 </w:t>
            </w:r>
          </w:p>
        </w:tc>
      </w:tr>
      <w:tr w14:paraId="3112E97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0" w:hRule="atLeast"/>
        </w:trPr>
        <w:tc>
          <w:tcPr>
            <w:tcW w:w="44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8D2EE6">
            <w:pPr>
              <w:keepNext w:val="0"/>
              <w:keepLines w:val="0"/>
              <w:widowControl/>
              <w:suppressLineNumbers w:val="0"/>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  2.国有企业资本金注入</w:t>
            </w:r>
          </w:p>
        </w:tc>
        <w:tc>
          <w:tcPr>
            <w:tcW w:w="149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FC2C9F7">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c>
          <w:tcPr>
            <w:tcW w:w="15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751FC1">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c>
          <w:tcPr>
            <w:tcW w:w="15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75A40F">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r>
      <w:tr w14:paraId="2D01758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0" w:hRule="atLeast"/>
        </w:trPr>
        <w:tc>
          <w:tcPr>
            <w:tcW w:w="44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6A4561">
            <w:pPr>
              <w:keepNext w:val="0"/>
              <w:keepLines w:val="0"/>
              <w:widowControl/>
              <w:suppressLineNumbers w:val="0"/>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  3.国有企业政策性补贴</w:t>
            </w:r>
          </w:p>
        </w:tc>
        <w:tc>
          <w:tcPr>
            <w:tcW w:w="149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B200B18">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c>
          <w:tcPr>
            <w:tcW w:w="15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BD3F65">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c>
          <w:tcPr>
            <w:tcW w:w="15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C7EF97">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r>
      <w:tr w14:paraId="7F68935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0" w:hRule="atLeast"/>
        </w:trPr>
        <w:tc>
          <w:tcPr>
            <w:tcW w:w="4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24DAA9">
            <w:pPr>
              <w:keepNext w:val="0"/>
              <w:keepLines w:val="0"/>
              <w:widowControl/>
              <w:suppressLineNumbers w:val="0"/>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  4.其他国有资本经营预算支出</w:t>
            </w:r>
          </w:p>
        </w:tc>
        <w:tc>
          <w:tcPr>
            <w:tcW w:w="149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319D064">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c>
          <w:tcPr>
            <w:tcW w:w="15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0FE0BF">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c>
          <w:tcPr>
            <w:tcW w:w="15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148906">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r>
      <w:tr w14:paraId="071E805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0" w:hRule="atLeast"/>
        </w:trPr>
        <w:tc>
          <w:tcPr>
            <w:tcW w:w="4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175045">
            <w:pPr>
              <w:keepNext w:val="0"/>
              <w:keepLines w:val="0"/>
              <w:widowControl/>
              <w:suppressLineNumbers w:val="0"/>
              <w:jc w:val="left"/>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一、国有资本经营预算支出</w:t>
            </w:r>
          </w:p>
        </w:tc>
        <w:tc>
          <w:tcPr>
            <w:tcW w:w="149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F334AFF">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 xml:space="preserve">20 </w:t>
            </w:r>
          </w:p>
        </w:tc>
        <w:tc>
          <w:tcPr>
            <w:tcW w:w="15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4E788C">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 xml:space="preserve">100 </w:t>
            </w:r>
          </w:p>
        </w:tc>
        <w:tc>
          <w:tcPr>
            <w:tcW w:w="15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6E7988">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 xml:space="preserve">0 </w:t>
            </w:r>
          </w:p>
        </w:tc>
      </w:tr>
      <w:tr w14:paraId="78915BF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0" w:hRule="atLeast"/>
        </w:trPr>
        <w:tc>
          <w:tcPr>
            <w:tcW w:w="4410" w:type="dxa"/>
            <w:tcBorders>
              <w:top w:val="single" w:color="000000" w:sz="4" w:space="0"/>
              <w:left w:val="single" w:color="000000" w:sz="4" w:space="0"/>
              <w:bottom w:val="single" w:color="000000" w:sz="4" w:space="0"/>
              <w:right w:val="single" w:color="000000" w:sz="4" w:space="0"/>
            </w:tcBorders>
            <w:shd w:val="clear" w:color="auto" w:fill="auto"/>
            <w:vAlign w:val="bottom"/>
          </w:tcPr>
          <w:p w14:paraId="5DAC006A">
            <w:pPr>
              <w:keepNext w:val="0"/>
              <w:keepLines w:val="0"/>
              <w:widowControl/>
              <w:suppressLineNumbers w:val="0"/>
              <w:jc w:val="center"/>
              <w:textAlignment w:val="bottom"/>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总计支出</w:t>
            </w:r>
          </w:p>
        </w:tc>
        <w:tc>
          <w:tcPr>
            <w:tcW w:w="149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C2824FA">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 xml:space="preserve">20 </w:t>
            </w:r>
          </w:p>
        </w:tc>
        <w:tc>
          <w:tcPr>
            <w:tcW w:w="15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1D7167">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 xml:space="preserve">100 </w:t>
            </w:r>
          </w:p>
        </w:tc>
        <w:tc>
          <w:tcPr>
            <w:tcW w:w="15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C30EA6">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 xml:space="preserve">0 </w:t>
            </w:r>
          </w:p>
        </w:tc>
      </w:tr>
    </w:tbl>
    <w:p w14:paraId="37004345">
      <w:pPr>
        <w:rPr>
          <w:rFonts w:hint="eastAsia"/>
          <w:color w:val="000000" w:themeColor="text1"/>
          <w:lang w:eastAsia="zh-CN"/>
          <w14:textFill>
            <w14:solidFill>
              <w14:schemeClr w14:val="tx1"/>
            </w14:solidFill>
          </w14:textFill>
        </w:rPr>
      </w:pPr>
    </w:p>
    <w:p w14:paraId="765A6988">
      <w:pPr>
        <w:rPr>
          <w:rFonts w:hint="eastAsia"/>
          <w:color w:val="000000" w:themeColor="text1"/>
          <w:lang w:eastAsia="zh-CN"/>
          <w14:textFill>
            <w14:solidFill>
              <w14:schemeClr w14:val="tx1"/>
            </w14:solidFill>
          </w14:textFill>
        </w:rPr>
      </w:pPr>
      <w:r>
        <w:rPr>
          <w:rFonts w:hint="eastAsia"/>
          <w:color w:val="000000" w:themeColor="text1"/>
          <w:lang w:eastAsia="zh-CN"/>
          <w14:textFill>
            <w14:solidFill>
              <w14:schemeClr w14:val="tx1"/>
            </w14:solidFill>
          </w14:textFill>
        </w:rPr>
        <w:br w:type="page"/>
      </w:r>
    </w:p>
    <w:tbl>
      <w:tblPr>
        <w:tblStyle w:val="10"/>
        <w:tblW w:w="9002"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4623"/>
        <w:gridCol w:w="2088"/>
        <w:gridCol w:w="2291"/>
      </w:tblGrid>
      <w:tr w14:paraId="54E26D7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4623" w:type="dxa"/>
            <w:tcBorders>
              <w:top w:val="nil"/>
              <w:left w:val="nil"/>
              <w:bottom w:val="nil"/>
              <w:right w:val="nil"/>
            </w:tcBorders>
            <w:shd w:val="clear" w:color="auto" w:fill="auto"/>
            <w:noWrap/>
            <w:vAlign w:val="center"/>
          </w:tcPr>
          <w:p w14:paraId="26F3618C">
            <w:pPr>
              <w:keepNext w:val="0"/>
              <w:keepLines w:val="0"/>
              <w:widowControl/>
              <w:suppressLineNumbers w:val="0"/>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表9</w:t>
            </w:r>
          </w:p>
        </w:tc>
        <w:tc>
          <w:tcPr>
            <w:tcW w:w="2088" w:type="dxa"/>
            <w:tcBorders>
              <w:top w:val="nil"/>
              <w:left w:val="nil"/>
              <w:bottom w:val="nil"/>
              <w:right w:val="nil"/>
            </w:tcBorders>
            <w:shd w:val="clear" w:color="auto" w:fill="auto"/>
            <w:noWrap/>
            <w:vAlign w:val="center"/>
          </w:tcPr>
          <w:p w14:paraId="7F6AEACF">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c>
          <w:tcPr>
            <w:tcW w:w="2291" w:type="dxa"/>
            <w:tcBorders>
              <w:top w:val="nil"/>
              <w:left w:val="nil"/>
              <w:bottom w:val="nil"/>
              <w:right w:val="nil"/>
            </w:tcBorders>
            <w:shd w:val="clear" w:color="auto" w:fill="auto"/>
            <w:noWrap/>
            <w:vAlign w:val="center"/>
          </w:tcPr>
          <w:p w14:paraId="297863BA">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r>
      <w:tr w14:paraId="513582C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trPr>
        <w:tc>
          <w:tcPr>
            <w:tcW w:w="9002" w:type="dxa"/>
            <w:gridSpan w:val="3"/>
            <w:tcBorders>
              <w:top w:val="nil"/>
              <w:left w:val="nil"/>
              <w:bottom w:val="nil"/>
              <w:right w:val="nil"/>
            </w:tcBorders>
            <w:shd w:val="clear" w:color="auto" w:fill="auto"/>
            <w:noWrap/>
            <w:vAlign w:val="bottom"/>
          </w:tcPr>
          <w:p w14:paraId="60871F47">
            <w:pPr>
              <w:keepNext w:val="0"/>
              <w:keepLines w:val="0"/>
              <w:widowControl/>
              <w:suppressLineNumbers w:val="0"/>
              <w:jc w:val="center"/>
              <w:textAlignment w:val="center"/>
              <w:rPr>
                <w:rFonts w:hint="eastAsia" w:ascii="宋体" w:hAnsi="宋体" w:eastAsia="宋体" w:cs="宋体"/>
                <w:b/>
                <w:bCs/>
                <w:i w:val="0"/>
                <w:iCs w:val="0"/>
                <w:color w:val="000000" w:themeColor="text1"/>
                <w:kern w:val="0"/>
                <w:sz w:val="40"/>
                <w:szCs w:val="40"/>
                <w:u w:val="none"/>
                <w:lang w:val="en-US" w:eastAsia="zh-CN" w:bidi="ar"/>
                <w14:textFill>
                  <w14:solidFill>
                    <w14:schemeClr w14:val="tx1"/>
                  </w14:solidFill>
                </w14:textFill>
              </w:rPr>
            </w:pPr>
            <w:r>
              <w:rPr>
                <w:rFonts w:hint="eastAsia" w:ascii="宋体" w:hAnsi="宋体" w:eastAsia="宋体" w:cs="宋体"/>
                <w:b/>
                <w:bCs/>
                <w:i w:val="0"/>
                <w:iCs w:val="0"/>
                <w:color w:val="000000" w:themeColor="text1"/>
                <w:kern w:val="0"/>
                <w:sz w:val="40"/>
                <w:szCs w:val="40"/>
                <w:u w:val="none"/>
                <w:lang w:val="en-US" w:eastAsia="zh-CN" w:bidi="ar"/>
                <w14:textFill>
                  <w14:solidFill>
                    <w14:schemeClr w14:val="tx1"/>
                  </w14:solidFill>
                </w14:textFill>
              </w:rPr>
              <w:t>2025年区级一般公共收入预算草案</w:t>
            </w:r>
          </w:p>
        </w:tc>
      </w:tr>
      <w:tr w14:paraId="580C82F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4623" w:type="dxa"/>
            <w:tcBorders>
              <w:top w:val="nil"/>
              <w:left w:val="nil"/>
              <w:bottom w:val="nil"/>
              <w:right w:val="nil"/>
            </w:tcBorders>
            <w:shd w:val="clear" w:color="auto" w:fill="auto"/>
            <w:noWrap/>
            <w:vAlign w:val="bottom"/>
          </w:tcPr>
          <w:p w14:paraId="2F43DE83">
            <w:pPr>
              <w:jc w:val="left"/>
              <w:rPr>
                <w:rFonts w:hint="eastAsia" w:ascii="宋体" w:hAnsi="宋体" w:eastAsia="宋体" w:cs="宋体"/>
                <w:i w:val="0"/>
                <w:iCs w:val="0"/>
                <w:color w:val="000000" w:themeColor="text1"/>
                <w:sz w:val="24"/>
                <w:szCs w:val="24"/>
                <w:u w:val="none"/>
                <w14:textFill>
                  <w14:solidFill>
                    <w14:schemeClr w14:val="tx1"/>
                  </w14:solidFill>
                </w14:textFill>
              </w:rPr>
            </w:pPr>
          </w:p>
        </w:tc>
        <w:tc>
          <w:tcPr>
            <w:tcW w:w="2088" w:type="dxa"/>
            <w:tcBorders>
              <w:top w:val="nil"/>
              <w:left w:val="nil"/>
              <w:bottom w:val="nil"/>
              <w:right w:val="nil"/>
            </w:tcBorders>
            <w:shd w:val="clear" w:color="auto" w:fill="auto"/>
            <w:noWrap/>
            <w:vAlign w:val="center"/>
          </w:tcPr>
          <w:p w14:paraId="0A5C09F3">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c>
          <w:tcPr>
            <w:tcW w:w="2291" w:type="dxa"/>
            <w:tcBorders>
              <w:top w:val="nil"/>
              <w:left w:val="nil"/>
              <w:bottom w:val="nil"/>
              <w:right w:val="nil"/>
            </w:tcBorders>
            <w:shd w:val="clear" w:color="auto" w:fill="auto"/>
            <w:noWrap/>
            <w:vAlign w:val="center"/>
          </w:tcPr>
          <w:p w14:paraId="5FC8DB31">
            <w:pPr>
              <w:keepNext w:val="0"/>
              <w:keepLines w:val="0"/>
              <w:widowControl/>
              <w:suppressLineNumbers w:val="0"/>
              <w:jc w:val="right"/>
              <w:textAlignment w:val="center"/>
              <w:rPr>
                <w:rFonts w:hint="eastAsia" w:ascii="宋体" w:hAnsi="宋体" w:eastAsia="宋体" w:cs="宋体"/>
                <w:i w:val="0"/>
                <w:iCs w:val="0"/>
                <w:color w:val="000000" w:themeColor="text1"/>
                <w:sz w:val="22"/>
                <w:szCs w:val="22"/>
                <w:u w:val="none"/>
                <w14:textFill>
                  <w14:solidFill>
                    <w14:schemeClr w14:val="tx1"/>
                  </w14:solidFill>
                </w14:textFill>
              </w:rPr>
            </w:pPr>
            <w:r>
              <w:rPr>
                <w:rFonts w:hint="eastAsia" w:ascii="宋体" w:hAnsi="宋体" w:eastAsia="宋体" w:cs="宋体"/>
                <w:i w:val="0"/>
                <w:iCs w:val="0"/>
                <w:color w:val="000000" w:themeColor="text1"/>
                <w:kern w:val="0"/>
                <w:sz w:val="22"/>
                <w:szCs w:val="22"/>
                <w:u w:val="none"/>
                <w:lang w:val="en-US" w:eastAsia="zh-CN" w:bidi="ar"/>
                <w14:textFill>
                  <w14:solidFill>
                    <w14:schemeClr w14:val="tx1"/>
                  </w14:solidFill>
                </w14:textFill>
              </w:rPr>
              <w:t>单位：万元</w:t>
            </w:r>
          </w:p>
        </w:tc>
      </w:tr>
      <w:tr w14:paraId="57135FE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50" w:hRule="atLeast"/>
        </w:trPr>
        <w:tc>
          <w:tcPr>
            <w:tcW w:w="46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48E9C0">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科目名称</w:t>
            </w:r>
          </w:p>
        </w:tc>
        <w:tc>
          <w:tcPr>
            <w:tcW w:w="20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FBF8A4">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2025年预算数</w:t>
            </w:r>
          </w:p>
        </w:tc>
        <w:tc>
          <w:tcPr>
            <w:tcW w:w="22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7CCB00">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比上年增长(%)</w:t>
            </w:r>
          </w:p>
        </w:tc>
      </w:tr>
      <w:tr w14:paraId="086E99E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9" w:hRule="atLeast"/>
        </w:trPr>
        <w:tc>
          <w:tcPr>
            <w:tcW w:w="46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4BED7B">
            <w:pPr>
              <w:keepNext w:val="0"/>
              <w:keepLines w:val="0"/>
              <w:pageBreakBefore w:val="0"/>
              <w:widowControl/>
              <w:suppressLineNumbers w:val="0"/>
              <w:kinsoku/>
              <w:wordWrap/>
              <w:overflowPunct/>
              <w:topLinePunct w:val="0"/>
              <w:autoSpaceDE/>
              <w:autoSpaceDN/>
              <w:bidi w:val="0"/>
              <w:adjustRightInd/>
              <w:snapToGrid/>
              <w:spacing w:line="44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一、税收收入</w:t>
            </w:r>
          </w:p>
        </w:tc>
        <w:tc>
          <w:tcPr>
            <w:tcW w:w="20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4C4254">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 xml:space="preserve">86554 </w:t>
            </w:r>
          </w:p>
        </w:tc>
        <w:tc>
          <w:tcPr>
            <w:tcW w:w="229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98D0AE">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10.9</w:t>
            </w:r>
          </w:p>
        </w:tc>
      </w:tr>
      <w:tr w14:paraId="15D28D9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9" w:hRule="atLeast"/>
        </w:trPr>
        <w:tc>
          <w:tcPr>
            <w:tcW w:w="46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CB9D4E">
            <w:pPr>
              <w:keepNext w:val="0"/>
              <w:keepLines w:val="0"/>
              <w:pageBreakBefore w:val="0"/>
              <w:widowControl/>
              <w:suppressLineNumbers w:val="0"/>
              <w:kinsoku/>
              <w:wordWrap/>
              <w:overflowPunct/>
              <w:topLinePunct w:val="0"/>
              <w:autoSpaceDE/>
              <w:autoSpaceDN/>
              <w:bidi w:val="0"/>
              <w:adjustRightInd/>
              <w:snapToGrid/>
              <w:spacing w:line="44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1.增值税</w:t>
            </w:r>
          </w:p>
        </w:tc>
        <w:tc>
          <w:tcPr>
            <w:tcW w:w="20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99884B">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23027 </w:t>
            </w:r>
          </w:p>
        </w:tc>
        <w:tc>
          <w:tcPr>
            <w:tcW w:w="229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CEF2C7">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10.9</w:t>
            </w:r>
          </w:p>
        </w:tc>
      </w:tr>
      <w:tr w14:paraId="0A74BE1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9" w:hRule="atLeast"/>
        </w:trPr>
        <w:tc>
          <w:tcPr>
            <w:tcW w:w="46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C1735C">
            <w:pPr>
              <w:keepNext w:val="0"/>
              <w:keepLines w:val="0"/>
              <w:pageBreakBefore w:val="0"/>
              <w:widowControl/>
              <w:suppressLineNumbers w:val="0"/>
              <w:kinsoku/>
              <w:wordWrap/>
              <w:overflowPunct/>
              <w:topLinePunct w:val="0"/>
              <w:autoSpaceDE/>
              <w:autoSpaceDN/>
              <w:bidi w:val="0"/>
              <w:adjustRightInd/>
              <w:snapToGrid/>
              <w:spacing w:line="44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2.企业所得税</w:t>
            </w:r>
          </w:p>
        </w:tc>
        <w:tc>
          <w:tcPr>
            <w:tcW w:w="20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5FB25D">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3349 </w:t>
            </w:r>
          </w:p>
        </w:tc>
        <w:tc>
          <w:tcPr>
            <w:tcW w:w="229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542939">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10.2</w:t>
            </w:r>
          </w:p>
        </w:tc>
      </w:tr>
      <w:tr w14:paraId="358FD50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9" w:hRule="atLeast"/>
        </w:trPr>
        <w:tc>
          <w:tcPr>
            <w:tcW w:w="46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F1EA5D">
            <w:pPr>
              <w:keepNext w:val="0"/>
              <w:keepLines w:val="0"/>
              <w:pageBreakBefore w:val="0"/>
              <w:widowControl/>
              <w:suppressLineNumbers w:val="0"/>
              <w:kinsoku/>
              <w:wordWrap/>
              <w:overflowPunct/>
              <w:topLinePunct w:val="0"/>
              <w:autoSpaceDE/>
              <w:autoSpaceDN/>
              <w:bidi w:val="0"/>
              <w:adjustRightInd/>
              <w:snapToGrid/>
              <w:spacing w:line="44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3.个人所得税</w:t>
            </w:r>
          </w:p>
        </w:tc>
        <w:tc>
          <w:tcPr>
            <w:tcW w:w="20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43A961">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984 </w:t>
            </w:r>
          </w:p>
        </w:tc>
        <w:tc>
          <w:tcPr>
            <w:tcW w:w="229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641A0E">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12</w:t>
            </w:r>
          </w:p>
        </w:tc>
      </w:tr>
      <w:tr w14:paraId="60E238F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9" w:hRule="atLeast"/>
        </w:trPr>
        <w:tc>
          <w:tcPr>
            <w:tcW w:w="46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BC2B55">
            <w:pPr>
              <w:keepNext w:val="0"/>
              <w:keepLines w:val="0"/>
              <w:pageBreakBefore w:val="0"/>
              <w:widowControl/>
              <w:suppressLineNumbers w:val="0"/>
              <w:kinsoku/>
              <w:wordWrap/>
              <w:overflowPunct/>
              <w:topLinePunct w:val="0"/>
              <w:autoSpaceDE/>
              <w:autoSpaceDN/>
              <w:bidi w:val="0"/>
              <w:adjustRightInd/>
              <w:snapToGrid/>
              <w:spacing w:line="44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    4.资源税</w:t>
            </w:r>
          </w:p>
        </w:tc>
        <w:tc>
          <w:tcPr>
            <w:tcW w:w="20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DB1190">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154 </w:t>
            </w:r>
          </w:p>
        </w:tc>
        <w:tc>
          <w:tcPr>
            <w:tcW w:w="229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E2FD6E">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10.9</w:t>
            </w:r>
          </w:p>
        </w:tc>
      </w:tr>
      <w:tr w14:paraId="5BBEBBF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9" w:hRule="atLeast"/>
        </w:trPr>
        <w:tc>
          <w:tcPr>
            <w:tcW w:w="46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5793C9">
            <w:pPr>
              <w:keepNext w:val="0"/>
              <w:keepLines w:val="0"/>
              <w:pageBreakBefore w:val="0"/>
              <w:widowControl/>
              <w:suppressLineNumbers w:val="0"/>
              <w:kinsoku/>
              <w:wordWrap/>
              <w:overflowPunct/>
              <w:topLinePunct w:val="0"/>
              <w:autoSpaceDE/>
              <w:autoSpaceDN/>
              <w:bidi w:val="0"/>
              <w:adjustRightInd/>
              <w:snapToGrid/>
              <w:spacing w:line="44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5.城市维护建设税</w:t>
            </w:r>
          </w:p>
        </w:tc>
        <w:tc>
          <w:tcPr>
            <w:tcW w:w="20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A3DB3E">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3752 </w:t>
            </w:r>
          </w:p>
        </w:tc>
        <w:tc>
          <w:tcPr>
            <w:tcW w:w="229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B525FD">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10.3</w:t>
            </w:r>
          </w:p>
        </w:tc>
      </w:tr>
      <w:tr w14:paraId="1A7543F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9" w:hRule="atLeast"/>
        </w:trPr>
        <w:tc>
          <w:tcPr>
            <w:tcW w:w="46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C778E1">
            <w:pPr>
              <w:keepNext w:val="0"/>
              <w:keepLines w:val="0"/>
              <w:pageBreakBefore w:val="0"/>
              <w:widowControl/>
              <w:suppressLineNumbers w:val="0"/>
              <w:kinsoku/>
              <w:wordWrap/>
              <w:overflowPunct/>
              <w:topLinePunct w:val="0"/>
              <w:autoSpaceDE/>
              <w:autoSpaceDN/>
              <w:bidi w:val="0"/>
              <w:adjustRightInd/>
              <w:snapToGrid/>
              <w:spacing w:line="44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6.房产税</w:t>
            </w:r>
          </w:p>
        </w:tc>
        <w:tc>
          <w:tcPr>
            <w:tcW w:w="20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9BAFF0">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2901 </w:t>
            </w:r>
          </w:p>
        </w:tc>
        <w:tc>
          <w:tcPr>
            <w:tcW w:w="229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536C5C">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10.5</w:t>
            </w:r>
          </w:p>
        </w:tc>
      </w:tr>
      <w:tr w14:paraId="34CA56E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9" w:hRule="atLeast"/>
        </w:trPr>
        <w:tc>
          <w:tcPr>
            <w:tcW w:w="46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DF5FCC">
            <w:pPr>
              <w:keepNext w:val="0"/>
              <w:keepLines w:val="0"/>
              <w:pageBreakBefore w:val="0"/>
              <w:widowControl/>
              <w:suppressLineNumbers w:val="0"/>
              <w:kinsoku/>
              <w:wordWrap/>
              <w:overflowPunct/>
              <w:topLinePunct w:val="0"/>
              <w:autoSpaceDE/>
              <w:autoSpaceDN/>
              <w:bidi w:val="0"/>
              <w:adjustRightInd/>
              <w:snapToGrid/>
              <w:spacing w:line="44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7.印花税</w:t>
            </w:r>
          </w:p>
        </w:tc>
        <w:tc>
          <w:tcPr>
            <w:tcW w:w="20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E54BF1">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2224 </w:t>
            </w:r>
          </w:p>
        </w:tc>
        <w:tc>
          <w:tcPr>
            <w:tcW w:w="229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7E782A">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10.4</w:t>
            </w:r>
          </w:p>
        </w:tc>
      </w:tr>
      <w:tr w14:paraId="72103E1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9" w:hRule="atLeast"/>
        </w:trPr>
        <w:tc>
          <w:tcPr>
            <w:tcW w:w="46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9348C3">
            <w:pPr>
              <w:keepNext w:val="0"/>
              <w:keepLines w:val="0"/>
              <w:pageBreakBefore w:val="0"/>
              <w:widowControl/>
              <w:suppressLineNumbers w:val="0"/>
              <w:kinsoku/>
              <w:wordWrap/>
              <w:overflowPunct/>
              <w:topLinePunct w:val="0"/>
              <w:autoSpaceDE/>
              <w:autoSpaceDN/>
              <w:bidi w:val="0"/>
              <w:adjustRightInd/>
              <w:snapToGrid/>
              <w:spacing w:line="44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8.城镇土地使用税</w:t>
            </w:r>
          </w:p>
        </w:tc>
        <w:tc>
          <w:tcPr>
            <w:tcW w:w="20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D632B1">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15271 </w:t>
            </w:r>
          </w:p>
        </w:tc>
        <w:tc>
          <w:tcPr>
            <w:tcW w:w="229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A8B538">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11.3</w:t>
            </w:r>
          </w:p>
        </w:tc>
      </w:tr>
      <w:tr w14:paraId="6F71FA8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9" w:hRule="atLeast"/>
        </w:trPr>
        <w:tc>
          <w:tcPr>
            <w:tcW w:w="46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812AA7">
            <w:pPr>
              <w:keepNext w:val="0"/>
              <w:keepLines w:val="0"/>
              <w:pageBreakBefore w:val="0"/>
              <w:widowControl/>
              <w:suppressLineNumbers w:val="0"/>
              <w:kinsoku/>
              <w:wordWrap/>
              <w:overflowPunct/>
              <w:topLinePunct w:val="0"/>
              <w:autoSpaceDE/>
              <w:autoSpaceDN/>
              <w:bidi w:val="0"/>
              <w:adjustRightInd/>
              <w:snapToGrid/>
              <w:spacing w:line="44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9.土地增值税</w:t>
            </w:r>
          </w:p>
        </w:tc>
        <w:tc>
          <w:tcPr>
            <w:tcW w:w="20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ACCBF6">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3956 </w:t>
            </w:r>
          </w:p>
        </w:tc>
        <w:tc>
          <w:tcPr>
            <w:tcW w:w="229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4FA534">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11.7</w:t>
            </w:r>
          </w:p>
        </w:tc>
      </w:tr>
      <w:tr w14:paraId="36FACBD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9" w:hRule="atLeast"/>
        </w:trPr>
        <w:tc>
          <w:tcPr>
            <w:tcW w:w="46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DA4A0A">
            <w:pPr>
              <w:keepNext w:val="0"/>
              <w:keepLines w:val="0"/>
              <w:pageBreakBefore w:val="0"/>
              <w:widowControl/>
              <w:suppressLineNumbers w:val="0"/>
              <w:kinsoku/>
              <w:wordWrap/>
              <w:overflowPunct/>
              <w:topLinePunct w:val="0"/>
              <w:autoSpaceDE/>
              <w:autoSpaceDN/>
              <w:bidi w:val="0"/>
              <w:adjustRightInd/>
              <w:snapToGrid/>
              <w:spacing w:line="44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10.车船税</w:t>
            </w:r>
          </w:p>
        </w:tc>
        <w:tc>
          <w:tcPr>
            <w:tcW w:w="20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61B218">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7502 </w:t>
            </w:r>
          </w:p>
        </w:tc>
        <w:tc>
          <w:tcPr>
            <w:tcW w:w="229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0A8A9D">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11.3</w:t>
            </w:r>
          </w:p>
        </w:tc>
      </w:tr>
      <w:tr w14:paraId="508C29F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9" w:hRule="atLeast"/>
        </w:trPr>
        <w:tc>
          <w:tcPr>
            <w:tcW w:w="46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C7C496">
            <w:pPr>
              <w:keepNext w:val="0"/>
              <w:keepLines w:val="0"/>
              <w:pageBreakBefore w:val="0"/>
              <w:widowControl/>
              <w:suppressLineNumbers w:val="0"/>
              <w:kinsoku/>
              <w:wordWrap/>
              <w:overflowPunct/>
              <w:topLinePunct w:val="0"/>
              <w:autoSpaceDE/>
              <w:autoSpaceDN/>
              <w:bidi w:val="0"/>
              <w:adjustRightInd/>
              <w:snapToGrid/>
              <w:spacing w:line="44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11.耕地占用税</w:t>
            </w:r>
          </w:p>
        </w:tc>
        <w:tc>
          <w:tcPr>
            <w:tcW w:w="20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A3B894">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19035 </w:t>
            </w:r>
          </w:p>
        </w:tc>
        <w:tc>
          <w:tcPr>
            <w:tcW w:w="229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1E59EE">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10.3</w:t>
            </w:r>
          </w:p>
        </w:tc>
      </w:tr>
      <w:tr w14:paraId="131D442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9" w:hRule="atLeast"/>
        </w:trPr>
        <w:tc>
          <w:tcPr>
            <w:tcW w:w="46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2E5F21">
            <w:pPr>
              <w:keepNext w:val="0"/>
              <w:keepLines w:val="0"/>
              <w:pageBreakBefore w:val="0"/>
              <w:widowControl/>
              <w:suppressLineNumbers w:val="0"/>
              <w:kinsoku/>
              <w:wordWrap/>
              <w:overflowPunct/>
              <w:topLinePunct w:val="0"/>
              <w:autoSpaceDE/>
              <w:autoSpaceDN/>
              <w:bidi w:val="0"/>
              <w:adjustRightInd/>
              <w:snapToGrid/>
              <w:spacing w:line="44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12.契税</w:t>
            </w:r>
          </w:p>
        </w:tc>
        <w:tc>
          <w:tcPr>
            <w:tcW w:w="20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588FBE">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4263 </w:t>
            </w:r>
          </w:p>
        </w:tc>
        <w:tc>
          <w:tcPr>
            <w:tcW w:w="229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2638B4">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11.6</w:t>
            </w:r>
          </w:p>
        </w:tc>
      </w:tr>
      <w:tr w14:paraId="11DB7DA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9" w:hRule="atLeast"/>
        </w:trPr>
        <w:tc>
          <w:tcPr>
            <w:tcW w:w="46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C52E2F">
            <w:pPr>
              <w:keepNext w:val="0"/>
              <w:keepLines w:val="0"/>
              <w:pageBreakBefore w:val="0"/>
              <w:widowControl/>
              <w:suppressLineNumbers w:val="0"/>
              <w:kinsoku/>
              <w:wordWrap/>
              <w:overflowPunct/>
              <w:topLinePunct w:val="0"/>
              <w:autoSpaceDE/>
              <w:autoSpaceDN/>
              <w:bidi w:val="0"/>
              <w:adjustRightInd/>
              <w:snapToGrid/>
              <w:spacing w:line="44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    13.环境保护税</w:t>
            </w:r>
          </w:p>
        </w:tc>
        <w:tc>
          <w:tcPr>
            <w:tcW w:w="20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82C79D">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135 </w:t>
            </w:r>
          </w:p>
        </w:tc>
        <w:tc>
          <w:tcPr>
            <w:tcW w:w="229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86FBB0">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10.9</w:t>
            </w:r>
          </w:p>
        </w:tc>
      </w:tr>
      <w:tr w14:paraId="7438F1E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9" w:hRule="atLeast"/>
        </w:trPr>
        <w:tc>
          <w:tcPr>
            <w:tcW w:w="46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3B207C">
            <w:pPr>
              <w:keepNext w:val="0"/>
              <w:keepLines w:val="0"/>
              <w:pageBreakBefore w:val="0"/>
              <w:widowControl/>
              <w:suppressLineNumbers w:val="0"/>
              <w:kinsoku/>
              <w:wordWrap/>
              <w:overflowPunct/>
              <w:topLinePunct w:val="0"/>
              <w:autoSpaceDE/>
              <w:autoSpaceDN/>
              <w:bidi w:val="0"/>
              <w:adjustRightInd/>
              <w:snapToGrid/>
              <w:spacing w:line="44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二、非税收入</w:t>
            </w:r>
          </w:p>
        </w:tc>
        <w:tc>
          <w:tcPr>
            <w:tcW w:w="20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8B72CD">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 xml:space="preserve">117522 </w:t>
            </w:r>
          </w:p>
        </w:tc>
        <w:tc>
          <w:tcPr>
            <w:tcW w:w="229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2732F5">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1.1</w:t>
            </w:r>
          </w:p>
        </w:tc>
      </w:tr>
      <w:tr w14:paraId="15EC226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9" w:hRule="atLeast"/>
        </w:trPr>
        <w:tc>
          <w:tcPr>
            <w:tcW w:w="46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BA0531">
            <w:pPr>
              <w:keepNext w:val="0"/>
              <w:keepLines w:val="0"/>
              <w:pageBreakBefore w:val="0"/>
              <w:widowControl/>
              <w:suppressLineNumbers w:val="0"/>
              <w:kinsoku/>
              <w:wordWrap/>
              <w:overflowPunct/>
              <w:topLinePunct w:val="0"/>
              <w:autoSpaceDE/>
              <w:autoSpaceDN/>
              <w:bidi w:val="0"/>
              <w:adjustRightInd/>
              <w:snapToGrid/>
              <w:spacing w:line="44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1.专项收入</w:t>
            </w:r>
          </w:p>
        </w:tc>
        <w:tc>
          <w:tcPr>
            <w:tcW w:w="20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F61843">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7250 </w:t>
            </w:r>
          </w:p>
        </w:tc>
        <w:tc>
          <w:tcPr>
            <w:tcW w:w="229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F0B78E">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1.1</w:t>
            </w:r>
          </w:p>
        </w:tc>
      </w:tr>
      <w:tr w14:paraId="0881DED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9" w:hRule="atLeast"/>
        </w:trPr>
        <w:tc>
          <w:tcPr>
            <w:tcW w:w="46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A577BF">
            <w:pPr>
              <w:keepNext w:val="0"/>
              <w:keepLines w:val="0"/>
              <w:pageBreakBefore w:val="0"/>
              <w:widowControl/>
              <w:suppressLineNumbers w:val="0"/>
              <w:kinsoku/>
              <w:wordWrap/>
              <w:overflowPunct/>
              <w:topLinePunct w:val="0"/>
              <w:autoSpaceDE/>
              <w:autoSpaceDN/>
              <w:bidi w:val="0"/>
              <w:adjustRightInd/>
              <w:snapToGrid/>
              <w:spacing w:line="44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2.行政事业性收费收入</w:t>
            </w:r>
          </w:p>
        </w:tc>
        <w:tc>
          <w:tcPr>
            <w:tcW w:w="20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807FD4">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34979 </w:t>
            </w:r>
          </w:p>
        </w:tc>
        <w:tc>
          <w:tcPr>
            <w:tcW w:w="229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F2C9B3">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1.2</w:t>
            </w:r>
          </w:p>
        </w:tc>
      </w:tr>
      <w:tr w14:paraId="60726D9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9" w:hRule="atLeast"/>
        </w:trPr>
        <w:tc>
          <w:tcPr>
            <w:tcW w:w="46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FC8AAD">
            <w:pPr>
              <w:keepNext w:val="0"/>
              <w:keepLines w:val="0"/>
              <w:pageBreakBefore w:val="0"/>
              <w:widowControl/>
              <w:suppressLineNumbers w:val="0"/>
              <w:kinsoku/>
              <w:wordWrap/>
              <w:overflowPunct/>
              <w:topLinePunct w:val="0"/>
              <w:autoSpaceDE/>
              <w:autoSpaceDN/>
              <w:bidi w:val="0"/>
              <w:adjustRightInd/>
              <w:snapToGrid/>
              <w:spacing w:line="44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3.罚没收入</w:t>
            </w:r>
          </w:p>
        </w:tc>
        <w:tc>
          <w:tcPr>
            <w:tcW w:w="20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B73DFB">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2204 </w:t>
            </w:r>
          </w:p>
        </w:tc>
        <w:tc>
          <w:tcPr>
            <w:tcW w:w="229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469B6C">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1.5</w:t>
            </w:r>
          </w:p>
        </w:tc>
      </w:tr>
      <w:tr w14:paraId="1BD996B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9" w:hRule="atLeast"/>
        </w:trPr>
        <w:tc>
          <w:tcPr>
            <w:tcW w:w="46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0E6E86">
            <w:pPr>
              <w:keepNext w:val="0"/>
              <w:keepLines w:val="0"/>
              <w:pageBreakBefore w:val="0"/>
              <w:widowControl/>
              <w:suppressLineNumbers w:val="0"/>
              <w:kinsoku/>
              <w:wordWrap/>
              <w:overflowPunct/>
              <w:topLinePunct w:val="0"/>
              <w:autoSpaceDE/>
              <w:autoSpaceDN/>
              <w:bidi w:val="0"/>
              <w:adjustRightInd/>
              <w:snapToGrid/>
              <w:spacing w:line="44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    4.国有资本经营收入</w:t>
            </w:r>
          </w:p>
        </w:tc>
        <w:tc>
          <w:tcPr>
            <w:tcW w:w="20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F4EE44">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27269 </w:t>
            </w:r>
          </w:p>
        </w:tc>
        <w:tc>
          <w:tcPr>
            <w:tcW w:w="229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FC7B99">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w:t>
            </w:r>
          </w:p>
        </w:tc>
      </w:tr>
      <w:tr w14:paraId="0A5EE1B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9" w:hRule="atLeast"/>
        </w:trPr>
        <w:tc>
          <w:tcPr>
            <w:tcW w:w="46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A22008">
            <w:pPr>
              <w:keepNext w:val="0"/>
              <w:keepLines w:val="0"/>
              <w:pageBreakBefore w:val="0"/>
              <w:widowControl/>
              <w:suppressLineNumbers w:val="0"/>
              <w:kinsoku/>
              <w:wordWrap/>
              <w:overflowPunct/>
              <w:topLinePunct w:val="0"/>
              <w:autoSpaceDE/>
              <w:autoSpaceDN/>
              <w:bidi w:val="0"/>
              <w:adjustRightInd/>
              <w:snapToGrid/>
              <w:spacing w:line="44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5.国有资源(资产)有偿使用收入</w:t>
            </w:r>
          </w:p>
        </w:tc>
        <w:tc>
          <w:tcPr>
            <w:tcW w:w="20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9D91D8">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44661 </w:t>
            </w:r>
          </w:p>
        </w:tc>
        <w:tc>
          <w:tcPr>
            <w:tcW w:w="229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4CBC32">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w:t>
            </w:r>
          </w:p>
        </w:tc>
      </w:tr>
      <w:tr w14:paraId="7A0EFCE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9" w:hRule="atLeast"/>
        </w:trPr>
        <w:tc>
          <w:tcPr>
            <w:tcW w:w="46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43334E">
            <w:pPr>
              <w:keepNext w:val="0"/>
              <w:keepLines w:val="0"/>
              <w:pageBreakBefore w:val="0"/>
              <w:widowControl/>
              <w:suppressLineNumbers w:val="0"/>
              <w:kinsoku/>
              <w:wordWrap/>
              <w:overflowPunct/>
              <w:topLinePunct w:val="0"/>
              <w:autoSpaceDE/>
              <w:autoSpaceDN/>
              <w:bidi w:val="0"/>
              <w:adjustRightInd/>
              <w:snapToGrid/>
              <w:spacing w:line="44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    6.政府住房基金收入</w:t>
            </w:r>
          </w:p>
        </w:tc>
        <w:tc>
          <w:tcPr>
            <w:tcW w:w="20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F3068E">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401 </w:t>
            </w:r>
          </w:p>
        </w:tc>
        <w:tc>
          <w:tcPr>
            <w:tcW w:w="229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6651A0">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1.1</w:t>
            </w:r>
          </w:p>
        </w:tc>
      </w:tr>
      <w:tr w14:paraId="141BB9F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9" w:hRule="atLeast"/>
        </w:trPr>
        <w:tc>
          <w:tcPr>
            <w:tcW w:w="46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5F6411">
            <w:pPr>
              <w:keepNext w:val="0"/>
              <w:keepLines w:val="0"/>
              <w:pageBreakBefore w:val="0"/>
              <w:widowControl/>
              <w:suppressLineNumbers w:val="0"/>
              <w:kinsoku/>
              <w:wordWrap/>
              <w:overflowPunct/>
              <w:topLinePunct w:val="0"/>
              <w:autoSpaceDE/>
              <w:autoSpaceDN/>
              <w:bidi w:val="0"/>
              <w:adjustRightInd/>
              <w:snapToGrid/>
              <w:spacing w:line="44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7.其他收入</w:t>
            </w:r>
          </w:p>
        </w:tc>
        <w:tc>
          <w:tcPr>
            <w:tcW w:w="20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826F69">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758 </w:t>
            </w:r>
          </w:p>
        </w:tc>
        <w:tc>
          <w:tcPr>
            <w:tcW w:w="229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31DC4E">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1.1</w:t>
            </w:r>
          </w:p>
        </w:tc>
      </w:tr>
      <w:tr w14:paraId="71EE111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9" w:hRule="atLeast"/>
        </w:trPr>
        <w:tc>
          <w:tcPr>
            <w:tcW w:w="46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8FAE70">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合计</w:t>
            </w:r>
          </w:p>
        </w:tc>
        <w:tc>
          <w:tcPr>
            <w:tcW w:w="20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C396D7">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 xml:space="preserve">204076 </w:t>
            </w:r>
          </w:p>
        </w:tc>
        <w:tc>
          <w:tcPr>
            <w:tcW w:w="229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1438F4">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5</w:t>
            </w:r>
          </w:p>
        </w:tc>
      </w:tr>
    </w:tbl>
    <w:p w14:paraId="1411B4D3">
      <w:pPr>
        <w:rPr>
          <w:rFonts w:hint="eastAsia"/>
          <w:color w:val="000000" w:themeColor="text1"/>
          <w:lang w:eastAsia="zh-CN"/>
          <w14:textFill>
            <w14:solidFill>
              <w14:schemeClr w14:val="tx1"/>
            </w14:solidFill>
          </w14:textFill>
        </w:rPr>
      </w:pPr>
      <w:r>
        <w:rPr>
          <w:rFonts w:hint="eastAsia"/>
          <w:color w:val="000000" w:themeColor="text1"/>
          <w:lang w:eastAsia="zh-CN"/>
          <w14:textFill>
            <w14:solidFill>
              <w14:schemeClr w14:val="tx1"/>
            </w14:solidFill>
          </w14:textFill>
        </w:rPr>
        <w:br w:type="page"/>
      </w:r>
    </w:p>
    <w:tbl>
      <w:tblPr>
        <w:tblStyle w:val="10"/>
        <w:tblW w:w="900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4370"/>
        <w:gridCol w:w="2185"/>
        <w:gridCol w:w="2445"/>
      </w:tblGrid>
      <w:tr w14:paraId="1701346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4370" w:type="dxa"/>
            <w:tcBorders>
              <w:top w:val="nil"/>
              <w:left w:val="nil"/>
              <w:bottom w:val="nil"/>
              <w:right w:val="nil"/>
            </w:tcBorders>
            <w:shd w:val="clear" w:color="auto" w:fill="auto"/>
            <w:noWrap/>
            <w:vAlign w:val="center"/>
          </w:tcPr>
          <w:p w14:paraId="4920E448">
            <w:pPr>
              <w:keepNext w:val="0"/>
              <w:keepLines w:val="0"/>
              <w:widowControl/>
              <w:suppressLineNumbers w:val="0"/>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表10</w:t>
            </w:r>
          </w:p>
        </w:tc>
        <w:tc>
          <w:tcPr>
            <w:tcW w:w="2185" w:type="dxa"/>
            <w:tcBorders>
              <w:top w:val="nil"/>
              <w:left w:val="nil"/>
              <w:bottom w:val="nil"/>
              <w:right w:val="nil"/>
            </w:tcBorders>
            <w:shd w:val="clear" w:color="auto" w:fill="auto"/>
            <w:noWrap/>
            <w:vAlign w:val="center"/>
          </w:tcPr>
          <w:p w14:paraId="05050588">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c>
          <w:tcPr>
            <w:tcW w:w="2445" w:type="dxa"/>
            <w:tcBorders>
              <w:top w:val="nil"/>
              <w:left w:val="nil"/>
              <w:bottom w:val="nil"/>
              <w:right w:val="nil"/>
            </w:tcBorders>
            <w:shd w:val="clear" w:color="auto" w:fill="auto"/>
            <w:noWrap/>
            <w:vAlign w:val="bottom"/>
          </w:tcPr>
          <w:p w14:paraId="1C3011F0">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r>
      <w:tr w14:paraId="0758038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9000" w:type="dxa"/>
            <w:gridSpan w:val="3"/>
            <w:tcBorders>
              <w:top w:val="nil"/>
              <w:left w:val="nil"/>
              <w:bottom w:val="nil"/>
              <w:right w:val="nil"/>
            </w:tcBorders>
            <w:shd w:val="clear" w:color="auto" w:fill="auto"/>
            <w:noWrap/>
            <w:vAlign w:val="bottom"/>
          </w:tcPr>
          <w:p w14:paraId="0B8B82FA">
            <w:pPr>
              <w:keepNext w:val="0"/>
              <w:keepLines w:val="0"/>
              <w:widowControl/>
              <w:suppressLineNumbers w:val="0"/>
              <w:jc w:val="center"/>
              <w:textAlignment w:val="center"/>
              <w:rPr>
                <w:rFonts w:hint="eastAsia" w:ascii="宋体" w:hAnsi="宋体" w:eastAsia="宋体" w:cs="宋体"/>
                <w:b/>
                <w:bCs/>
                <w:i w:val="0"/>
                <w:iCs w:val="0"/>
                <w:color w:val="000000" w:themeColor="text1"/>
                <w:kern w:val="0"/>
                <w:sz w:val="40"/>
                <w:szCs w:val="40"/>
                <w:u w:val="none"/>
                <w:lang w:val="en-US" w:eastAsia="zh-CN" w:bidi="ar"/>
                <w14:textFill>
                  <w14:solidFill>
                    <w14:schemeClr w14:val="tx1"/>
                  </w14:solidFill>
                </w14:textFill>
              </w:rPr>
            </w:pPr>
            <w:r>
              <w:rPr>
                <w:rFonts w:hint="eastAsia" w:ascii="宋体" w:hAnsi="宋体" w:eastAsia="宋体" w:cs="宋体"/>
                <w:b/>
                <w:bCs/>
                <w:i w:val="0"/>
                <w:iCs w:val="0"/>
                <w:color w:val="000000" w:themeColor="text1"/>
                <w:kern w:val="0"/>
                <w:sz w:val="40"/>
                <w:szCs w:val="40"/>
                <w:u w:val="none"/>
                <w:lang w:val="en-US" w:eastAsia="zh-CN" w:bidi="ar"/>
                <w14:textFill>
                  <w14:solidFill>
                    <w14:schemeClr w14:val="tx1"/>
                  </w14:solidFill>
                </w14:textFill>
              </w:rPr>
              <w:t>2025年区级一般公共支出预算草案</w:t>
            </w:r>
          </w:p>
        </w:tc>
      </w:tr>
      <w:tr w14:paraId="0723A2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71" w:hRule="exact"/>
        </w:trPr>
        <w:tc>
          <w:tcPr>
            <w:tcW w:w="4370" w:type="dxa"/>
            <w:tcBorders>
              <w:top w:val="nil"/>
              <w:left w:val="nil"/>
              <w:bottom w:val="nil"/>
              <w:right w:val="nil"/>
            </w:tcBorders>
            <w:shd w:val="clear" w:color="auto" w:fill="auto"/>
            <w:noWrap/>
            <w:vAlign w:val="bottom"/>
          </w:tcPr>
          <w:p w14:paraId="5450EF4A">
            <w:pPr>
              <w:jc w:val="center"/>
              <w:rPr>
                <w:rFonts w:hint="eastAsia" w:ascii="宋体" w:hAnsi="宋体" w:eastAsia="宋体" w:cs="宋体"/>
                <w:b/>
                <w:bCs/>
                <w:i w:val="0"/>
                <w:iCs w:val="0"/>
                <w:color w:val="000000" w:themeColor="text1"/>
                <w:sz w:val="36"/>
                <w:szCs w:val="36"/>
                <w:u w:val="none"/>
                <w14:textFill>
                  <w14:solidFill>
                    <w14:schemeClr w14:val="tx1"/>
                  </w14:solidFill>
                </w14:textFill>
              </w:rPr>
            </w:pPr>
          </w:p>
        </w:tc>
        <w:tc>
          <w:tcPr>
            <w:tcW w:w="2185" w:type="dxa"/>
            <w:tcBorders>
              <w:top w:val="nil"/>
              <w:left w:val="nil"/>
              <w:bottom w:val="nil"/>
              <w:right w:val="nil"/>
            </w:tcBorders>
            <w:shd w:val="clear" w:color="auto" w:fill="auto"/>
            <w:noWrap/>
            <w:vAlign w:val="center"/>
          </w:tcPr>
          <w:p w14:paraId="5CD81188">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c>
          <w:tcPr>
            <w:tcW w:w="2445" w:type="dxa"/>
            <w:tcBorders>
              <w:top w:val="nil"/>
              <w:left w:val="nil"/>
              <w:bottom w:val="nil"/>
              <w:right w:val="nil"/>
            </w:tcBorders>
            <w:shd w:val="clear" w:color="auto" w:fill="auto"/>
            <w:noWrap/>
            <w:vAlign w:val="center"/>
          </w:tcPr>
          <w:p w14:paraId="3A44F9EB">
            <w:pPr>
              <w:keepNext w:val="0"/>
              <w:keepLines w:val="0"/>
              <w:widowControl/>
              <w:suppressLineNumbers w:val="0"/>
              <w:jc w:val="righ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单位：万元</w:t>
            </w:r>
          </w:p>
        </w:tc>
      </w:tr>
      <w:tr w14:paraId="7DFC1DC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30" w:hRule="atLeast"/>
        </w:trPr>
        <w:tc>
          <w:tcPr>
            <w:tcW w:w="4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C3E75E">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科目名称</w:t>
            </w:r>
          </w:p>
        </w:tc>
        <w:tc>
          <w:tcPr>
            <w:tcW w:w="2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D0BF22">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2025年预算数</w:t>
            </w:r>
          </w:p>
        </w:tc>
        <w:tc>
          <w:tcPr>
            <w:tcW w:w="24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1C528F">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比上年增长(%)</w:t>
            </w:r>
          </w:p>
        </w:tc>
      </w:tr>
      <w:tr w14:paraId="645C8E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5" w:hRule="atLeast"/>
        </w:trPr>
        <w:tc>
          <w:tcPr>
            <w:tcW w:w="43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5B504B">
            <w:pPr>
              <w:keepNext w:val="0"/>
              <w:keepLines w:val="0"/>
              <w:pageBreakBefore w:val="0"/>
              <w:widowControl/>
              <w:suppressLineNumbers w:val="0"/>
              <w:kinsoku/>
              <w:wordWrap/>
              <w:overflowPunct/>
              <w:topLinePunct w:val="0"/>
              <w:autoSpaceDE/>
              <w:autoSpaceDN/>
              <w:bidi w:val="0"/>
              <w:adjustRightInd/>
              <w:snapToGrid/>
              <w:spacing w:line="36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201 一般公共服务支出</w:t>
            </w:r>
          </w:p>
        </w:tc>
        <w:tc>
          <w:tcPr>
            <w:tcW w:w="21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47AD50">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45083 </w:t>
            </w:r>
          </w:p>
        </w:tc>
        <w:tc>
          <w:tcPr>
            <w:tcW w:w="24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91D0B1">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-15</w:t>
            </w:r>
          </w:p>
        </w:tc>
      </w:tr>
      <w:tr w14:paraId="1577AC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5" w:hRule="atLeast"/>
        </w:trPr>
        <w:tc>
          <w:tcPr>
            <w:tcW w:w="43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DF1506">
            <w:pPr>
              <w:keepNext w:val="0"/>
              <w:keepLines w:val="0"/>
              <w:pageBreakBefore w:val="0"/>
              <w:widowControl/>
              <w:suppressLineNumbers w:val="0"/>
              <w:kinsoku/>
              <w:wordWrap/>
              <w:overflowPunct/>
              <w:topLinePunct w:val="0"/>
              <w:autoSpaceDE/>
              <w:autoSpaceDN/>
              <w:bidi w:val="0"/>
              <w:adjustRightInd/>
              <w:snapToGrid/>
              <w:spacing w:line="36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203 国防支出</w:t>
            </w:r>
          </w:p>
        </w:tc>
        <w:tc>
          <w:tcPr>
            <w:tcW w:w="21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1919E2">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151 </w:t>
            </w:r>
          </w:p>
        </w:tc>
        <w:tc>
          <w:tcPr>
            <w:tcW w:w="24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36E0DE">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-41.7</w:t>
            </w:r>
          </w:p>
        </w:tc>
      </w:tr>
      <w:tr w14:paraId="5DA0E49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5" w:hRule="atLeast"/>
        </w:trPr>
        <w:tc>
          <w:tcPr>
            <w:tcW w:w="43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23C014">
            <w:pPr>
              <w:keepNext w:val="0"/>
              <w:keepLines w:val="0"/>
              <w:pageBreakBefore w:val="0"/>
              <w:widowControl/>
              <w:suppressLineNumbers w:val="0"/>
              <w:kinsoku/>
              <w:wordWrap/>
              <w:overflowPunct/>
              <w:topLinePunct w:val="0"/>
              <w:autoSpaceDE/>
              <w:autoSpaceDN/>
              <w:bidi w:val="0"/>
              <w:adjustRightInd/>
              <w:snapToGrid/>
              <w:spacing w:line="36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204 公共安全支出</w:t>
            </w:r>
          </w:p>
        </w:tc>
        <w:tc>
          <w:tcPr>
            <w:tcW w:w="21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077EF1">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6396 </w:t>
            </w:r>
          </w:p>
        </w:tc>
        <w:tc>
          <w:tcPr>
            <w:tcW w:w="24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AD6062">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w:t>
            </w:r>
          </w:p>
        </w:tc>
      </w:tr>
      <w:tr w14:paraId="179044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5" w:hRule="atLeast"/>
        </w:trPr>
        <w:tc>
          <w:tcPr>
            <w:tcW w:w="43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3DFD6E">
            <w:pPr>
              <w:keepNext w:val="0"/>
              <w:keepLines w:val="0"/>
              <w:pageBreakBefore w:val="0"/>
              <w:widowControl/>
              <w:suppressLineNumbers w:val="0"/>
              <w:kinsoku/>
              <w:wordWrap/>
              <w:overflowPunct/>
              <w:topLinePunct w:val="0"/>
              <w:autoSpaceDE/>
              <w:autoSpaceDN/>
              <w:bidi w:val="0"/>
              <w:adjustRightInd/>
              <w:snapToGrid/>
              <w:spacing w:line="36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205 教育支出</w:t>
            </w:r>
          </w:p>
        </w:tc>
        <w:tc>
          <w:tcPr>
            <w:tcW w:w="21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B0F5F2">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171975 </w:t>
            </w:r>
          </w:p>
        </w:tc>
        <w:tc>
          <w:tcPr>
            <w:tcW w:w="24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E39C0B">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2.5</w:t>
            </w:r>
          </w:p>
        </w:tc>
      </w:tr>
      <w:tr w14:paraId="47A09B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5" w:hRule="atLeast"/>
        </w:trPr>
        <w:tc>
          <w:tcPr>
            <w:tcW w:w="43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53DA07">
            <w:pPr>
              <w:keepNext w:val="0"/>
              <w:keepLines w:val="0"/>
              <w:pageBreakBefore w:val="0"/>
              <w:widowControl/>
              <w:suppressLineNumbers w:val="0"/>
              <w:kinsoku/>
              <w:wordWrap/>
              <w:overflowPunct/>
              <w:topLinePunct w:val="0"/>
              <w:autoSpaceDE/>
              <w:autoSpaceDN/>
              <w:bidi w:val="0"/>
              <w:adjustRightInd/>
              <w:snapToGrid/>
              <w:spacing w:line="36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206 科学技术支出</w:t>
            </w:r>
          </w:p>
        </w:tc>
        <w:tc>
          <w:tcPr>
            <w:tcW w:w="21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70FEC0">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1587 </w:t>
            </w:r>
          </w:p>
        </w:tc>
        <w:tc>
          <w:tcPr>
            <w:tcW w:w="24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6741CA">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25.1</w:t>
            </w:r>
          </w:p>
        </w:tc>
      </w:tr>
      <w:tr w14:paraId="017332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5" w:hRule="atLeast"/>
        </w:trPr>
        <w:tc>
          <w:tcPr>
            <w:tcW w:w="43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E3EE1C">
            <w:pPr>
              <w:keepNext w:val="0"/>
              <w:keepLines w:val="0"/>
              <w:pageBreakBefore w:val="0"/>
              <w:widowControl/>
              <w:suppressLineNumbers w:val="0"/>
              <w:kinsoku/>
              <w:wordWrap/>
              <w:overflowPunct/>
              <w:topLinePunct w:val="0"/>
              <w:autoSpaceDE/>
              <w:autoSpaceDN/>
              <w:bidi w:val="0"/>
              <w:adjustRightInd/>
              <w:snapToGrid/>
              <w:spacing w:line="36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207 文化旅游体育与传媒支出</w:t>
            </w:r>
          </w:p>
        </w:tc>
        <w:tc>
          <w:tcPr>
            <w:tcW w:w="21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13930E">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3597 </w:t>
            </w:r>
          </w:p>
        </w:tc>
        <w:tc>
          <w:tcPr>
            <w:tcW w:w="24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93B1D8">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13.7</w:t>
            </w:r>
          </w:p>
        </w:tc>
      </w:tr>
      <w:tr w14:paraId="4FCBB42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5" w:hRule="atLeast"/>
        </w:trPr>
        <w:tc>
          <w:tcPr>
            <w:tcW w:w="43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C560C8">
            <w:pPr>
              <w:keepNext w:val="0"/>
              <w:keepLines w:val="0"/>
              <w:pageBreakBefore w:val="0"/>
              <w:widowControl/>
              <w:suppressLineNumbers w:val="0"/>
              <w:kinsoku/>
              <w:wordWrap/>
              <w:overflowPunct/>
              <w:topLinePunct w:val="0"/>
              <w:autoSpaceDE/>
              <w:autoSpaceDN/>
              <w:bidi w:val="0"/>
              <w:adjustRightInd/>
              <w:snapToGrid/>
              <w:spacing w:line="36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208 社会保障和就业支出</w:t>
            </w:r>
          </w:p>
        </w:tc>
        <w:tc>
          <w:tcPr>
            <w:tcW w:w="21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18490C">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129196 </w:t>
            </w:r>
          </w:p>
        </w:tc>
        <w:tc>
          <w:tcPr>
            <w:tcW w:w="24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E975F8">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20</w:t>
            </w:r>
          </w:p>
        </w:tc>
      </w:tr>
      <w:tr w14:paraId="3C23C2D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5" w:hRule="atLeast"/>
        </w:trPr>
        <w:tc>
          <w:tcPr>
            <w:tcW w:w="43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CBA87D">
            <w:pPr>
              <w:keepNext w:val="0"/>
              <w:keepLines w:val="0"/>
              <w:pageBreakBefore w:val="0"/>
              <w:widowControl/>
              <w:suppressLineNumbers w:val="0"/>
              <w:kinsoku/>
              <w:wordWrap/>
              <w:overflowPunct/>
              <w:topLinePunct w:val="0"/>
              <w:autoSpaceDE/>
              <w:autoSpaceDN/>
              <w:bidi w:val="0"/>
              <w:adjustRightInd/>
              <w:snapToGrid/>
              <w:spacing w:line="36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210 卫生健康支出</w:t>
            </w:r>
          </w:p>
        </w:tc>
        <w:tc>
          <w:tcPr>
            <w:tcW w:w="21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7EE1EE">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46112 </w:t>
            </w:r>
          </w:p>
        </w:tc>
        <w:tc>
          <w:tcPr>
            <w:tcW w:w="24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86011A">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18.4</w:t>
            </w:r>
          </w:p>
        </w:tc>
      </w:tr>
      <w:tr w14:paraId="459B22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5" w:hRule="atLeast"/>
        </w:trPr>
        <w:tc>
          <w:tcPr>
            <w:tcW w:w="43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5C3ACB">
            <w:pPr>
              <w:keepNext w:val="0"/>
              <w:keepLines w:val="0"/>
              <w:pageBreakBefore w:val="0"/>
              <w:widowControl/>
              <w:suppressLineNumbers w:val="0"/>
              <w:kinsoku/>
              <w:wordWrap/>
              <w:overflowPunct/>
              <w:topLinePunct w:val="0"/>
              <w:autoSpaceDE/>
              <w:autoSpaceDN/>
              <w:bidi w:val="0"/>
              <w:adjustRightInd/>
              <w:snapToGrid/>
              <w:spacing w:line="36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211 节能环保支出</w:t>
            </w:r>
          </w:p>
        </w:tc>
        <w:tc>
          <w:tcPr>
            <w:tcW w:w="21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B9F185">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11162 </w:t>
            </w:r>
          </w:p>
        </w:tc>
        <w:tc>
          <w:tcPr>
            <w:tcW w:w="24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5DC164">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-39.7</w:t>
            </w:r>
          </w:p>
        </w:tc>
      </w:tr>
      <w:tr w14:paraId="3A731D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5" w:hRule="atLeast"/>
        </w:trPr>
        <w:tc>
          <w:tcPr>
            <w:tcW w:w="43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A7917E">
            <w:pPr>
              <w:keepNext w:val="0"/>
              <w:keepLines w:val="0"/>
              <w:pageBreakBefore w:val="0"/>
              <w:widowControl/>
              <w:suppressLineNumbers w:val="0"/>
              <w:kinsoku/>
              <w:wordWrap/>
              <w:overflowPunct/>
              <w:topLinePunct w:val="0"/>
              <w:autoSpaceDE/>
              <w:autoSpaceDN/>
              <w:bidi w:val="0"/>
              <w:adjustRightInd/>
              <w:snapToGrid/>
              <w:spacing w:line="36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212 城乡社区支出</w:t>
            </w:r>
          </w:p>
        </w:tc>
        <w:tc>
          <w:tcPr>
            <w:tcW w:w="21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AFFDE2">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31534 </w:t>
            </w:r>
          </w:p>
        </w:tc>
        <w:tc>
          <w:tcPr>
            <w:tcW w:w="24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6A4E6B">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-1.6</w:t>
            </w:r>
          </w:p>
        </w:tc>
      </w:tr>
      <w:tr w14:paraId="115782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5" w:hRule="atLeast"/>
        </w:trPr>
        <w:tc>
          <w:tcPr>
            <w:tcW w:w="43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033C3E">
            <w:pPr>
              <w:keepNext w:val="0"/>
              <w:keepLines w:val="0"/>
              <w:pageBreakBefore w:val="0"/>
              <w:widowControl/>
              <w:suppressLineNumbers w:val="0"/>
              <w:kinsoku/>
              <w:wordWrap/>
              <w:overflowPunct/>
              <w:topLinePunct w:val="0"/>
              <w:autoSpaceDE/>
              <w:autoSpaceDN/>
              <w:bidi w:val="0"/>
              <w:adjustRightInd/>
              <w:snapToGrid/>
              <w:spacing w:line="36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213 农林水支出</w:t>
            </w:r>
          </w:p>
        </w:tc>
        <w:tc>
          <w:tcPr>
            <w:tcW w:w="21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BC411B">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81518 </w:t>
            </w:r>
          </w:p>
        </w:tc>
        <w:tc>
          <w:tcPr>
            <w:tcW w:w="24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322C08">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56.9</w:t>
            </w:r>
          </w:p>
        </w:tc>
      </w:tr>
      <w:tr w14:paraId="04D5F6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5" w:hRule="atLeast"/>
        </w:trPr>
        <w:tc>
          <w:tcPr>
            <w:tcW w:w="43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9B8B00">
            <w:pPr>
              <w:keepNext w:val="0"/>
              <w:keepLines w:val="0"/>
              <w:pageBreakBefore w:val="0"/>
              <w:widowControl/>
              <w:suppressLineNumbers w:val="0"/>
              <w:kinsoku/>
              <w:wordWrap/>
              <w:overflowPunct/>
              <w:topLinePunct w:val="0"/>
              <w:autoSpaceDE/>
              <w:autoSpaceDN/>
              <w:bidi w:val="0"/>
              <w:adjustRightInd/>
              <w:snapToGrid/>
              <w:spacing w:line="36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214 交通运输支出</w:t>
            </w:r>
          </w:p>
        </w:tc>
        <w:tc>
          <w:tcPr>
            <w:tcW w:w="21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DBDD5B">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14185 </w:t>
            </w:r>
          </w:p>
        </w:tc>
        <w:tc>
          <w:tcPr>
            <w:tcW w:w="24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DAEDA0">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117.7</w:t>
            </w:r>
          </w:p>
        </w:tc>
      </w:tr>
      <w:tr w14:paraId="1B00D6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5" w:hRule="atLeast"/>
        </w:trPr>
        <w:tc>
          <w:tcPr>
            <w:tcW w:w="43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2575E5">
            <w:pPr>
              <w:keepNext w:val="0"/>
              <w:keepLines w:val="0"/>
              <w:pageBreakBefore w:val="0"/>
              <w:widowControl/>
              <w:suppressLineNumbers w:val="0"/>
              <w:kinsoku/>
              <w:wordWrap/>
              <w:overflowPunct/>
              <w:topLinePunct w:val="0"/>
              <w:autoSpaceDE/>
              <w:autoSpaceDN/>
              <w:bidi w:val="0"/>
              <w:adjustRightInd/>
              <w:snapToGrid/>
              <w:spacing w:line="36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215 资源勘探信息等支出</w:t>
            </w:r>
          </w:p>
        </w:tc>
        <w:tc>
          <w:tcPr>
            <w:tcW w:w="21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CC844F">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1332 </w:t>
            </w:r>
          </w:p>
        </w:tc>
        <w:tc>
          <w:tcPr>
            <w:tcW w:w="24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93FD3C">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1376.7</w:t>
            </w:r>
          </w:p>
        </w:tc>
      </w:tr>
      <w:tr w14:paraId="5446E9A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5" w:hRule="atLeast"/>
        </w:trPr>
        <w:tc>
          <w:tcPr>
            <w:tcW w:w="43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709C3E">
            <w:pPr>
              <w:keepNext w:val="0"/>
              <w:keepLines w:val="0"/>
              <w:pageBreakBefore w:val="0"/>
              <w:widowControl/>
              <w:suppressLineNumbers w:val="0"/>
              <w:kinsoku/>
              <w:wordWrap/>
              <w:overflowPunct/>
              <w:topLinePunct w:val="0"/>
              <w:autoSpaceDE/>
              <w:autoSpaceDN/>
              <w:bidi w:val="0"/>
              <w:adjustRightInd/>
              <w:snapToGrid/>
              <w:spacing w:line="36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216 商业服务业等支出</w:t>
            </w:r>
          </w:p>
        </w:tc>
        <w:tc>
          <w:tcPr>
            <w:tcW w:w="21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1AD4D9">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1101 </w:t>
            </w:r>
          </w:p>
        </w:tc>
        <w:tc>
          <w:tcPr>
            <w:tcW w:w="24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3B5DAD">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27</w:t>
            </w:r>
          </w:p>
        </w:tc>
      </w:tr>
      <w:tr w14:paraId="17A924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5" w:hRule="atLeast"/>
        </w:trPr>
        <w:tc>
          <w:tcPr>
            <w:tcW w:w="43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6D6635">
            <w:pPr>
              <w:keepNext w:val="0"/>
              <w:keepLines w:val="0"/>
              <w:pageBreakBefore w:val="0"/>
              <w:widowControl/>
              <w:suppressLineNumbers w:val="0"/>
              <w:kinsoku/>
              <w:wordWrap/>
              <w:overflowPunct/>
              <w:topLinePunct w:val="0"/>
              <w:autoSpaceDE/>
              <w:autoSpaceDN/>
              <w:bidi w:val="0"/>
              <w:adjustRightInd/>
              <w:snapToGrid/>
              <w:spacing w:line="36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220 自然资源海洋气象等支出</w:t>
            </w:r>
          </w:p>
        </w:tc>
        <w:tc>
          <w:tcPr>
            <w:tcW w:w="21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238983">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4581 </w:t>
            </w:r>
          </w:p>
        </w:tc>
        <w:tc>
          <w:tcPr>
            <w:tcW w:w="24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757FA9">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96.1</w:t>
            </w:r>
          </w:p>
        </w:tc>
      </w:tr>
      <w:tr w14:paraId="70D09E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5" w:hRule="atLeast"/>
        </w:trPr>
        <w:tc>
          <w:tcPr>
            <w:tcW w:w="43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A1EA52">
            <w:pPr>
              <w:keepNext w:val="0"/>
              <w:keepLines w:val="0"/>
              <w:pageBreakBefore w:val="0"/>
              <w:widowControl/>
              <w:suppressLineNumbers w:val="0"/>
              <w:kinsoku/>
              <w:wordWrap/>
              <w:overflowPunct/>
              <w:topLinePunct w:val="0"/>
              <w:autoSpaceDE/>
              <w:autoSpaceDN/>
              <w:bidi w:val="0"/>
              <w:adjustRightInd/>
              <w:snapToGrid/>
              <w:spacing w:line="36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221 住房保障支出</w:t>
            </w:r>
          </w:p>
        </w:tc>
        <w:tc>
          <w:tcPr>
            <w:tcW w:w="21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893677">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13501 </w:t>
            </w:r>
          </w:p>
        </w:tc>
        <w:tc>
          <w:tcPr>
            <w:tcW w:w="24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A5F2C8">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3679.7</w:t>
            </w:r>
          </w:p>
        </w:tc>
      </w:tr>
      <w:tr w14:paraId="35E2D1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5" w:hRule="atLeast"/>
        </w:trPr>
        <w:tc>
          <w:tcPr>
            <w:tcW w:w="43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AB4DCF">
            <w:pPr>
              <w:keepNext w:val="0"/>
              <w:keepLines w:val="0"/>
              <w:pageBreakBefore w:val="0"/>
              <w:widowControl/>
              <w:suppressLineNumbers w:val="0"/>
              <w:kinsoku/>
              <w:wordWrap/>
              <w:overflowPunct/>
              <w:topLinePunct w:val="0"/>
              <w:autoSpaceDE/>
              <w:autoSpaceDN/>
              <w:bidi w:val="0"/>
              <w:adjustRightInd/>
              <w:snapToGrid/>
              <w:spacing w:line="36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222 粮油物资储备支出</w:t>
            </w:r>
          </w:p>
        </w:tc>
        <w:tc>
          <w:tcPr>
            <w:tcW w:w="21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1ECFF0">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10 </w:t>
            </w:r>
          </w:p>
        </w:tc>
        <w:tc>
          <w:tcPr>
            <w:tcW w:w="24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A76F3F">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100</w:t>
            </w:r>
          </w:p>
        </w:tc>
      </w:tr>
      <w:tr w14:paraId="252566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5" w:hRule="atLeast"/>
        </w:trPr>
        <w:tc>
          <w:tcPr>
            <w:tcW w:w="43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149F72">
            <w:pPr>
              <w:keepNext w:val="0"/>
              <w:keepLines w:val="0"/>
              <w:pageBreakBefore w:val="0"/>
              <w:widowControl/>
              <w:suppressLineNumbers w:val="0"/>
              <w:kinsoku/>
              <w:wordWrap/>
              <w:overflowPunct/>
              <w:topLinePunct w:val="0"/>
              <w:autoSpaceDE/>
              <w:autoSpaceDN/>
              <w:bidi w:val="0"/>
              <w:adjustRightInd/>
              <w:snapToGrid/>
              <w:spacing w:line="36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224 灾害防治及应急管理支出</w:t>
            </w:r>
          </w:p>
        </w:tc>
        <w:tc>
          <w:tcPr>
            <w:tcW w:w="21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5DB3A0">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3509 </w:t>
            </w:r>
          </w:p>
        </w:tc>
        <w:tc>
          <w:tcPr>
            <w:tcW w:w="24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425A69">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2.1</w:t>
            </w:r>
          </w:p>
        </w:tc>
      </w:tr>
      <w:tr w14:paraId="40F4510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5" w:hRule="atLeast"/>
        </w:trPr>
        <w:tc>
          <w:tcPr>
            <w:tcW w:w="43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5EFE34">
            <w:pPr>
              <w:keepNext w:val="0"/>
              <w:keepLines w:val="0"/>
              <w:pageBreakBefore w:val="0"/>
              <w:widowControl/>
              <w:suppressLineNumbers w:val="0"/>
              <w:kinsoku/>
              <w:wordWrap/>
              <w:overflowPunct/>
              <w:topLinePunct w:val="0"/>
              <w:autoSpaceDE/>
              <w:autoSpaceDN/>
              <w:bidi w:val="0"/>
              <w:adjustRightInd/>
              <w:snapToGrid/>
              <w:spacing w:line="36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227 预备费</w:t>
            </w:r>
          </w:p>
        </w:tc>
        <w:tc>
          <w:tcPr>
            <w:tcW w:w="21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336BD2">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4000 </w:t>
            </w:r>
          </w:p>
        </w:tc>
        <w:tc>
          <w:tcPr>
            <w:tcW w:w="24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DF8ADD">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0</w:t>
            </w:r>
          </w:p>
        </w:tc>
      </w:tr>
      <w:tr w14:paraId="3BDF99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5" w:hRule="atLeast"/>
        </w:trPr>
        <w:tc>
          <w:tcPr>
            <w:tcW w:w="43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D0E93B">
            <w:pPr>
              <w:keepNext w:val="0"/>
              <w:keepLines w:val="0"/>
              <w:pageBreakBefore w:val="0"/>
              <w:widowControl/>
              <w:suppressLineNumbers w:val="0"/>
              <w:kinsoku/>
              <w:wordWrap/>
              <w:overflowPunct/>
              <w:topLinePunct w:val="0"/>
              <w:autoSpaceDE/>
              <w:autoSpaceDN/>
              <w:bidi w:val="0"/>
              <w:adjustRightInd/>
              <w:snapToGrid/>
              <w:spacing w:line="36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229 其他支出</w:t>
            </w:r>
          </w:p>
        </w:tc>
        <w:tc>
          <w:tcPr>
            <w:tcW w:w="21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745FEC">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18400 </w:t>
            </w:r>
          </w:p>
        </w:tc>
        <w:tc>
          <w:tcPr>
            <w:tcW w:w="24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F06129">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-5.4</w:t>
            </w:r>
          </w:p>
        </w:tc>
      </w:tr>
      <w:tr w14:paraId="3613F0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5" w:hRule="atLeast"/>
        </w:trPr>
        <w:tc>
          <w:tcPr>
            <w:tcW w:w="43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02F896">
            <w:pPr>
              <w:keepNext w:val="0"/>
              <w:keepLines w:val="0"/>
              <w:pageBreakBefore w:val="0"/>
              <w:widowControl/>
              <w:suppressLineNumbers w:val="0"/>
              <w:kinsoku/>
              <w:wordWrap/>
              <w:overflowPunct/>
              <w:topLinePunct w:val="0"/>
              <w:autoSpaceDE/>
              <w:autoSpaceDN/>
              <w:bidi w:val="0"/>
              <w:adjustRightInd/>
              <w:snapToGrid/>
              <w:spacing w:line="36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232 债务付息支出</w:t>
            </w:r>
          </w:p>
        </w:tc>
        <w:tc>
          <w:tcPr>
            <w:tcW w:w="21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4A753B">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3373 </w:t>
            </w:r>
          </w:p>
        </w:tc>
        <w:tc>
          <w:tcPr>
            <w:tcW w:w="24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781C54">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12.4</w:t>
            </w:r>
          </w:p>
        </w:tc>
      </w:tr>
      <w:tr w14:paraId="635627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5" w:hRule="atLeast"/>
        </w:trPr>
        <w:tc>
          <w:tcPr>
            <w:tcW w:w="43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D5BD6F">
            <w:pPr>
              <w:keepNext w:val="0"/>
              <w:keepLines w:val="0"/>
              <w:pageBreakBefore w:val="0"/>
              <w:widowControl/>
              <w:suppressLineNumbers w:val="0"/>
              <w:kinsoku/>
              <w:wordWrap/>
              <w:overflowPunct/>
              <w:topLinePunct w:val="0"/>
              <w:autoSpaceDE/>
              <w:autoSpaceDN/>
              <w:bidi w:val="0"/>
              <w:adjustRightInd/>
              <w:snapToGrid/>
              <w:spacing w:line="36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233 债务发行费用</w:t>
            </w:r>
          </w:p>
        </w:tc>
        <w:tc>
          <w:tcPr>
            <w:tcW w:w="21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E30C04">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50 </w:t>
            </w:r>
          </w:p>
        </w:tc>
        <w:tc>
          <w:tcPr>
            <w:tcW w:w="24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7CF006">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100</w:t>
            </w:r>
          </w:p>
        </w:tc>
      </w:tr>
      <w:tr w14:paraId="2BE4E5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5" w:hRule="atLeast"/>
        </w:trPr>
        <w:tc>
          <w:tcPr>
            <w:tcW w:w="43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B3DBC3">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合计</w:t>
            </w:r>
          </w:p>
        </w:tc>
        <w:tc>
          <w:tcPr>
            <w:tcW w:w="21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1B9131">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 xml:space="preserve">592353 </w:t>
            </w:r>
          </w:p>
        </w:tc>
        <w:tc>
          <w:tcPr>
            <w:tcW w:w="24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E0C350">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13.6</w:t>
            </w:r>
          </w:p>
        </w:tc>
      </w:tr>
    </w:tbl>
    <w:p w14:paraId="4F53227C">
      <w:pPr>
        <w:rPr>
          <w:rFonts w:hint="eastAsia"/>
          <w:color w:val="000000" w:themeColor="text1"/>
          <w:lang w:eastAsia="zh-CN"/>
          <w14:textFill>
            <w14:solidFill>
              <w14:schemeClr w14:val="tx1"/>
            </w14:solidFill>
          </w14:textFill>
        </w:rPr>
      </w:pPr>
    </w:p>
    <w:p w14:paraId="3E5C2644">
      <w:pPr>
        <w:rPr>
          <w:rFonts w:hint="eastAsia"/>
          <w:color w:val="000000" w:themeColor="text1"/>
          <w:lang w:eastAsia="zh-CN"/>
          <w14:textFill>
            <w14:solidFill>
              <w14:schemeClr w14:val="tx1"/>
            </w14:solidFill>
          </w14:textFill>
        </w:rPr>
      </w:pPr>
      <w:r>
        <w:rPr>
          <w:rFonts w:hint="eastAsia"/>
          <w:color w:val="000000" w:themeColor="text1"/>
          <w:lang w:eastAsia="zh-CN"/>
          <w14:textFill>
            <w14:solidFill>
              <w14:schemeClr w14:val="tx1"/>
            </w14:solidFill>
          </w14:textFill>
        </w:rPr>
        <w:br w:type="page"/>
      </w:r>
    </w:p>
    <w:tbl>
      <w:tblPr>
        <w:tblStyle w:val="10"/>
        <w:tblW w:w="900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4491"/>
        <w:gridCol w:w="2171"/>
        <w:gridCol w:w="2338"/>
      </w:tblGrid>
      <w:tr w14:paraId="37A670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491" w:type="dxa"/>
            <w:tcBorders>
              <w:top w:val="nil"/>
              <w:left w:val="nil"/>
              <w:bottom w:val="nil"/>
              <w:right w:val="nil"/>
            </w:tcBorders>
            <w:shd w:val="clear" w:color="auto" w:fill="auto"/>
            <w:noWrap/>
            <w:vAlign w:val="center"/>
          </w:tcPr>
          <w:p w14:paraId="502D447A">
            <w:pPr>
              <w:keepNext w:val="0"/>
              <w:keepLines w:val="0"/>
              <w:widowControl/>
              <w:suppressLineNumbers w:val="0"/>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表11</w:t>
            </w:r>
          </w:p>
        </w:tc>
        <w:tc>
          <w:tcPr>
            <w:tcW w:w="2171" w:type="dxa"/>
            <w:tcBorders>
              <w:top w:val="nil"/>
              <w:left w:val="nil"/>
              <w:bottom w:val="nil"/>
              <w:right w:val="nil"/>
            </w:tcBorders>
            <w:shd w:val="clear" w:color="auto" w:fill="auto"/>
            <w:noWrap/>
            <w:vAlign w:val="bottom"/>
          </w:tcPr>
          <w:p w14:paraId="17549203">
            <w:pPr>
              <w:rPr>
                <w:rFonts w:hint="eastAsia" w:ascii="宋体" w:hAnsi="宋体" w:eastAsia="宋体" w:cs="宋体"/>
                <w:i w:val="0"/>
                <w:iCs w:val="0"/>
                <w:color w:val="000000" w:themeColor="text1"/>
                <w:sz w:val="24"/>
                <w:szCs w:val="24"/>
                <w:u w:val="none"/>
                <w14:textFill>
                  <w14:solidFill>
                    <w14:schemeClr w14:val="tx1"/>
                  </w14:solidFill>
                </w14:textFill>
              </w:rPr>
            </w:pPr>
          </w:p>
        </w:tc>
        <w:tc>
          <w:tcPr>
            <w:tcW w:w="2338" w:type="dxa"/>
            <w:tcBorders>
              <w:top w:val="nil"/>
              <w:left w:val="nil"/>
              <w:bottom w:val="nil"/>
              <w:right w:val="nil"/>
            </w:tcBorders>
            <w:shd w:val="clear" w:color="auto" w:fill="auto"/>
            <w:noWrap/>
            <w:vAlign w:val="bottom"/>
          </w:tcPr>
          <w:p w14:paraId="3DE628E7">
            <w:pPr>
              <w:rPr>
                <w:rFonts w:hint="eastAsia" w:ascii="宋体" w:hAnsi="宋体" w:eastAsia="宋体" w:cs="宋体"/>
                <w:i w:val="0"/>
                <w:iCs w:val="0"/>
                <w:color w:val="000000" w:themeColor="text1"/>
                <w:sz w:val="24"/>
                <w:szCs w:val="24"/>
                <w:u w:val="none"/>
                <w14:textFill>
                  <w14:solidFill>
                    <w14:schemeClr w14:val="tx1"/>
                  </w14:solidFill>
                </w14:textFill>
              </w:rPr>
            </w:pPr>
          </w:p>
        </w:tc>
      </w:tr>
      <w:tr w14:paraId="16A9951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8" w:hRule="atLeast"/>
        </w:trPr>
        <w:tc>
          <w:tcPr>
            <w:tcW w:w="9000" w:type="dxa"/>
            <w:gridSpan w:val="3"/>
            <w:tcBorders>
              <w:top w:val="nil"/>
              <w:left w:val="nil"/>
              <w:bottom w:val="nil"/>
              <w:right w:val="nil"/>
            </w:tcBorders>
            <w:shd w:val="clear" w:color="auto" w:fill="auto"/>
            <w:noWrap/>
            <w:vAlign w:val="bottom"/>
          </w:tcPr>
          <w:p w14:paraId="31341F6E">
            <w:pPr>
              <w:keepNext w:val="0"/>
              <w:keepLines w:val="0"/>
              <w:widowControl/>
              <w:suppressLineNumbers w:val="0"/>
              <w:jc w:val="center"/>
              <w:textAlignment w:val="center"/>
              <w:rPr>
                <w:rFonts w:hint="eastAsia" w:ascii="宋体" w:hAnsi="宋体" w:eastAsia="宋体" w:cs="宋体"/>
                <w:b/>
                <w:bCs/>
                <w:i w:val="0"/>
                <w:iCs w:val="0"/>
                <w:color w:val="000000" w:themeColor="text1"/>
                <w:kern w:val="0"/>
                <w:sz w:val="40"/>
                <w:szCs w:val="40"/>
                <w:u w:val="none"/>
                <w:lang w:val="en-US" w:eastAsia="zh-CN" w:bidi="ar"/>
                <w14:textFill>
                  <w14:solidFill>
                    <w14:schemeClr w14:val="tx1"/>
                  </w14:solidFill>
                </w14:textFill>
              </w:rPr>
            </w:pPr>
            <w:r>
              <w:rPr>
                <w:rFonts w:hint="eastAsia" w:ascii="宋体" w:hAnsi="宋体" w:eastAsia="宋体" w:cs="宋体"/>
                <w:b/>
                <w:bCs/>
                <w:i w:val="0"/>
                <w:iCs w:val="0"/>
                <w:color w:val="000000" w:themeColor="text1"/>
                <w:kern w:val="0"/>
                <w:sz w:val="40"/>
                <w:szCs w:val="40"/>
                <w:u w:val="none"/>
                <w:lang w:val="en-US" w:eastAsia="zh-CN" w:bidi="ar"/>
                <w14:textFill>
                  <w14:solidFill>
                    <w14:schemeClr w14:val="tx1"/>
                  </w14:solidFill>
                </w14:textFill>
              </w:rPr>
              <w:t>2025年区级政府性基金收入预算草案</w:t>
            </w:r>
          </w:p>
        </w:tc>
      </w:tr>
      <w:tr w14:paraId="535B711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4491" w:type="dxa"/>
            <w:tcBorders>
              <w:top w:val="nil"/>
              <w:left w:val="nil"/>
              <w:bottom w:val="nil"/>
              <w:right w:val="nil"/>
            </w:tcBorders>
            <w:shd w:val="clear" w:color="auto" w:fill="auto"/>
            <w:noWrap/>
            <w:vAlign w:val="bottom"/>
          </w:tcPr>
          <w:p w14:paraId="62B05672">
            <w:pPr>
              <w:rPr>
                <w:rFonts w:hint="eastAsia" w:ascii="宋体" w:hAnsi="宋体" w:eastAsia="宋体" w:cs="宋体"/>
                <w:i w:val="0"/>
                <w:iCs w:val="0"/>
                <w:color w:val="000000" w:themeColor="text1"/>
                <w:sz w:val="24"/>
                <w:szCs w:val="24"/>
                <w:u w:val="none"/>
                <w14:textFill>
                  <w14:solidFill>
                    <w14:schemeClr w14:val="tx1"/>
                  </w14:solidFill>
                </w14:textFill>
              </w:rPr>
            </w:pPr>
          </w:p>
        </w:tc>
        <w:tc>
          <w:tcPr>
            <w:tcW w:w="2171" w:type="dxa"/>
            <w:tcBorders>
              <w:top w:val="nil"/>
              <w:left w:val="nil"/>
              <w:bottom w:val="nil"/>
              <w:right w:val="nil"/>
            </w:tcBorders>
            <w:shd w:val="clear" w:color="auto" w:fill="auto"/>
            <w:noWrap/>
            <w:vAlign w:val="bottom"/>
          </w:tcPr>
          <w:p w14:paraId="2E478AA7">
            <w:pPr>
              <w:rPr>
                <w:rFonts w:hint="eastAsia" w:ascii="宋体" w:hAnsi="宋体" w:eastAsia="宋体" w:cs="宋体"/>
                <w:i w:val="0"/>
                <w:iCs w:val="0"/>
                <w:color w:val="000000" w:themeColor="text1"/>
                <w:sz w:val="24"/>
                <w:szCs w:val="24"/>
                <w:u w:val="none"/>
                <w14:textFill>
                  <w14:solidFill>
                    <w14:schemeClr w14:val="tx1"/>
                  </w14:solidFill>
                </w14:textFill>
              </w:rPr>
            </w:pPr>
          </w:p>
        </w:tc>
        <w:tc>
          <w:tcPr>
            <w:tcW w:w="2338" w:type="dxa"/>
            <w:tcBorders>
              <w:top w:val="nil"/>
              <w:left w:val="nil"/>
              <w:bottom w:val="nil"/>
              <w:right w:val="nil"/>
            </w:tcBorders>
            <w:shd w:val="clear" w:color="auto" w:fill="auto"/>
            <w:vAlign w:val="center"/>
          </w:tcPr>
          <w:p w14:paraId="18F0AD16">
            <w:pPr>
              <w:keepNext w:val="0"/>
              <w:keepLines w:val="0"/>
              <w:widowControl/>
              <w:suppressLineNumbers w:val="0"/>
              <w:jc w:val="righ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单位：万元</w:t>
            </w:r>
          </w:p>
        </w:tc>
      </w:tr>
      <w:tr w14:paraId="22F2603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40" w:hRule="atLeast"/>
        </w:trPr>
        <w:tc>
          <w:tcPr>
            <w:tcW w:w="44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FC4045">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科目名称</w:t>
            </w:r>
          </w:p>
        </w:tc>
        <w:tc>
          <w:tcPr>
            <w:tcW w:w="21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F47928">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2025年预算数</w:t>
            </w:r>
          </w:p>
        </w:tc>
        <w:tc>
          <w:tcPr>
            <w:tcW w:w="23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2FF627">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比上年增长(%)</w:t>
            </w:r>
          </w:p>
        </w:tc>
      </w:tr>
      <w:tr w14:paraId="454D93E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40" w:hRule="atLeast"/>
        </w:trPr>
        <w:tc>
          <w:tcPr>
            <w:tcW w:w="44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B306DC">
            <w:pPr>
              <w:keepNext w:val="0"/>
              <w:keepLines w:val="0"/>
              <w:widowControl/>
              <w:suppressLineNumbers w:val="0"/>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   1.国有土地收益基金收入</w:t>
            </w:r>
          </w:p>
        </w:tc>
        <w:tc>
          <w:tcPr>
            <w:tcW w:w="21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949AC8">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9596 </w:t>
            </w:r>
          </w:p>
        </w:tc>
        <w:tc>
          <w:tcPr>
            <w:tcW w:w="23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B7F237">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100</w:t>
            </w:r>
          </w:p>
        </w:tc>
      </w:tr>
      <w:tr w14:paraId="46E8BE0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40" w:hRule="atLeast"/>
        </w:trPr>
        <w:tc>
          <w:tcPr>
            <w:tcW w:w="44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C3D1E6">
            <w:pPr>
              <w:keepNext w:val="0"/>
              <w:keepLines w:val="0"/>
              <w:widowControl/>
              <w:suppressLineNumbers w:val="0"/>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   2.农业土地开发资金收入</w:t>
            </w:r>
          </w:p>
        </w:tc>
        <w:tc>
          <w:tcPr>
            <w:tcW w:w="21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B7FE4C">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564 </w:t>
            </w:r>
          </w:p>
        </w:tc>
        <w:tc>
          <w:tcPr>
            <w:tcW w:w="23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0EC5E2">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100</w:t>
            </w:r>
          </w:p>
        </w:tc>
      </w:tr>
      <w:tr w14:paraId="10A267B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40" w:hRule="atLeast"/>
        </w:trPr>
        <w:tc>
          <w:tcPr>
            <w:tcW w:w="44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E5485C">
            <w:pPr>
              <w:keepNext w:val="0"/>
              <w:keepLines w:val="0"/>
              <w:widowControl/>
              <w:suppressLineNumbers w:val="0"/>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   3.国有土地使用权出让收入</w:t>
            </w:r>
          </w:p>
        </w:tc>
        <w:tc>
          <w:tcPr>
            <w:tcW w:w="21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071163">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182526 </w:t>
            </w:r>
          </w:p>
        </w:tc>
        <w:tc>
          <w:tcPr>
            <w:tcW w:w="23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AAB341">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100</w:t>
            </w:r>
          </w:p>
        </w:tc>
      </w:tr>
      <w:tr w14:paraId="2F0A428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40" w:hRule="atLeast"/>
        </w:trPr>
        <w:tc>
          <w:tcPr>
            <w:tcW w:w="44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DAA643">
            <w:pPr>
              <w:keepNext w:val="0"/>
              <w:keepLines w:val="0"/>
              <w:widowControl/>
              <w:suppressLineNumbers w:val="0"/>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   4.彩票公益金收入</w:t>
            </w:r>
          </w:p>
        </w:tc>
        <w:tc>
          <w:tcPr>
            <w:tcW w:w="21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9E2281">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180 </w:t>
            </w:r>
          </w:p>
        </w:tc>
        <w:tc>
          <w:tcPr>
            <w:tcW w:w="23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2BC9C0">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-12.6</w:t>
            </w:r>
          </w:p>
        </w:tc>
      </w:tr>
      <w:tr w14:paraId="57385B9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40" w:hRule="atLeast"/>
        </w:trPr>
        <w:tc>
          <w:tcPr>
            <w:tcW w:w="44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79626E">
            <w:pPr>
              <w:keepNext w:val="0"/>
              <w:keepLines w:val="0"/>
              <w:widowControl/>
              <w:suppressLineNumbers w:val="0"/>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   5.城市基础设施配套费收入</w:t>
            </w:r>
          </w:p>
        </w:tc>
        <w:tc>
          <w:tcPr>
            <w:tcW w:w="21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27DC00">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6234 </w:t>
            </w:r>
          </w:p>
        </w:tc>
        <w:tc>
          <w:tcPr>
            <w:tcW w:w="23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87A6DA">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30.4</w:t>
            </w:r>
          </w:p>
        </w:tc>
      </w:tr>
      <w:tr w14:paraId="57637BE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40" w:hRule="atLeast"/>
        </w:trPr>
        <w:tc>
          <w:tcPr>
            <w:tcW w:w="44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3DE76B">
            <w:pPr>
              <w:keepNext w:val="0"/>
              <w:keepLines w:val="0"/>
              <w:widowControl/>
              <w:suppressLineNumbers w:val="0"/>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   6.污水处理费收入</w:t>
            </w:r>
          </w:p>
        </w:tc>
        <w:tc>
          <w:tcPr>
            <w:tcW w:w="21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39A1E3">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900 </w:t>
            </w:r>
          </w:p>
        </w:tc>
        <w:tc>
          <w:tcPr>
            <w:tcW w:w="23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542044">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49.8</w:t>
            </w:r>
          </w:p>
        </w:tc>
      </w:tr>
      <w:tr w14:paraId="2641AF5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40" w:hRule="atLeast"/>
        </w:trPr>
        <w:tc>
          <w:tcPr>
            <w:tcW w:w="44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FA48E7">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合计</w:t>
            </w:r>
          </w:p>
        </w:tc>
        <w:tc>
          <w:tcPr>
            <w:tcW w:w="21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581470">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 xml:space="preserve">200000 </w:t>
            </w:r>
          </w:p>
        </w:tc>
        <w:tc>
          <w:tcPr>
            <w:tcW w:w="23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0EF0F0">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100</w:t>
            </w:r>
          </w:p>
        </w:tc>
      </w:tr>
    </w:tbl>
    <w:p w14:paraId="672B6086">
      <w:pPr>
        <w:rPr>
          <w:rFonts w:hint="eastAsia"/>
          <w:color w:val="000000" w:themeColor="text1"/>
          <w:lang w:eastAsia="zh-CN"/>
          <w14:textFill>
            <w14:solidFill>
              <w14:schemeClr w14:val="tx1"/>
            </w14:solidFill>
          </w14:textFill>
        </w:rPr>
      </w:pPr>
    </w:p>
    <w:p w14:paraId="12F26EC7">
      <w:pPr>
        <w:rPr>
          <w:rFonts w:hint="eastAsia"/>
          <w:color w:val="000000" w:themeColor="text1"/>
          <w:lang w:eastAsia="zh-CN"/>
          <w14:textFill>
            <w14:solidFill>
              <w14:schemeClr w14:val="tx1"/>
            </w14:solidFill>
          </w14:textFill>
        </w:rPr>
      </w:pPr>
      <w:r>
        <w:rPr>
          <w:rFonts w:hint="eastAsia"/>
          <w:color w:val="000000" w:themeColor="text1"/>
          <w:lang w:eastAsia="zh-CN"/>
          <w14:textFill>
            <w14:solidFill>
              <w14:schemeClr w14:val="tx1"/>
            </w14:solidFill>
          </w14:textFill>
        </w:rPr>
        <w:br w:type="page"/>
      </w:r>
    </w:p>
    <w:tbl>
      <w:tblPr>
        <w:tblStyle w:val="10"/>
        <w:tblW w:w="8999"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5212"/>
        <w:gridCol w:w="1944"/>
        <w:gridCol w:w="1843"/>
      </w:tblGrid>
      <w:tr w14:paraId="08256D1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5212" w:type="dxa"/>
            <w:tcBorders>
              <w:top w:val="nil"/>
              <w:left w:val="nil"/>
              <w:bottom w:val="nil"/>
              <w:right w:val="nil"/>
            </w:tcBorders>
            <w:shd w:val="clear" w:color="auto" w:fill="auto"/>
            <w:noWrap/>
            <w:vAlign w:val="center"/>
          </w:tcPr>
          <w:p w14:paraId="2413EF00">
            <w:pPr>
              <w:keepNext w:val="0"/>
              <w:keepLines w:val="0"/>
              <w:widowControl/>
              <w:suppressLineNumbers w:val="0"/>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表12</w:t>
            </w:r>
          </w:p>
        </w:tc>
        <w:tc>
          <w:tcPr>
            <w:tcW w:w="1944" w:type="dxa"/>
            <w:tcBorders>
              <w:top w:val="nil"/>
              <w:left w:val="nil"/>
              <w:bottom w:val="nil"/>
              <w:right w:val="nil"/>
            </w:tcBorders>
            <w:shd w:val="clear" w:color="auto" w:fill="auto"/>
            <w:vAlign w:val="center"/>
          </w:tcPr>
          <w:p w14:paraId="1AD7BBA9">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c>
          <w:tcPr>
            <w:tcW w:w="1843" w:type="dxa"/>
            <w:tcBorders>
              <w:top w:val="nil"/>
              <w:left w:val="nil"/>
              <w:bottom w:val="nil"/>
              <w:right w:val="nil"/>
            </w:tcBorders>
            <w:shd w:val="clear" w:color="auto" w:fill="auto"/>
            <w:noWrap/>
            <w:vAlign w:val="center"/>
          </w:tcPr>
          <w:p w14:paraId="58C4BF4C">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r>
      <w:tr w14:paraId="36DA11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3" w:hRule="atLeast"/>
        </w:trPr>
        <w:tc>
          <w:tcPr>
            <w:tcW w:w="8999" w:type="dxa"/>
            <w:gridSpan w:val="3"/>
            <w:tcBorders>
              <w:top w:val="nil"/>
              <w:left w:val="nil"/>
              <w:bottom w:val="nil"/>
              <w:right w:val="nil"/>
            </w:tcBorders>
            <w:shd w:val="clear" w:color="auto" w:fill="auto"/>
            <w:noWrap/>
            <w:vAlign w:val="bottom"/>
          </w:tcPr>
          <w:p w14:paraId="6C0E406C">
            <w:pPr>
              <w:keepNext w:val="0"/>
              <w:keepLines w:val="0"/>
              <w:widowControl/>
              <w:suppressLineNumbers w:val="0"/>
              <w:jc w:val="center"/>
              <w:textAlignment w:val="center"/>
              <w:rPr>
                <w:rFonts w:hint="eastAsia" w:ascii="宋体" w:hAnsi="宋体" w:eastAsia="宋体" w:cs="宋体"/>
                <w:b/>
                <w:bCs/>
                <w:i w:val="0"/>
                <w:iCs w:val="0"/>
                <w:color w:val="000000" w:themeColor="text1"/>
                <w:kern w:val="0"/>
                <w:sz w:val="40"/>
                <w:szCs w:val="40"/>
                <w:u w:val="none"/>
                <w:lang w:val="en-US" w:eastAsia="zh-CN" w:bidi="ar"/>
                <w14:textFill>
                  <w14:solidFill>
                    <w14:schemeClr w14:val="tx1"/>
                  </w14:solidFill>
                </w14:textFill>
              </w:rPr>
            </w:pPr>
            <w:r>
              <w:rPr>
                <w:rFonts w:hint="eastAsia" w:ascii="宋体" w:hAnsi="宋体" w:eastAsia="宋体" w:cs="宋体"/>
                <w:b/>
                <w:bCs/>
                <w:i w:val="0"/>
                <w:iCs w:val="0"/>
                <w:color w:val="000000" w:themeColor="text1"/>
                <w:kern w:val="0"/>
                <w:sz w:val="40"/>
                <w:szCs w:val="40"/>
                <w:u w:val="none"/>
                <w:lang w:val="en-US" w:eastAsia="zh-CN" w:bidi="ar"/>
                <w14:textFill>
                  <w14:solidFill>
                    <w14:schemeClr w14:val="tx1"/>
                  </w14:solidFill>
                </w14:textFill>
              </w:rPr>
              <w:t>2025年区级政府性基金支出预算草案</w:t>
            </w:r>
          </w:p>
        </w:tc>
      </w:tr>
      <w:tr w14:paraId="666463E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5212" w:type="dxa"/>
            <w:tcBorders>
              <w:top w:val="nil"/>
              <w:left w:val="nil"/>
              <w:bottom w:val="nil"/>
              <w:right w:val="nil"/>
            </w:tcBorders>
            <w:shd w:val="clear" w:color="auto" w:fill="auto"/>
            <w:noWrap/>
            <w:vAlign w:val="bottom"/>
          </w:tcPr>
          <w:p w14:paraId="09AB7E69">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c>
          <w:tcPr>
            <w:tcW w:w="1944" w:type="dxa"/>
            <w:tcBorders>
              <w:top w:val="nil"/>
              <w:left w:val="nil"/>
              <w:bottom w:val="nil"/>
              <w:right w:val="nil"/>
            </w:tcBorders>
            <w:shd w:val="clear" w:color="auto" w:fill="auto"/>
            <w:vAlign w:val="center"/>
          </w:tcPr>
          <w:p w14:paraId="69135512">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c>
          <w:tcPr>
            <w:tcW w:w="1843" w:type="dxa"/>
            <w:tcBorders>
              <w:top w:val="nil"/>
              <w:left w:val="nil"/>
              <w:bottom w:val="nil"/>
              <w:right w:val="nil"/>
            </w:tcBorders>
            <w:shd w:val="clear" w:color="auto" w:fill="auto"/>
            <w:vAlign w:val="center"/>
          </w:tcPr>
          <w:p w14:paraId="729D68B6">
            <w:pPr>
              <w:keepNext w:val="0"/>
              <w:keepLines w:val="0"/>
              <w:widowControl/>
              <w:suppressLineNumbers w:val="0"/>
              <w:jc w:val="righ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单位：万元</w:t>
            </w:r>
          </w:p>
        </w:tc>
      </w:tr>
      <w:tr w14:paraId="460E1C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5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F9EE25">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科目名称</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7BC961">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2025年预算数</w:t>
            </w:r>
          </w:p>
        </w:tc>
        <w:tc>
          <w:tcPr>
            <w:tcW w:w="18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9189BD">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比上年增长(%)</w:t>
            </w:r>
          </w:p>
        </w:tc>
      </w:tr>
      <w:tr w14:paraId="01C881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2" w:hRule="atLeast"/>
        </w:trPr>
        <w:tc>
          <w:tcPr>
            <w:tcW w:w="5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075F0B">
            <w:pPr>
              <w:keepNext w:val="0"/>
              <w:keepLines w:val="0"/>
              <w:widowControl/>
              <w:suppressLineNumbers w:val="0"/>
              <w:jc w:val="left"/>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一、文化旅游体育与传媒支出</w:t>
            </w:r>
          </w:p>
        </w:tc>
        <w:tc>
          <w:tcPr>
            <w:tcW w:w="1944" w:type="dxa"/>
            <w:tcBorders>
              <w:top w:val="single" w:color="000000" w:sz="4" w:space="0"/>
              <w:left w:val="single" w:color="000000" w:sz="4" w:space="0"/>
              <w:bottom w:val="single" w:color="000000" w:sz="4" w:space="0"/>
              <w:right w:val="nil"/>
            </w:tcBorders>
            <w:shd w:val="clear" w:color="auto" w:fill="auto"/>
            <w:vAlign w:val="center"/>
          </w:tcPr>
          <w:p w14:paraId="7BCEF86B">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 xml:space="preserve">30 </w:t>
            </w:r>
          </w:p>
        </w:tc>
        <w:tc>
          <w:tcPr>
            <w:tcW w:w="1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34E31A">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-11.8</w:t>
            </w:r>
          </w:p>
        </w:tc>
      </w:tr>
      <w:tr w14:paraId="1CBF76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2" w:hRule="atLeast"/>
        </w:trPr>
        <w:tc>
          <w:tcPr>
            <w:tcW w:w="5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CEC679">
            <w:pPr>
              <w:keepNext w:val="0"/>
              <w:keepLines w:val="0"/>
              <w:widowControl/>
              <w:suppressLineNumbers w:val="0"/>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    国家电影事业发展专项资金安排的支出</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92C28D">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30 </w:t>
            </w:r>
          </w:p>
        </w:tc>
        <w:tc>
          <w:tcPr>
            <w:tcW w:w="1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958AFE">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-11.8</w:t>
            </w:r>
          </w:p>
        </w:tc>
      </w:tr>
      <w:tr w14:paraId="57A37E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2" w:hRule="atLeast"/>
        </w:trPr>
        <w:tc>
          <w:tcPr>
            <w:tcW w:w="5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691A24">
            <w:pPr>
              <w:keepNext w:val="0"/>
              <w:keepLines w:val="0"/>
              <w:widowControl/>
              <w:suppressLineNumbers w:val="0"/>
              <w:jc w:val="left"/>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二、城乡社区支出</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570670">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 xml:space="preserve">136047 </w:t>
            </w:r>
          </w:p>
        </w:tc>
        <w:tc>
          <w:tcPr>
            <w:tcW w:w="1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363DF6">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-33.9</w:t>
            </w:r>
          </w:p>
        </w:tc>
      </w:tr>
      <w:tr w14:paraId="18EB329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2" w:hRule="atLeast"/>
        </w:trPr>
        <w:tc>
          <w:tcPr>
            <w:tcW w:w="5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CA6D93">
            <w:pPr>
              <w:keepNext w:val="0"/>
              <w:keepLines w:val="0"/>
              <w:widowControl/>
              <w:suppressLineNumbers w:val="0"/>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    国有土地使用权出让收入安排的支出</w:t>
            </w:r>
          </w:p>
        </w:tc>
        <w:tc>
          <w:tcPr>
            <w:tcW w:w="19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BBFD1E">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118605 </w:t>
            </w:r>
          </w:p>
        </w:tc>
        <w:tc>
          <w:tcPr>
            <w:tcW w:w="1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394644">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-35.2</w:t>
            </w:r>
          </w:p>
        </w:tc>
      </w:tr>
      <w:tr w14:paraId="51849FB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2" w:hRule="atLeast"/>
        </w:trPr>
        <w:tc>
          <w:tcPr>
            <w:tcW w:w="5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72F1F1">
            <w:pPr>
              <w:keepNext w:val="0"/>
              <w:keepLines w:val="0"/>
              <w:widowControl/>
              <w:suppressLineNumbers w:val="0"/>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    国有土地收益基金安排的支出</w:t>
            </w:r>
          </w:p>
        </w:tc>
        <w:tc>
          <w:tcPr>
            <w:tcW w:w="19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CE9E2D">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9596 </w:t>
            </w:r>
          </w:p>
        </w:tc>
        <w:tc>
          <w:tcPr>
            <w:tcW w:w="1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B152F1">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-40</w:t>
            </w:r>
          </w:p>
        </w:tc>
      </w:tr>
      <w:tr w14:paraId="602CCF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2" w:hRule="atLeast"/>
        </w:trPr>
        <w:tc>
          <w:tcPr>
            <w:tcW w:w="5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C2A3B5">
            <w:pPr>
              <w:keepNext w:val="0"/>
              <w:keepLines w:val="0"/>
              <w:widowControl/>
              <w:suppressLineNumbers w:val="0"/>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    农业土地开发资金安排的支出</w:t>
            </w:r>
          </w:p>
        </w:tc>
        <w:tc>
          <w:tcPr>
            <w:tcW w:w="19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DAC2F7">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712 </w:t>
            </w:r>
          </w:p>
        </w:tc>
        <w:tc>
          <w:tcPr>
            <w:tcW w:w="1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3D7D66">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-34</w:t>
            </w:r>
          </w:p>
        </w:tc>
      </w:tr>
      <w:tr w14:paraId="535952A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2" w:hRule="atLeast"/>
        </w:trPr>
        <w:tc>
          <w:tcPr>
            <w:tcW w:w="5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09FF17">
            <w:pPr>
              <w:keepNext w:val="0"/>
              <w:keepLines w:val="0"/>
              <w:widowControl/>
              <w:suppressLineNumbers w:val="0"/>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    城市基础设施配套费安排的支出</w:t>
            </w:r>
          </w:p>
        </w:tc>
        <w:tc>
          <w:tcPr>
            <w:tcW w:w="19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7BE52C">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6234 </w:t>
            </w:r>
          </w:p>
        </w:tc>
        <w:tc>
          <w:tcPr>
            <w:tcW w:w="1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411254">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24.7</w:t>
            </w:r>
          </w:p>
        </w:tc>
      </w:tr>
      <w:tr w14:paraId="6B5301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2" w:hRule="atLeast"/>
        </w:trPr>
        <w:tc>
          <w:tcPr>
            <w:tcW w:w="5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E991C3">
            <w:pPr>
              <w:keepNext w:val="0"/>
              <w:keepLines w:val="0"/>
              <w:widowControl/>
              <w:suppressLineNumbers w:val="0"/>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    污水处理费安排的支出</w:t>
            </w:r>
          </w:p>
        </w:tc>
        <w:tc>
          <w:tcPr>
            <w:tcW w:w="19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27B576">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900 </w:t>
            </w:r>
          </w:p>
        </w:tc>
        <w:tc>
          <w:tcPr>
            <w:tcW w:w="1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571D57">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0</w:t>
            </w:r>
          </w:p>
        </w:tc>
      </w:tr>
      <w:tr w14:paraId="6A4312B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2" w:hRule="atLeast"/>
        </w:trPr>
        <w:tc>
          <w:tcPr>
            <w:tcW w:w="5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AC48E8">
            <w:pPr>
              <w:keepNext w:val="0"/>
              <w:keepLines w:val="0"/>
              <w:widowControl/>
              <w:suppressLineNumbers w:val="0"/>
              <w:jc w:val="left"/>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三、农林水支出</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F05B83">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3</w:t>
            </w:r>
          </w:p>
        </w:tc>
        <w:tc>
          <w:tcPr>
            <w:tcW w:w="1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EDCC3A">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100</w:t>
            </w:r>
          </w:p>
        </w:tc>
      </w:tr>
      <w:tr w14:paraId="381B32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2" w:hRule="atLeast"/>
        </w:trPr>
        <w:tc>
          <w:tcPr>
            <w:tcW w:w="5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E40DEA">
            <w:pPr>
              <w:keepNext w:val="0"/>
              <w:keepLines w:val="0"/>
              <w:widowControl/>
              <w:suppressLineNumbers w:val="0"/>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    大中型水库移民后期扶持基金支出</w:t>
            </w:r>
          </w:p>
        </w:tc>
        <w:tc>
          <w:tcPr>
            <w:tcW w:w="19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B16BDF">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3 </w:t>
            </w:r>
          </w:p>
        </w:tc>
        <w:tc>
          <w:tcPr>
            <w:tcW w:w="1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B7E0D1">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100</w:t>
            </w:r>
          </w:p>
        </w:tc>
      </w:tr>
      <w:tr w14:paraId="592A3C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2" w:hRule="atLeast"/>
        </w:trPr>
        <w:tc>
          <w:tcPr>
            <w:tcW w:w="5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400408">
            <w:pPr>
              <w:keepNext w:val="0"/>
              <w:keepLines w:val="0"/>
              <w:widowControl/>
              <w:suppressLineNumbers w:val="0"/>
              <w:jc w:val="left"/>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四、其他支出</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676421">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 xml:space="preserve">76772 </w:t>
            </w:r>
          </w:p>
        </w:tc>
        <w:tc>
          <w:tcPr>
            <w:tcW w:w="1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BA332C">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100</w:t>
            </w:r>
          </w:p>
        </w:tc>
      </w:tr>
      <w:tr w14:paraId="54D48E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2" w:hRule="atLeast"/>
        </w:trPr>
        <w:tc>
          <w:tcPr>
            <w:tcW w:w="5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6AE878">
            <w:pPr>
              <w:keepNext w:val="0"/>
              <w:keepLines w:val="0"/>
              <w:widowControl/>
              <w:suppressLineNumbers w:val="0"/>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    彩票公益金安排的支出</w:t>
            </w:r>
          </w:p>
        </w:tc>
        <w:tc>
          <w:tcPr>
            <w:tcW w:w="19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2FD8FC">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1836 </w:t>
            </w:r>
          </w:p>
        </w:tc>
        <w:tc>
          <w:tcPr>
            <w:tcW w:w="1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4A4E1A">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252.1</w:t>
            </w:r>
          </w:p>
        </w:tc>
      </w:tr>
      <w:tr w14:paraId="6751DF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2" w:hRule="atLeast"/>
        </w:trPr>
        <w:tc>
          <w:tcPr>
            <w:tcW w:w="5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99D175">
            <w:pPr>
              <w:keepNext w:val="0"/>
              <w:keepLines w:val="0"/>
              <w:widowControl/>
              <w:suppressLineNumbers w:val="0"/>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    其他地方自行试点项目收益专项债券收入安排的支出</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AB9648">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72875 </w:t>
            </w:r>
          </w:p>
        </w:tc>
        <w:tc>
          <w:tcPr>
            <w:tcW w:w="1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D1EB95">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100</w:t>
            </w:r>
          </w:p>
        </w:tc>
      </w:tr>
      <w:tr w14:paraId="4A89B8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2" w:hRule="atLeast"/>
        </w:trPr>
        <w:tc>
          <w:tcPr>
            <w:tcW w:w="5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5E62E7">
            <w:pPr>
              <w:keepNext w:val="0"/>
              <w:keepLines w:val="0"/>
              <w:widowControl/>
              <w:suppressLineNumbers w:val="0"/>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    超长期特别国债安排的其他支出</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BBD6D7">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2061 </w:t>
            </w:r>
          </w:p>
        </w:tc>
        <w:tc>
          <w:tcPr>
            <w:tcW w:w="1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F96BF5">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100</w:t>
            </w:r>
          </w:p>
        </w:tc>
      </w:tr>
      <w:tr w14:paraId="37FA7B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2" w:hRule="atLeast"/>
        </w:trPr>
        <w:tc>
          <w:tcPr>
            <w:tcW w:w="5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BC86E7">
            <w:pPr>
              <w:keepNext w:val="0"/>
              <w:keepLines w:val="0"/>
              <w:widowControl/>
              <w:suppressLineNumbers w:val="0"/>
              <w:jc w:val="left"/>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五、债务付息支出</w:t>
            </w:r>
          </w:p>
        </w:tc>
        <w:tc>
          <w:tcPr>
            <w:tcW w:w="19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461D5C">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 xml:space="preserve">41628 </w:t>
            </w:r>
          </w:p>
        </w:tc>
        <w:tc>
          <w:tcPr>
            <w:tcW w:w="1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026EC4">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-1.1</w:t>
            </w:r>
          </w:p>
        </w:tc>
      </w:tr>
      <w:tr w14:paraId="045B46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2" w:hRule="atLeast"/>
        </w:trPr>
        <w:tc>
          <w:tcPr>
            <w:tcW w:w="5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51DFE8">
            <w:pPr>
              <w:keepNext w:val="0"/>
              <w:keepLines w:val="0"/>
              <w:widowControl/>
              <w:suppressLineNumbers w:val="0"/>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    地方专项债务付息支出</w:t>
            </w:r>
          </w:p>
        </w:tc>
        <w:tc>
          <w:tcPr>
            <w:tcW w:w="19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59780F">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41628 </w:t>
            </w:r>
          </w:p>
        </w:tc>
        <w:tc>
          <w:tcPr>
            <w:tcW w:w="1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7CA37F">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-1.1</w:t>
            </w:r>
          </w:p>
        </w:tc>
      </w:tr>
      <w:tr w14:paraId="19580F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2" w:hRule="atLeast"/>
        </w:trPr>
        <w:tc>
          <w:tcPr>
            <w:tcW w:w="5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E7EAC0">
            <w:pPr>
              <w:keepNext w:val="0"/>
              <w:keepLines w:val="0"/>
              <w:widowControl/>
              <w:suppressLineNumbers w:val="0"/>
              <w:jc w:val="left"/>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六、债务发行费用支出</w:t>
            </w:r>
          </w:p>
        </w:tc>
        <w:tc>
          <w:tcPr>
            <w:tcW w:w="19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8ADA48">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 xml:space="preserve">207 </w:t>
            </w:r>
          </w:p>
        </w:tc>
        <w:tc>
          <w:tcPr>
            <w:tcW w:w="1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DBB6DC">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-40.9</w:t>
            </w:r>
          </w:p>
        </w:tc>
      </w:tr>
      <w:tr w14:paraId="39CAA31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2" w:hRule="atLeast"/>
        </w:trPr>
        <w:tc>
          <w:tcPr>
            <w:tcW w:w="5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7A34DF">
            <w:pPr>
              <w:keepNext w:val="0"/>
              <w:keepLines w:val="0"/>
              <w:widowControl/>
              <w:suppressLineNumbers w:val="0"/>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   地方政府专项支付发行费用支出</w:t>
            </w:r>
          </w:p>
        </w:tc>
        <w:tc>
          <w:tcPr>
            <w:tcW w:w="19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5EC0CE">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207 </w:t>
            </w:r>
          </w:p>
        </w:tc>
        <w:tc>
          <w:tcPr>
            <w:tcW w:w="1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0E174A">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-40.9</w:t>
            </w:r>
          </w:p>
        </w:tc>
      </w:tr>
      <w:tr w14:paraId="3C4EC6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2" w:hRule="atLeast"/>
        </w:trPr>
        <w:tc>
          <w:tcPr>
            <w:tcW w:w="5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47C876">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合计</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350367">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 xml:space="preserve">254687 </w:t>
            </w:r>
          </w:p>
        </w:tc>
        <w:tc>
          <w:tcPr>
            <w:tcW w:w="1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383C67">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2.3</w:t>
            </w:r>
          </w:p>
        </w:tc>
      </w:tr>
    </w:tbl>
    <w:p w14:paraId="7F76AECE">
      <w:pPr>
        <w:rPr>
          <w:rFonts w:hint="eastAsia"/>
          <w:color w:val="000000" w:themeColor="text1"/>
          <w:lang w:eastAsia="zh-CN"/>
          <w14:textFill>
            <w14:solidFill>
              <w14:schemeClr w14:val="tx1"/>
            </w14:solidFill>
          </w14:textFill>
        </w:rPr>
      </w:pPr>
    </w:p>
    <w:p w14:paraId="4689A14C">
      <w:pPr>
        <w:rPr>
          <w:rFonts w:hint="eastAsia"/>
          <w:color w:val="000000" w:themeColor="text1"/>
          <w:lang w:eastAsia="zh-CN"/>
          <w14:textFill>
            <w14:solidFill>
              <w14:schemeClr w14:val="tx1"/>
            </w14:solidFill>
          </w14:textFill>
        </w:rPr>
      </w:pPr>
      <w:r>
        <w:rPr>
          <w:rFonts w:hint="eastAsia"/>
          <w:color w:val="000000" w:themeColor="text1"/>
          <w:lang w:eastAsia="zh-CN"/>
          <w14:textFill>
            <w14:solidFill>
              <w14:schemeClr w14:val="tx1"/>
            </w14:solidFill>
          </w14:textFill>
        </w:rPr>
        <w:br w:type="page"/>
      </w:r>
    </w:p>
    <w:tbl>
      <w:tblPr>
        <w:tblStyle w:val="10"/>
        <w:tblW w:w="900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4777"/>
        <w:gridCol w:w="2034"/>
        <w:gridCol w:w="2189"/>
      </w:tblGrid>
      <w:tr w14:paraId="1997CE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777" w:type="dxa"/>
            <w:tcBorders>
              <w:top w:val="nil"/>
              <w:left w:val="nil"/>
              <w:bottom w:val="nil"/>
              <w:right w:val="nil"/>
            </w:tcBorders>
            <w:shd w:val="clear" w:color="auto" w:fill="auto"/>
            <w:noWrap/>
            <w:vAlign w:val="center"/>
          </w:tcPr>
          <w:p w14:paraId="6C856F97">
            <w:pPr>
              <w:keepNext w:val="0"/>
              <w:keepLines w:val="0"/>
              <w:widowControl/>
              <w:suppressLineNumbers w:val="0"/>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表13</w:t>
            </w:r>
          </w:p>
        </w:tc>
        <w:tc>
          <w:tcPr>
            <w:tcW w:w="2034" w:type="dxa"/>
            <w:tcBorders>
              <w:top w:val="nil"/>
              <w:left w:val="nil"/>
              <w:bottom w:val="nil"/>
              <w:right w:val="nil"/>
            </w:tcBorders>
            <w:shd w:val="clear" w:color="auto" w:fill="auto"/>
            <w:noWrap/>
            <w:vAlign w:val="center"/>
          </w:tcPr>
          <w:p w14:paraId="35634CCD">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c>
          <w:tcPr>
            <w:tcW w:w="2189" w:type="dxa"/>
            <w:tcBorders>
              <w:top w:val="nil"/>
              <w:left w:val="nil"/>
              <w:bottom w:val="nil"/>
              <w:right w:val="nil"/>
            </w:tcBorders>
            <w:shd w:val="clear" w:color="auto" w:fill="auto"/>
            <w:noWrap/>
            <w:vAlign w:val="center"/>
          </w:tcPr>
          <w:p w14:paraId="5DE2F6D3">
            <w:pPr>
              <w:rPr>
                <w:rFonts w:hint="eastAsia" w:ascii="宋体" w:hAnsi="宋体" w:eastAsia="宋体" w:cs="宋体"/>
                <w:i w:val="0"/>
                <w:iCs w:val="0"/>
                <w:color w:val="000000" w:themeColor="text1"/>
                <w:sz w:val="24"/>
                <w:szCs w:val="24"/>
                <w:u w:val="none"/>
                <w14:textFill>
                  <w14:solidFill>
                    <w14:schemeClr w14:val="tx1"/>
                  </w14:solidFill>
                </w14:textFill>
              </w:rPr>
            </w:pPr>
          </w:p>
        </w:tc>
      </w:tr>
      <w:tr w14:paraId="57A4BF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9000" w:type="dxa"/>
            <w:gridSpan w:val="3"/>
            <w:tcBorders>
              <w:top w:val="nil"/>
              <w:left w:val="nil"/>
              <w:bottom w:val="nil"/>
              <w:right w:val="nil"/>
            </w:tcBorders>
            <w:shd w:val="clear" w:color="auto" w:fill="auto"/>
            <w:noWrap/>
            <w:vAlign w:val="center"/>
          </w:tcPr>
          <w:p w14:paraId="7613D3D7">
            <w:pPr>
              <w:keepNext w:val="0"/>
              <w:keepLines w:val="0"/>
              <w:widowControl/>
              <w:suppressLineNumbers w:val="0"/>
              <w:jc w:val="center"/>
              <w:textAlignment w:val="center"/>
              <w:rPr>
                <w:rFonts w:hint="eastAsia" w:ascii="宋体" w:hAnsi="宋体" w:eastAsia="宋体" w:cs="宋体"/>
                <w:b/>
                <w:bCs/>
                <w:i w:val="0"/>
                <w:iCs w:val="0"/>
                <w:color w:val="000000" w:themeColor="text1"/>
                <w:kern w:val="0"/>
                <w:sz w:val="40"/>
                <w:szCs w:val="40"/>
                <w:u w:val="none"/>
                <w:lang w:val="en-US" w:eastAsia="zh-CN" w:bidi="ar"/>
                <w14:textFill>
                  <w14:solidFill>
                    <w14:schemeClr w14:val="tx1"/>
                  </w14:solidFill>
                </w14:textFill>
              </w:rPr>
            </w:pPr>
            <w:r>
              <w:rPr>
                <w:rFonts w:hint="eastAsia" w:ascii="宋体" w:hAnsi="宋体" w:eastAsia="宋体" w:cs="宋体"/>
                <w:b/>
                <w:bCs/>
                <w:i w:val="0"/>
                <w:iCs w:val="0"/>
                <w:color w:val="000000" w:themeColor="text1"/>
                <w:kern w:val="0"/>
                <w:sz w:val="40"/>
                <w:szCs w:val="40"/>
                <w:u w:val="none"/>
                <w:lang w:val="en-US" w:eastAsia="zh-CN" w:bidi="ar"/>
                <w14:textFill>
                  <w14:solidFill>
                    <w14:schemeClr w14:val="tx1"/>
                  </w14:solidFill>
                </w14:textFill>
              </w:rPr>
              <w:t>2025年区级社会保险基金收入预算草案</w:t>
            </w:r>
          </w:p>
        </w:tc>
      </w:tr>
      <w:tr w14:paraId="0E9AFC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777" w:type="dxa"/>
            <w:tcBorders>
              <w:top w:val="nil"/>
              <w:left w:val="nil"/>
              <w:bottom w:val="nil"/>
              <w:right w:val="nil"/>
            </w:tcBorders>
            <w:shd w:val="clear" w:color="auto" w:fill="auto"/>
            <w:noWrap/>
            <w:vAlign w:val="center"/>
          </w:tcPr>
          <w:p w14:paraId="76E90354">
            <w:pPr>
              <w:rPr>
                <w:rFonts w:hint="eastAsia" w:ascii="宋体" w:hAnsi="宋体" w:eastAsia="宋体" w:cs="宋体"/>
                <w:i w:val="0"/>
                <w:iCs w:val="0"/>
                <w:color w:val="000000" w:themeColor="text1"/>
                <w:sz w:val="24"/>
                <w:szCs w:val="24"/>
                <w:u w:val="none"/>
                <w14:textFill>
                  <w14:solidFill>
                    <w14:schemeClr w14:val="tx1"/>
                  </w14:solidFill>
                </w14:textFill>
              </w:rPr>
            </w:pPr>
          </w:p>
        </w:tc>
        <w:tc>
          <w:tcPr>
            <w:tcW w:w="2034" w:type="dxa"/>
            <w:tcBorders>
              <w:top w:val="nil"/>
              <w:left w:val="nil"/>
              <w:bottom w:val="nil"/>
              <w:right w:val="nil"/>
            </w:tcBorders>
            <w:shd w:val="clear" w:color="auto" w:fill="auto"/>
            <w:noWrap/>
            <w:vAlign w:val="center"/>
          </w:tcPr>
          <w:p w14:paraId="67341B2C">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c>
          <w:tcPr>
            <w:tcW w:w="2189" w:type="dxa"/>
            <w:tcBorders>
              <w:top w:val="nil"/>
              <w:left w:val="nil"/>
              <w:bottom w:val="nil"/>
              <w:right w:val="nil"/>
            </w:tcBorders>
            <w:shd w:val="clear" w:color="auto" w:fill="auto"/>
            <w:noWrap/>
            <w:vAlign w:val="center"/>
          </w:tcPr>
          <w:p w14:paraId="369D26A2">
            <w:pPr>
              <w:keepNext w:val="0"/>
              <w:keepLines w:val="0"/>
              <w:widowControl/>
              <w:suppressLineNumbers w:val="0"/>
              <w:jc w:val="righ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单位：万元</w:t>
            </w:r>
          </w:p>
        </w:tc>
      </w:tr>
      <w:tr w14:paraId="61D869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atLeast"/>
        </w:trPr>
        <w:tc>
          <w:tcPr>
            <w:tcW w:w="47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11A6D1">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科目名称</w:t>
            </w:r>
          </w:p>
        </w:tc>
        <w:tc>
          <w:tcPr>
            <w:tcW w:w="20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947FFE">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2025年预算数</w:t>
            </w:r>
          </w:p>
        </w:tc>
        <w:tc>
          <w:tcPr>
            <w:tcW w:w="21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C3145F">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比上年增长(%)</w:t>
            </w:r>
          </w:p>
        </w:tc>
      </w:tr>
      <w:tr w14:paraId="73BFB5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atLeast"/>
        </w:trPr>
        <w:tc>
          <w:tcPr>
            <w:tcW w:w="47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A45A55">
            <w:pPr>
              <w:keepNext w:val="0"/>
              <w:keepLines w:val="0"/>
              <w:widowControl/>
              <w:suppressLineNumbers w:val="0"/>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 一、 城乡居民基本养老保险基金收入</w:t>
            </w:r>
          </w:p>
        </w:tc>
        <w:tc>
          <w:tcPr>
            <w:tcW w:w="20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FD76C3">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51870</w:t>
            </w:r>
          </w:p>
        </w:tc>
        <w:tc>
          <w:tcPr>
            <w:tcW w:w="21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CE7820">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8</w:t>
            </w:r>
          </w:p>
        </w:tc>
      </w:tr>
      <w:tr w14:paraId="4F35CD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atLeast"/>
        </w:trPr>
        <w:tc>
          <w:tcPr>
            <w:tcW w:w="47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629FB3">
            <w:pPr>
              <w:keepNext w:val="0"/>
              <w:keepLines w:val="0"/>
              <w:widowControl/>
              <w:suppressLineNumbers w:val="0"/>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 二、 机关事业单位基本养老保险收入</w:t>
            </w:r>
          </w:p>
        </w:tc>
        <w:tc>
          <w:tcPr>
            <w:tcW w:w="20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D70D46">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49624</w:t>
            </w:r>
          </w:p>
        </w:tc>
        <w:tc>
          <w:tcPr>
            <w:tcW w:w="21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636BFE">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11.3</w:t>
            </w:r>
          </w:p>
        </w:tc>
      </w:tr>
      <w:tr w14:paraId="777357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atLeast"/>
        </w:trPr>
        <w:tc>
          <w:tcPr>
            <w:tcW w:w="47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D5CED9">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合计</w:t>
            </w:r>
          </w:p>
        </w:tc>
        <w:tc>
          <w:tcPr>
            <w:tcW w:w="20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B58255">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 xml:space="preserve">101494 </w:t>
            </w:r>
          </w:p>
        </w:tc>
        <w:tc>
          <w:tcPr>
            <w:tcW w:w="21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D4399C">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9.6</w:t>
            </w:r>
          </w:p>
        </w:tc>
      </w:tr>
    </w:tbl>
    <w:p w14:paraId="2C58F01C">
      <w:pPr>
        <w:rPr>
          <w:rFonts w:hint="eastAsia"/>
          <w:color w:val="000000" w:themeColor="text1"/>
          <w:lang w:eastAsia="zh-CN"/>
          <w14:textFill>
            <w14:solidFill>
              <w14:schemeClr w14:val="tx1"/>
            </w14:solidFill>
          </w14:textFill>
        </w:rPr>
      </w:pPr>
    </w:p>
    <w:p w14:paraId="3541E12E">
      <w:pPr>
        <w:rPr>
          <w:rFonts w:hint="eastAsia"/>
          <w:color w:val="000000" w:themeColor="text1"/>
          <w:lang w:eastAsia="zh-CN"/>
          <w14:textFill>
            <w14:solidFill>
              <w14:schemeClr w14:val="tx1"/>
            </w14:solidFill>
          </w14:textFill>
        </w:rPr>
      </w:pPr>
      <w:r>
        <w:rPr>
          <w:rFonts w:hint="eastAsia"/>
          <w:color w:val="000000" w:themeColor="text1"/>
          <w:lang w:eastAsia="zh-CN"/>
          <w14:textFill>
            <w14:solidFill>
              <w14:schemeClr w14:val="tx1"/>
            </w14:solidFill>
          </w14:textFill>
        </w:rPr>
        <w:br w:type="page"/>
      </w:r>
    </w:p>
    <w:tbl>
      <w:tblPr>
        <w:tblStyle w:val="10"/>
        <w:tblW w:w="9002"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5041"/>
        <w:gridCol w:w="2051"/>
        <w:gridCol w:w="1910"/>
      </w:tblGrid>
      <w:tr w14:paraId="06A7BB1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5041" w:type="dxa"/>
            <w:tcBorders>
              <w:top w:val="nil"/>
              <w:left w:val="nil"/>
              <w:bottom w:val="nil"/>
              <w:right w:val="nil"/>
            </w:tcBorders>
            <w:shd w:val="clear" w:color="auto" w:fill="auto"/>
            <w:noWrap/>
            <w:vAlign w:val="center"/>
          </w:tcPr>
          <w:p w14:paraId="34F6912F">
            <w:pPr>
              <w:keepNext w:val="0"/>
              <w:keepLines w:val="0"/>
              <w:widowControl/>
              <w:suppressLineNumbers w:val="0"/>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表14</w:t>
            </w:r>
          </w:p>
        </w:tc>
        <w:tc>
          <w:tcPr>
            <w:tcW w:w="2051" w:type="dxa"/>
            <w:tcBorders>
              <w:top w:val="nil"/>
              <w:left w:val="nil"/>
              <w:bottom w:val="nil"/>
              <w:right w:val="nil"/>
            </w:tcBorders>
            <w:shd w:val="clear" w:color="auto" w:fill="auto"/>
            <w:noWrap/>
            <w:vAlign w:val="center"/>
          </w:tcPr>
          <w:p w14:paraId="236DBB9D">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c>
          <w:tcPr>
            <w:tcW w:w="1910" w:type="dxa"/>
            <w:tcBorders>
              <w:top w:val="nil"/>
              <w:left w:val="nil"/>
              <w:bottom w:val="nil"/>
              <w:right w:val="nil"/>
            </w:tcBorders>
            <w:shd w:val="clear" w:color="auto" w:fill="auto"/>
            <w:noWrap/>
            <w:vAlign w:val="center"/>
          </w:tcPr>
          <w:p w14:paraId="07F03E01">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r>
      <w:tr w14:paraId="6C5DBB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002" w:type="dxa"/>
            <w:gridSpan w:val="3"/>
            <w:tcBorders>
              <w:top w:val="nil"/>
              <w:left w:val="nil"/>
              <w:bottom w:val="nil"/>
              <w:right w:val="nil"/>
            </w:tcBorders>
            <w:shd w:val="clear" w:color="auto" w:fill="auto"/>
            <w:vAlign w:val="center"/>
          </w:tcPr>
          <w:p w14:paraId="1C347890">
            <w:pPr>
              <w:keepNext w:val="0"/>
              <w:keepLines w:val="0"/>
              <w:widowControl/>
              <w:suppressLineNumbers w:val="0"/>
              <w:jc w:val="center"/>
              <w:textAlignment w:val="center"/>
              <w:rPr>
                <w:rFonts w:hint="eastAsia" w:ascii="宋体" w:hAnsi="宋体" w:eastAsia="宋体" w:cs="宋体"/>
                <w:b/>
                <w:bCs/>
                <w:i w:val="0"/>
                <w:iCs w:val="0"/>
                <w:color w:val="000000" w:themeColor="text1"/>
                <w:kern w:val="0"/>
                <w:sz w:val="40"/>
                <w:szCs w:val="40"/>
                <w:u w:val="none"/>
                <w:lang w:val="en-US" w:eastAsia="zh-CN" w:bidi="ar"/>
                <w14:textFill>
                  <w14:solidFill>
                    <w14:schemeClr w14:val="tx1"/>
                  </w14:solidFill>
                </w14:textFill>
              </w:rPr>
            </w:pPr>
            <w:r>
              <w:rPr>
                <w:rFonts w:hint="eastAsia" w:ascii="宋体" w:hAnsi="宋体" w:eastAsia="宋体" w:cs="宋体"/>
                <w:b/>
                <w:bCs/>
                <w:i w:val="0"/>
                <w:iCs w:val="0"/>
                <w:color w:val="000000" w:themeColor="text1"/>
                <w:kern w:val="0"/>
                <w:sz w:val="40"/>
                <w:szCs w:val="40"/>
                <w:u w:val="none"/>
                <w:lang w:val="en-US" w:eastAsia="zh-CN" w:bidi="ar"/>
                <w14:textFill>
                  <w14:solidFill>
                    <w14:schemeClr w14:val="tx1"/>
                  </w14:solidFill>
                </w14:textFill>
              </w:rPr>
              <w:t>2025年区级社会保险基金支出预算草案</w:t>
            </w:r>
          </w:p>
        </w:tc>
      </w:tr>
      <w:tr w14:paraId="14D01E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0" w:hRule="atLeast"/>
        </w:trPr>
        <w:tc>
          <w:tcPr>
            <w:tcW w:w="5041" w:type="dxa"/>
            <w:tcBorders>
              <w:top w:val="nil"/>
              <w:left w:val="nil"/>
              <w:bottom w:val="nil"/>
              <w:right w:val="nil"/>
            </w:tcBorders>
            <w:shd w:val="clear" w:color="auto" w:fill="auto"/>
            <w:noWrap/>
            <w:vAlign w:val="center"/>
          </w:tcPr>
          <w:p w14:paraId="1BE77891">
            <w:pPr>
              <w:jc w:val="left"/>
              <w:rPr>
                <w:rFonts w:hint="eastAsia" w:ascii="宋体" w:hAnsi="宋体" w:eastAsia="宋体" w:cs="宋体"/>
                <w:i w:val="0"/>
                <w:iCs w:val="0"/>
                <w:color w:val="000000" w:themeColor="text1"/>
                <w:sz w:val="24"/>
                <w:szCs w:val="24"/>
                <w:u w:val="none"/>
                <w14:textFill>
                  <w14:solidFill>
                    <w14:schemeClr w14:val="tx1"/>
                  </w14:solidFill>
                </w14:textFill>
              </w:rPr>
            </w:pPr>
          </w:p>
        </w:tc>
        <w:tc>
          <w:tcPr>
            <w:tcW w:w="2051" w:type="dxa"/>
            <w:tcBorders>
              <w:top w:val="nil"/>
              <w:left w:val="nil"/>
              <w:bottom w:val="nil"/>
              <w:right w:val="nil"/>
            </w:tcBorders>
            <w:shd w:val="clear" w:color="auto" w:fill="auto"/>
            <w:noWrap/>
            <w:vAlign w:val="center"/>
          </w:tcPr>
          <w:p w14:paraId="616C88C0">
            <w:pPr>
              <w:rPr>
                <w:rFonts w:hint="eastAsia" w:ascii="宋体" w:hAnsi="宋体" w:eastAsia="宋体" w:cs="宋体"/>
                <w:i w:val="0"/>
                <w:iCs w:val="0"/>
                <w:color w:val="000000" w:themeColor="text1"/>
                <w:sz w:val="24"/>
                <w:szCs w:val="24"/>
                <w:u w:val="none"/>
                <w14:textFill>
                  <w14:solidFill>
                    <w14:schemeClr w14:val="tx1"/>
                  </w14:solidFill>
                </w14:textFill>
              </w:rPr>
            </w:pPr>
          </w:p>
        </w:tc>
        <w:tc>
          <w:tcPr>
            <w:tcW w:w="1910" w:type="dxa"/>
            <w:tcBorders>
              <w:top w:val="nil"/>
              <w:left w:val="nil"/>
              <w:bottom w:val="nil"/>
              <w:right w:val="nil"/>
            </w:tcBorders>
            <w:shd w:val="clear" w:color="auto" w:fill="auto"/>
            <w:noWrap/>
            <w:vAlign w:val="center"/>
          </w:tcPr>
          <w:p w14:paraId="3D8BAEAF">
            <w:pPr>
              <w:keepNext w:val="0"/>
              <w:keepLines w:val="0"/>
              <w:widowControl/>
              <w:suppressLineNumbers w:val="0"/>
              <w:jc w:val="righ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单位：万元</w:t>
            </w:r>
          </w:p>
        </w:tc>
      </w:tr>
      <w:tr w14:paraId="0D188F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atLeast"/>
        </w:trPr>
        <w:tc>
          <w:tcPr>
            <w:tcW w:w="50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7301E7">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科目名称</w:t>
            </w:r>
          </w:p>
        </w:tc>
        <w:tc>
          <w:tcPr>
            <w:tcW w:w="20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DD119A">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2025年预算数</w:t>
            </w:r>
          </w:p>
        </w:tc>
        <w:tc>
          <w:tcPr>
            <w:tcW w:w="19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3BE646">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比上年增长(%)</w:t>
            </w:r>
          </w:p>
        </w:tc>
      </w:tr>
      <w:tr w14:paraId="4423EC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atLeast"/>
        </w:trPr>
        <w:tc>
          <w:tcPr>
            <w:tcW w:w="50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9AB760">
            <w:pPr>
              <w:keepNext w:val="0"/>
              <w:keepLines w:val="0"/>
              <w:widowControl/>
              <w:suppressLineNumbers w:val="0"/>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一、城乡居民基本养老保险基金支出</w:t>
            </w:r>
          </w:p>
        </w:tc>
        <w:tc>
          <w:tcPr>
            <w:tcW w:w="20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C383E9">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41662</w:t>
            </w:r>
          </w:p>
        </w:tc>
        <w:tc>
          <w:tcPr>
            <w:tcW w:w="19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3D80B2">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10.8</w:t>
            </w:r>
          </w:p>
        </w:tc>
      </w:tr>
      <w:tr w14:paraId="446D16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atLeast"/>
        </w:trPr>
        <w:tc>
          <w:tcPr>
            <w:tcW w:w="50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92EDC5">
            <w:pPr>
              <w:keepNext w:val="0"/>
              <w:keepLines w:val="0"/>
              <w:widowControl/>
              <w:suppressLineNumbers w:val="0"/>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二、机关事业单位基本养老保险基金</w:t>
            </w:r>
          </w:p>
        </w:tc>
        <w:tc>
          <w:tcPr>
            <w:tcW w:w="20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3DF9BB">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51275</w:t>
            </w:r>
          </w:p>
        </w:tc>
        <w:tc>
          <w:tcPr>
            <w:tcW w:w="19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E46D9D">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2.1</w:t>
            </w:r>
          </w:p>
        </w:tc>
      </w:tr>
      <w:tr w14:paraId="37EC0E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atLeast"/>
        </w:trPr>
        <w:tc>
          <w:tcPr>
            <w:tcW w:w="50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FD870C">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合计</w:t>
            </w:r>
          </w:p>
        </w:tc>
        <w:tc>
          <w:tcPr>
            <w:tcW w:w="20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1BB5CC">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 xml:space="preserve">92937 </w:t>
            </w:r>
          </w:p>
        </w:tc>
        <w:tc>
          <w:tcPr>
            <w:tcW w:w="19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67D930">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5.8</w:t>
            </w:r>
          </w:p>
        </w:tc>
      </w:tr>
    </w:tbl>
    <w:p w14:paraId="6FA09E80">
      <w:pPr>
        <w:rPr>
          <w:rFonts w:hint="eastAsia"/>
          <w:color w:val="000000" w:themeColor="text1"/>
          <w:lang w:eastAsia="zh-CN"/>
          <w14:textFill>
            <w14:solidFill>
              <w14:schemeClr w14:val="tx1"/>
            </w14:solidFill>
          </w14:textFill>
        </w:rPr>
      </w:pPr>
    </w:p>
    <w:p w14:paraId="40B53B0A">
      <w:pPr>
        <w:rPr>
          <w:rFonts w:hint="eastAsia"/>
          <w:color w:val="000000" w:themeColor="text1"/>
          <w:lang w:eastAsia="zh-CN"/>
          <w14:textFill>
            <w14:solidFill>
              <w14:schemeClr w14:val="tx1"/>
            </w14:solidFill>
          </w14:textFill>
        </w:rPr>
      </w:pPr>
    </w:p>
    <w:p w14:paraId="0A31FD08">
      <w:pPr>
        <w:rPr>
          <w:rFonts w:hint="eastAsia"/>
          <w:color w:val="000000" w:themeColor="text1"/>
          <w:lang w:eastAsia="zh-CN"/>
          <w14:textFill>
            <w14:solidFill>
              <w14:schemeClr w14:val="tx1"/>
            </w14:solidFill>
          </w14:textFill>
        </w:rPr>
      </w:pPr>
    </w:p>
    <w:p w14:paraId="712F43E2">
      <w:pPr>
        <w:rPr>
          <w:rFonts w:hint="eastAsia"/>
          <w:color w:val="000000" w:themeColor="text1"/>
          <w:lang w:eastAsia="zh-CN"/>
          <w14:textFill>
            <w14:solidFill>
              <w14:schemeClr w14:val="tx1"/>
            </w14:solidFill>
          </w14:textFill>
        </w:rPr>
      </w:pPr>
    </w:p>
    <w:p w14:paraId="151084E4">
      <w:pPr>
        <w:rPr>
          <w:rFonts w:hint="eastAsia"/>
          <w:color w:val="000000" w:themeColor="text1"/>
          <w:lang w:eastAsia="zh-CN"/>
          <w14:textFill>
            <w14:solidFill>
              <w14:schemeClr w14:val="tx1"/>
            </w14:solidFill>
          </w14:textFill>
        </w:rPr>
      </w:pPr>
    </w:p>
    <w:p w14:paraId="2CBDEA36">
      <w:pPr>
        <w:rPr>
          <w:rFonts w:hint="eastAsia"/>
          <w:color w:val="000000" w:themeColor="text1"/>
          <w:lang w:eastAsia="zh-CN"/>
          <w14:textFill>
            <w14:solidFill>
              <w14:schemeClr w14:val="tx1"/>
            </w14:solidFill>
          </w14:textFill>
        </w:rPr>
      </w:pPr>
    </w:p>
    <w:p w14:paraId="581C8042">
      <w:pPr>
        <w:rPr>
          <w:rFonts w:hint="eastAsia"/>
          <w:color w:val="000000" w:themeColor="text1"/>
          <w:lang w:eastAsia="zh-CN"/>
          <w14:textFill>
            <w14:solidFill>
              <w14:schemeClr w14:val="tx1"/>
            </w14:solidFill>
          </w14:textFill>
        </w:rPr>
      </w:pPr>
    </w:p>
    <w:p w14:paraId="12EF3BA2">
      <w:pPr>
        <w:rPr>
          <w:rFonts w:hint="eastAsia"/>
          <w:color w:val="000000" w:themeColor="text1"/>
          <w:lang w:eastAsia="zh-CN"/>
          <w14:textFill>
            <w14:solidFill>
              <w14:schemeClr w14:val="tx1"/>
            </w14:solidFill>
          </w14:textFill>
        </w:rPr>
      </w:pPr>
    </w:p>
    <w:p w14:paraId="23A9A3BF">
      <w:pPr>
        <w:rPr>
          <w:rFonts w:hint="eastAsia"/>
          <w:color w:val="000000" w:themeColor="text1"/>
          <w:lang w:eastAsia="zh-CN"/>
          <w14:textFill>
            <w14:solidFill>
              <w14:schemeClr w14:val="tx1"/>
            </w14:solidFill>
          </w14:textFill>
        </w:rPr>
      </w:pPr>
    </w:p>
    <w:p w14:paraId="5D612EB9">
      <w:pPr>
        <w:rPr>
          <w:rFonts w:hint="eastAsia"/>
          <w:color w:val="000000" w:themeColor="text1"/>
          <w:lang w:eastAsia="zh-CN"/>
          <w14:textFill>
            <w14:solidFill>
              <w14:schemeClr w14:val="tx1"/>
            </w14:solidFill>
          </w14:textFill>
        </w:rPr>
      </w:pPr>
    </w:p>
    <w:p w14:paraId="64ED6CB0">
      <w:pPr>
        <w:rPr>
          <w:rFonts w:hint="eastAsia"/>
          <w:color w:val="000000" w:themeColor="text1"/>
          <w:lang w:eastAsia="zh-CN"/>
          <w14:textFill>
            <w14:solidFill>
              <w14:schemeClr w14:val="tx1"/>
            </w14:solidFill>
          </w14:textFill>
        </w:rPr>
      </w:pPr>
    </w:p>
    <w:p w14:paraId="3737C3DC">
      <w:pPr>
        <w:rPr>
          <w:rFonts w:hint="eastAsia"/>
          <w:color w:val="000000" w:themeColor="text1"/>
          <w:lang w:eastAsia="zh-CN"/>
          <w14:textFill>
            <w14:solidFill>
              <w14:schemeClr w14:val="tx1"/>
            </w14:solidFill>
          </w14:textFill>
        </w:rPr>
      </w:pPr>
    </w:p>
    <w:p w14:paraId="77258E52">
      <w:pPr>
        <w:rPr>
          <w:rFonts w:hint="eastAsia"/>
          <w:color w:val="000000" w:themeColor="text1"/>
          <w:lang w:eastAsia="zh-CN"/>
          <w14:textFill>
            <w14:solidFill>
              <w14:schemeClr w14:val="tx1"/>
            </w14:solidFill>
          </w14:textFill>
        </w:rPr>
      </w:pPr>
    </w:p>
    <w:p w14:paraId="67F4FAE9">
      <w:pPr>
        <w:rPr>
          <w:rFonts w:hint="eastAsia"/>
          <w:color w:val="000000" w:themeColor="text1"/>
          <w:lang w:eastAsia="zh-CN"/>
          <w14:textFill>
            <w14:solidFill>
              <w14:schemeClr w14:val="tx1"/>
            </w14:solidFill>
          </w14:textFill>
        </w:rPr>
      </w:pPr>
    </w:p>
    <w:p w14:paraId="00E62782">
      <w:pPr>
        <w:rPr>
          <w:rFonts w:hint="eastAsia"/>
          <w:color w:val="000000" w:themeColor="text1"/>
          <w:lang w:eastAsia="zh-CN"/>
          <w14:textFill>
            <w14:solidFill>
              <w14:schemeClr w14:val="tx1"/>
            </w14:solidFill>
          </w14:textFill>
        </w:rPr>
      </w:pPr>
    </w:p>
    <w:p w14:paraId="5D19E8DB">
      <w:pPr>
        <w:rPr>
          <w:rFonts w:hint="eastAsia"/>
          <w:color w:val="000000" w:themeColor="text1"/>
          <w:lang w:eastAsia="zh-CN"/>
          <w14:textFill>
            <w14:solidFill>
              <w14:schemeClr w14:val="tx1"/>
            </w14:solidFill>
          </w14:textFill>
        </w:rPr>
      </w:pPr>
    </w:p>
    <w:p w14:paraId="200A8CE2">
      <w:pPr>
        <w:rPr>
          <w:rFonts w:hint="eastAsia"/>
          <w:color w:val="000000" w:themeColor="text1"/>
          <w:lang w:eastAsia="zh-CN"/>
          <w14:textFill>
            <w14:solidFill>
              <w14:schemeClr w14:val="tx1"/>
            </w14:solidFill>
          </w14:textFill>
        </w:rPr>
      </w:pPr>
    </w:p>
    <w:tbl>
      <w:tblPr>
        <w:tblStyle w:val="10"/>
        <w:tblW w:w="900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4853"/>
        <w:gridCol w:w="2122"/>
        <w:gridCol w:w="2025"/>
      </w:tblGrid>
      <w:tr w14:paraId="629C43E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4853" w:type="dxa"/>
            <w:tcBorders>
              <w:top w:val="nil"/>
              <w:left w:val="nil"/>
              <w:bottom w:val="nil"/>
              <w:right w:val="nil"/>
            </w:tcBorders>
            <w:shd w:val="clear" w:color="auto" w:fill="auto"/>
            <w:noWrap/>
            <w:vAlign w:val="bottom"/>
          </w:tcPr>
          <w:p w14:paraId="4621D460">
            <w:pPr>
              <w:keepNext w:val="0"/>
              <w:keepLines w:val="0"/>
              <w:widowControl/>
              <w:suppressLineNumbers w:val="0"/>
              <w:jc w:val="left"/>
              <w:textAlignment w:val="bottom"/>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表15</w:t>
            </w:r>
          </w:p>
        </w:tc>
        <w:tc>
          <w:tcPr>
            <w:tcW w:w="2122" w:type="dxa"/>
            <w:tcBorders>
              <w:top w:val="nil"/>
              <w:left w:val="nil"/>
              <w:bottom w:val="nil"/>
              <w:right w:val="nil"/>
            </w:tcBorders>
            <w:shd w:val="clear" w:color="auto" w:fill="auto"/>
            <w:noWrap/>
            <w:vAlign w:val="bottom"/>
          </w:tcPr>
          <w:p w14:paraId="3F8630F7">
            <w:pPr>
              <w:rPr>
                <w:rFonts w:hint="eastAsia" w:ascii="宋体" w:hAnsi="宋体" w:eastAsia="宋体" w:cs="宋体"/>
                <w:i w:val="0"/>
                <w:iCs w:val="0"/>
                <w:color w:val="000000" w:themeColor="text1"/>
                <w:sz w:val="24"/>
                <w:szCs w:val="24"/>
                <w:u w:val="none"/>
                <w14:textFill>
                  <w14:solidFill>
                    <w14:schemeClr w14:val="tx1"/>
                  </w14:solidFill>
                </w14:textFill>
              </w:rPr>
            </w:pPr>
          </w:p>
        </w:tc>
        <w:tc>
          <w:tcPr>
            <w:tcW w:w="2025" w:type="dxa"/>
            <w:tcBorders>
              <w:top w:val="nil"/>
              <w:left w:val="nil"/>
              <w:bottom w:val="nil"/>
              <w:right w:val="nil"/>
            </w:tcBorders>
            <w:shd w:val="clear" w:color="auto" w:fill="auto"/>
            <w:noWrap/>
            <w:vAlign w:val="bottom"/>
          </w:tcPr>
          <w:p w14:paraId="4A88ED19">
            <w:pPr>
              <w:rPr>
                <w:rFonts w:hint="eastAsia" w:ascii="宋体" w:hAnsi="宋体" w:eastAsia="宋体" w:cs="宋体"/>
                <w:i w:val="0"/>
                <w:iCs w:val="0"/>
                <w:color w:val="000000" w:themeColor="text1"/>
                <w:sz w:val="24"/>
                <w:szCs w:val="24"/>
                <w:u w:val="none"/>
                <w14:textFill>
                  <w14:solidFill>
                    <w14:schemeClr w14:val="tx1"/>
                  </w14:solidFill>
                </w14:textFill>
              </w:rPr>
            </w:pPr>
          </w:p>
        </w:tc>
      </w:tr>
      <w:tr w14:paraId="246087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000" w:type="dxa"/>
            <w:gridSpan w:val="3"/>
            <w:tcBorders>
              <w:top w:val="nil"/>
              <w:left w:val="nil"/>
              <w:bottom w:val="nil"/>
              <w:right w:val="nil"/>
            </w:tcBorders>
            <w:shd w:val="clear" w:color="auto" w:fill="auto"/>
            <w:vAlign w:val="center"/>
          </w:tcPr>
          <w:p w14:paraId="0F26AA89">
            <w:pPr>
              <w:keepNext w:val="0"/>
              <w:keepLines w:val="0"/>
              <w:widowControl/>
              <w:suppressLineNumbers w:val="0"/>
              <w:jc w:val="center"/>
              <w:textAlignment w:val="center"/>
              <w:rPr>
                <w:rFonts w:hint="eastAsia" w:ascii="宋体" w:hAnsi="宋体" w:eastAsia="宋体" w:cs="宋体"/>
                <w:b/>
                <w:bCs/>
                <w:i w:val="0"/>
                <w:iCs w:val="0"/>
                <w:color w:val="000000" w:themeColor="text1"/>
                <w:kern w:val="0"/>
                <w:sz w:val="40"/>
                <w:szCs w:val="40"/>
                <w:u w:val="none"/>
                <w:lang w:val="en-US" w:eastAsia="zh-CN" w:bidi="ar"/>
                <w14:textFill>
                  <w14:solidFill>
                    <w14:schemeClr w14:val="tx1"/>
                  </w14:solidFill>
                </w14:textFill>
              </w:rPr>
            </w:pPr>
            <w:r>
              <w:rPr>
                <w:rFonts w:hint="eastAsia" w:ascii="宋体" w:hAnsi="宋体" w:eastAsia="宋体" w:cs="宋体"/>
                <w:b/>
                <w:bCs/>
                <w:i w:val="0"/>
                <w:iCs w:val="0"/>
                <w:color w:val="000000" w:themeColor="text1"/>
                <w:kern w:val="0"/>
                <w:sz w:val="40"/>
                <w:szCs w:val="40"/>
                <w:u w:val="none"/>
                <w:lang w:val="en-US" w:eastAsia="zh-CN" w:bidi="ar"/>
                <w14:textFill>
                  <w14:solidFill>
                    <w14:schemeClr w14:val="tx1"/>
                  </w14:solidFill>
                </w14:textFill>
              </w:rPr>
              <w:t>2025年区级国有资本经营收入预算草案</w:t>
            </w:r>
          </w:p>
        </w:tc>
      </w:tr>
      <w:tr w14:paraId="5CF89D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853" w:type="dxa"/>
            <w:tcBorders>
              <w:top w:val="nil"/>
              <w:left w:val="nil"/>
              <w:bottom w:val="nil"/>
              <w:right w:val="nil"/>
            </w:tcBorders>
            <w:shd w:val="clear" w:color="auto" w:fill="auto"/>
            <w:noWrap/>
            <w:vAlign w:val="center"/>
          </w:tcPr>
          <w:p w14:paraId="501A2F24">
            <w:pPr>
              <w:jc w:val="left"/>
              <w:rPr>
                <w:rFonts w:hint="eastAsia" w:ascii="宋体" w:hAnsi="宋体" w:eastAsia="宋体" w:cs="宋体"/>
                <w:i w:val="0"/>
                <w:iCs w:val="0"/>
                <w:color w:val="000000" w:themeColor="text1"/>
                <w:sz w:val="24"/>
                <w:szCs w:val="24"/>
                <w:u w:val="none"/>
                <w14:textFill>
                  <w14:solidFill>
                    <w14:schemeClr w14:val="tx1"/>
                  </w14:solidFill>
                </w14:textFill>
              </w:rPr>
            </w:pPr>
          </w:p>
        </w:tc>
        <w:tc>
          <w:tcPr>
            <w:tcW w:w="2122" w:type="dxa"/>
            <w:tcBorders>
              <w:top w:val="nil"/>
              <w:left w:val="nil"/>
              <w:bottom w:val="nil"/>
              <w:right w:val="nil"/>
            </w:tcBorders>
            <w:shd w:val="clear" w:color="auto" w:fill="auto"/>
            <w:noWrap/>
            <w:vAlign w:val="center"/>
          </w:tcPr>
          <w:p w14:paraId="608ECB5D">
            <w:pPr>
              <w:jc w:val="left"/>
              <w:rPr>
                <w:rFonts w:hint="eastAsia" w:ascii="宋体" w:hAnsi="宋体" w:eastAsia="宋体" w:cs="宋体"/>
                <w:i w:val="0"/>
                <w:iCs w:val="0"/>
                <w:color w:val="000000" w:themeColor="text1"/>
                <w:sz w:val="24"/>
                <w:szCs w:val="24"/>
                <w:u w:val="none"/>
                <w14:textFill>
                  <w14:solidFill>
                    <w14:schemeClr w14:val="tx1"/>
                  </w14:solidFill>
                </w14:textFill>
              </w:rPr>
            </w:pPr>
          </w:p>
        </w:tc>
        <w:tc>
          <w:tcPr>
            <w:tcW w:w="2025" w:type="dxa"/>
            <w:tcBorders>
              <w:top w:val="nil"/>
              <w:left w:val="nil"/>
              <w:bottom w:val="nil"/>
              <w:right w:val="nil"/>
            </w:tcBorders>
            <w:shd w:val="clear" w:color="auto" w:fill="auto"/>
            <w:noWrap/>
            <w:vAlign w:val="center"/>
          </w:tcPr>
          <w:p w14:paraId="6787300B">
            <w:pPr>
              <w:keepNext w:val="0"/>
              <w:keepLines w:val="0"/>
              <w:widowControl/>
              <w:suppressLineNumbers w:val="0"/>
              <w:jc w:val="righ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单位：万元</w:t>
            </w:r>
          </w:p>
        </w:tc>
      </w:tr>
      <w:tr w14:paraId="4BFB3C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atLeast"/>
        </w:trPr>
        <w:tc>
          <w:tcPr>
            <w:tcW w:w="4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211331">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科目名称</w:t>
            </w:r>
          </w:p>
        </w:tc>
        <w:tc>
          <w:tcPr>
            <w:tcW w:w="21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44E847">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2025年预算数</w:t>
            </w:r>
          </w:p>
        </w:tc>
        <w:tc>
          <w:tcPr>
            <w:tcW w:w="20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CFAC0A">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比上年增长(%)</w:t>
            </w:r>
          </w:p>
        </w:tc>
      </w:tr>
      <w:tr w14:paraId="5352B3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atLeast"/>
        </w:trPr>
        <w:tc>
          <w:tcPr>
            <w:tcW w:w="48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2007B1">
            <w:pPr>
              <w:keepNext w:val="0"/>
              <w:keepLines w:val="0"/>
              <w:widowControl/>
              <w:suppressLineNumbers w:val="0"/>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  1.利润收入</w:t>
            </w:r>
          </w:p>
        </w:tc>
        <w:tc>
          <w:tcPr>
            <w:tcW w:w="21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545565">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c>
          <w:tcPr>
            <w:tcW w:w="20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456AC2">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r>
      <w:tr w14:paraId="7A19CB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atLeast"/>
        </w:trPr>
        <w:tc>
          <w:tcPr>
            <w:tcW w:w="48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C4C483">
            <w:pPr>
              <w:keepNext w:val="0"/>
              <w:keepLines w:val="0"/>
              <w:widowControl/>
              <w:suppressLineNumbers w:val="0"/>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  2.股利、股息收入</w:t>
            </w:r>
          </w:p>
        </w:tc>
        <w:tc>
          <w:tcPr>
            <w:tcW w:w="21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966244">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c>
          <w:tcPr>
            <w:tcW w:w="20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CC0989">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r>
      <w:tr w14:paraId="70C1B6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atLeast"/>
        </w:trPr>
        <w:tc>
          <w:tcPr>
            <w:tcW w:w="48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8CB9E6">
            <w:pPr>
              <w:keepNext w:val="0"/>
              <w:keepLines w:val="0"/>
              <w:widowControl/>
              <w:suppressLineNumbers w:val="0"/>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  3.产权转让收入</w:t>
            </w:r>
          </w:p>
        </w:tc>
        <w:tc>
          <w:tcPr>
            <w:tcW w:w="21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505792">
            <w:pPr>
              <w:jc w:val="center"/>
              <w:rPr>
                <w:rFonts w:hint="eastAsia" w:ascii="宋体" w:hAnsi="宋体" w:eastAsia="宋体" w:cs="宋体"/>
                <w:b/>
                <w:bCs/>
                <w:i w:val="0"/>
                <w:iCs w:val="0"/>
                <w:color w:val="000000" w:themeColor="text1"/>
                <w:sz w:val="24"/>
                <w:szCs w:val="24"/>
                <w:u w:val="none"/>
                <w14:textFill>
                  <w14:solidFill>
                    <w14:schemeClr w14:val="tx1"/>
                  </w14:solidFill>
                </w14:textFill>
              </w:rPr>
            </w:pPr>
          </w:p>
        </w:tc>
        <w:tc>
          <w:tcPr>
            <w:tcW w:w="20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794A2B">
            <w:pPr>
              <w:jc w:val="center"/>
              <w:rPr>
                <w:rFonts w:hint="eastAsia" w:ascii="宋体" w:hAnsi="宋体" w:eastAsia="宋体" w:cs="宋体"/>
                <w:b/>
                <w:bCs/>
                <w:i w:val="0"/>
                <w:iCs w:val="0"/>
                <w:color w:val="000000" w:themeColor="text1"/>
                <w:sz w:val="24"/>
                <w:szCs w:val="24"/>
                <w:u w:val="none"/>
                <w14:textFill>
                  <w14:solidFill>
                    <w14:schemeClr w14:val="tx1"/>
                  </w14:solidFill>
                </w14:textFill>
              </w:rPr>
            </w:pPr>
          </w:p>
        </w:tc>
      </w:tr>
      <w:tr w14:paraId="72133D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atLeast"/>
        </w:trPr>
        <w:tc>
          <w:tcPr>
            <w:tcW w:w="48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DF9B1B">
            <w:pPr>
              <w:keepNext w:val="0"/>
              <w:keepLines w:val="0"/>
              <w:widowControl/>
              <w:suppressLineNumbers w:val="0"/>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  4.清算收入</w:t>
            </w:r>
          </w:p>
        </w:tc>
        <w:tc>
          <w:tcPr>
            <w:tcW w:w="21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820692">
            <w:pPr>
              <w:jc w:val="center"/>
              <w:rPr>
                <w:rFonts w:hint="eastAsia" w:ascii="宋体" w:hAnsi="宋体" w:eastAsia="宋体" w:cs="宋体"/>
                <w:b/>
                <w:bCs/>
                <w:i w:val="0"/>
                <w:iCs w:val="0"/>
                <w:color w:val="000000" w:themeColor="text1"/>
                <w:sz w:val="24"/>
                <w:szCs w:val="24"/>
                <w:u w:val="none"/>
                <w14:textFill>
                  <w14:solidFill>
                    <w14:schemeClr w14:val="tx1"/>
                  </w14:solidFill>
                </w14:textFill>
              </w:rPr>
            </w:pPr>
          </w:p>
        </w:tc>
        <w:tc>
          <w:tcPr>
            <w:tcW w:w="20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8368F8">
            <w:pPr>
              <w:jc w:val="center"/>
              <w:rPr>
                <w:rFonts w:hint="eastAsia" w:ascii="宋体" w:hAnsi="宋体" w:eastAsia="宋体" w:cs="宋体"/>
                <w:b/>
                <w:bCs/>
                <w:i w:val="0"/>
                <w:iCs w:val="0"/>
                <w:color w:val="000000" w:themeColor="text1"/>
                <w:sz w:val="24"/>
                <w:szCs w:val="24"/>
                <w:u w:val="none"/>
                <w14:textFill>
                  <w14:solidFill>
                    <w14:schemeClr w14:val="tx1"/>
                  </w14:solidFill>
                </w14:textFill>
              </w:rPr>
            </w:pPr>
          </w:p>
        </w:tc>
      </w:tr>
      <w:tr w14:paraId="700F25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atLeast"/>
        </w:trPr>
        <w:tc>
          <w:tcPr>
            <w:tcW w:w="4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78622C">
            <w:pPr>
              <w:keepNext w:val="0"/>
              <w:keepLines w:val="0"/>
              <w:widowControl/>
              <w:suppressLineNumbers w:val="0"/>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  5.其他国有资本经营预算收入</w:t>
            </w:r>
          </w:p>
        </w:tc>
        <w:tc>
          <w:tcPr>
            <w:tcW w:w="21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61A4FA">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20000 </w:t>
            </w:r>
          </w:p>
        </w:tc>
        <w:tc>
          <w:tcPr>
            <w:tcW w:w="20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5FAFD7">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0 </w:t>
            </w:r>
          </w:p>
        </w:tc>
      </w:tr>
      <w:tr w14:paraId="603A30B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0" w:hRule="atLeast"/>
        </w:trPr>
        <w:tc>
          <w:tcPr>
            <w:tcW w:w="4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443214">
            <w:pPr>
              <w:keepNext w:val="0"/>
              <w:keepLines w:val="0"/>
              <w:widowControl/>
              <w:suppressLineNumbers w:val="0"/>
              <w:jc w:val="left"/>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一、国有资本经营收入</w:t>
            </w:r>
          </w:p>
        </w:tc>
        <w:tc>
          <w:tcPr>
            <w:tcW w:w="21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4D7603">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 xml:space="preserve">20000 </w:t>
            </w:r>
          </w:p>
        </w:tc>
        <w:tc>
          <w:tcPr>
            <w:tcW w:w="20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4B7F98">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0 </w:t>
            </w:r>
          </w:p>
        </w:tc>
      </w:tr>
      <w:tr w14:paraId="04DB07B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0" w:hRule="atLeast"/>
        </w:trPr>
        <w:tc>
          <w:tcPr>
            <w:tcW w:w="4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B556A5">
            <w:pPr>
              <w:keepNext w:val="0"/>
              <w:keepLines w:val="0"/>
              <w:widowControl/>
              <w:suppressLineNumbers w:val="0"/>
              <w:jc w:val="left"/>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二、上级补助收入</w:t>
            </w:r>
          </w:p>
        </w:tc>
        <w:tc>
          <w:tcPr>
            <w:tcW w:w="21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BC6CDF">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 xml:space="preserve">20 </w:t>
            </w:r>
          </w:p>
        </w:tc>
        <w:tc>
          <w:tcPr>
            <w:tcW w:w="20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CE7E2F">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 xml:space="preserve">0 </w:t>
            </w:r>
          </w:p>
        </w:tc>
      </w:tr>
      <w:tr w14:paraId="35F8B29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0" w:hRule="atLeast"/>
        </w:trPr>
        <w:tc>
          <w:tcPr>
            <w:tcW w:w="4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74E692">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收入总计</w:t>
            </w:r>
          </w:p>
        </w:tc>
        <w:tc>
          <w:tcPr>
            <w:tcW w:w="21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D85824">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 xml:space="preserve">20020 </w:t>
            </w:r>
          </w:p>
        </w:tc>
        <w:tc>
          <w:tcPr>
            <w:tcW w:w="20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FEF852">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 xml:space="preserve">0 </w:t>
            </w:r>
          </w:p>
        </w:tc>
      </w:tr>
    </w:tbl>
    <w:p w14:paraId="205B5ED4">
      <w:pPr>
        <w:rPr>
          <w:rFonts w:hint="eastAsia"/>
          <w:color w:val="000000" w:themeColor="text1"/>
          <w:lang w:eastAsia="zh-CN"/>
          <w14:textFill>
            <w14:solidFill>
              <w14:schemeClr w14:val="tx1"/>
            </w14:solidFill>
          </w14:textFill>
        </w:rPr>
      </w:pPr>
    </w:p>
    <w:p w14:paraId="54F7ED6B">
      <w:pPr>
        <w:rPr>
          <w:rFonts w:hint="eastAsia"/>
          <w:color w:val="000000" w:themeColor="text1"/>
          <w:lang w:eastAsia="zh-CN"/>
          <w14:textFill>
            <w14:solidFill>
              <w14:schemeClr w14:val="tx1"/>
            </w14:solidFill>
          </w14:textFill>
        </w:rPr>
      </w:pPr>
      <w:r>
        <w:rPr>
          <w:rFonts w:hint="eastAsia"/>
          <w:color w:val="000000" w:themeColor="text1"/>
          <w:lang w:eastAsia="zh-CN"/>
          <w14:textFill>
            <w14:solidFill>
              <w14:schemeClr w14:val="tx1"/>
            </w14:solidFill>
          </w14:textFill>
        </w:rPr>
        <w:br w:type="page"/>
      </w:r>
    </w:p>
    <w:tbl>
      <w:tblPr>
        <w:tblStyle w:val="10"/>
        <w:tblW w:w="8999"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4605"/>
        <w:gridCol w:w="2243"/>
        <w:gridCol w:w="2151"/>
      </w:tblGrid>
      <w:tr w14:paraId="4F5715C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4605" w:type="dxa"/>
            <w:tcBorders>
              <w:top w:val="nil"/>
              <w:left w:val="nil"/>
              <w:bottom w:val="nil"/>
              <w:right w:val="nil"/>
            </w:tcBorders>
            <w:shd w:val="clear" w:color="auto" w:fill="auto"/>
            <w:noWrap/>
            <w:vAlign w:val="bottom"/>
          </w:tcPr>
          <w:p w14:paraId="14429D2B">
            <w:pPr>
              <w:keepNext w:val="0"/>
              <w:keepLines w:val="0"/>
              <w:widowControl/>
              <w:suppressLineNumbers w:val="0"/>
              <w:jc w:val="left"/>
              <w:textAlignment w:val="bottom"/>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表16</w:t>
            </w:r>
          </w:p>
        </w:tc>
        <w:tc>
          <w:tcPr>
            <w:tcW w:w="2243" w:type="dxa"/>
            <w:tcBorders>
              <w:top w:val="nil"/>
              <w:left w:val="nil"/>
              <w:bottom w:val="nil"/>
              <w:right w:val="nil"/>
            </w:tcBorders>
            <w:shd w:val="clear" w:color="auto" w:fill="auto"/>
            <w:noWrap/>
            <w:vAlign w:val="bottom"/>
          </w:tcPr>
          <w:p w14:paraId="1B03DF02">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c>
          <w:tcPr>
            <w:tcW w:w="2151" w:type="dxa"/>
            <w:tcBorders>
              <w:top w:val="nil"/>
              <w:left w:val="nil"/>
              <w:bottom w:val="nil"/>
              <w:right w:val="nil"/>
            </w:tcBorders>
            <w:shd w:val="clear" w:color="auto" w:fill="auto"/>
            <w:noWrap/>
            <w:vAlign w:val="bottom"/>
          </w:tcPr>
          <w:p w14:paraId="130E1CDD">
            <w:pPr>
              <w:rPr>
                <w:rFonts w:hint="eastAsia" w:ascii="宋体" w:hAnsi="宋体" w:eastAsia="宋体" w:cs="宋体"/>
                <w:i w:val="0"/>
                <w:iCs w:val="0"/>
                <w:color w:val="000000" w:themeColor="text1"/>
                <w:sz w:val="24"/>
                <w:szCs w:val="24"/>
                <w:u w:val="none"/>
                <w14:textFill>
                  <w14:solidFill>
                    <w14:schemeClr w14:val="tx1"/>
                  </w14:solidFill>
                </w14:textFill>
              </w:rPr>
            </w:pPr>
          </w:p>
        </w:tc>
      </w:tr>
      <w:tr w14:paraId="3918F86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8999" w:type="dxa"/>
            <w:gridSpan w:val="3"/>
            <w:tcBorders>
              <w:top w:val="nil"/>
              <w:left w:val="nil"/>
              <w:bottom w:val="nil"/>
              <w:right w:val="nil"/>
            </w:tcBorders>
            <w:shd w:val="clear" w:color="auto" w:fill="auto"/>
            <w:vAlign w:val="center"/>
          </w:tcPr>
          <w:p w14:paraId="22AD3277">
            <w:pPr>
              <w:keepNext w:val="0"/>
              <w:keepLines w:val="0"/>
              <w:widowControl/>
              <w:suppressLineNumbers w:val="0"/>
              <w:jc w:val="center"/>
              <w:textAlignment w:val="center"/>
              <w:rPr>
                <w:rFonts w:hint="eastAsia" w:ascii="宋体" w:hAnsi="宋体" w:eastAsia="宋体" w:cs="宋体"/>
                <w:b/>
                <w:bCs/>
                <w:i w:val="0"/>
                <w:iCs w:val="0"/>
                <w:color w:val="000000" w:themeColor="text1"/>
                <w:kern w:val="0"/>
                <w:sz w:val="40"/>
                <w:szCs w:val="40"/>
                <w:u w:val="none"/>
                <w:lang w:val="en-US" w:eastAsia="zh-CN" w:bidi="ar"/>
                <w14:textFill>
                  <w14:solidFill>
                    <w14:schemeClr w14:val="tx1"/>
                  </w14:solidFill>
                </w14:textFill>
              </w:rPr>
            </w:pPr>
            <w:r>
              <w:rPr>
                <w:rFonts w:hint="eastAsia" w:ascii="宋体" w:hAnsi="宋体" w:eastAsia="宋体" w:cs="宋体"/>
                <w:b/>
                <w:bCs/>
                <w:i w:val="0"/>
                <w:iCs w:val="0"/>
                <w:color w:val="000000" w:themeColor="text1"/>
                <w:kern w:val="0"/>
                <w:sz w:val="40"/>
                <w:szCs w:val="40"/>
                <w:u w:val="none"/>
                <w:lang w:val="en-US" w:eastAsia="zh-CN" w:bidi="ar"/>
                <w14:textFill>
                  <w14:solidFill>
                    <w14:schemeClr w14:val="tx1"/>
                  </w14:solidFill>
                </w14:textFill>
              </w:rPr>
              <w:t>2025年区级国有资本经营支出预算草案</w:t>
            </w:r>
          </w:p>
        </w:tc>
      </w:tr>
      <w:tr w14:paraId="6906CCD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4605" w:type="dxa"/>
            <w:tcBorders>
              <w:top w:val="nil"/>
              <w:left w:val="nil"/>
              <w:bottom w:val="nil"/>
              <w:right w:val="nil"/>
            </w:tcBorders>
            <w:shd w:val="clear" w:color="auto" w:fill="auto"/>
            <w:noWrap/>
            <w:vAlign w:val="center"/>
          </w:tcPr>
          <w:p w14:paraId="2766C6D7">
            <w:pPr>
              <w:jc w:val="left"/>
              <w:rPr>
                <w:rFonts w:hint="eastAsia" w:ascii="宋体" w:hAnsi="宋体" w:eastAsia="宋体" w:cs="宋体"/>
                <w:i w:val="0"/>
                <w:iCs w:val="0"/>
                <w:color w:val="000000" w:themeColor="text1"/>
                <w:sz w:val="24"/>
                <w:szCs w:val="24"/>
                <w:u w:val="none"/>
                <w14:textFill>
                  <w14:solidFill>
                    <w14:schemeClr w14:val="tx1"/>
                  </w14:solidFill>
                </w14:textFill>
              </w:rPr>
            </w:pPr>
          </w:p>
        </w:tc>
        <w:tc>
          <w:tcPr>
            <w:tcW w:w="4394" w:type="dxa"/>
            <w:gridSpan w:val="2"/>
            <w:tcBorders>
              <w:top w:val="nil"/>
              <w:left w:val="nil"/>
              <w:bottom w:val="single" w:color="000000" w:sz="4" w:space="0"/>
              <w:right w:val="nil"/>
            </w:tcBorders>
            <w:shd w:val="clear" w:color="auto" w:fill="auto"/>
            <w:noWrap/>
            <w:vAlign w:val="center"/>
          </w:tcPr>
          <w:p w14:paraId="5BC7E101">
            <w:pPr>
              <w:keepNext w:val="0"/>
              <w:keepLines w:val="0"/>
              <w:widowControl/>
              <w:suppressLineNumbers w:val="0"/>
              <w:jc w:val="righ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单位：万元</w:t>
            </w:r>
          </w:p>
        </w:tc>
      </w:tr>
      <w:tr w14:paraId="129392E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0" w:hRule="atLeast"/>
        </w:trPr>
        <w:tc>
          <w:tcPr>
            <w:tcW w:w="46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B6FBE2">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科目名称</w:t>
            </w:r>
          </w:p>
        </w:tc>
        <w:tc>
          <w:tcPr>
            <w:tcW w:w="22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2C651E">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2025年预算数</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ED9B14">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比上年增长(%)</w:t>
            </w:r>
          </w:p>
        </w:tc>
      </w:tr>
      <w:tr w14:paraId="2B1931D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0" w:hRule="atLeast"/>
        </w:trPr>
        <w:tc>
          <w:tcPr>
            <w:tcW w:w="46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F6B796">
            <w:pPr>
              <w:keepNext w:val="0"/>
              <w:keepLines w:val="0"/>
              <w:widowControl/>
              <w:suppressLineNumbers w:val="0"/>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  1.解决历史遗留问题及改革成本支出</w:t>
            </w:r>
          </w:p>
        </w:tc>
        <w:tc>
          <w:tcPr>
            <w:tcW w:w="22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247CDB">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14020 </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073F11">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0 </w:t>
            </w:r>
          </w:p>
        </w:tc>
      </w:tr>
      <w:tr w14:paraId="3D90E30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0" w:hRule="atLeast"/>
        </w:trPr>
        <w:tc>
          <w:tcPr>
            <w:tcW w:w="46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7D74AA">
            <w:pPr>
              <w:keepNext w:val="0"/>
              <w:keepLines w:val="0"/>
              <w:widowControl/>
              <w:suppressLineNumbers w:val="0"/>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  2.国有企业资本金注入</w:t>
            </w:r>
          </w:p>
        </w:tc>
        <w:tc>
          <w:tcPr>
            <w:tcW w:w="22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D06D50">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1206DF">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r>
      <w:tr w14:paraId="03C9C8E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0" w:hRule="atLeast"/>
        </w:trPr>
        <w:tc>
          <w:tcPr>
            <w:tcW w:w="46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F9169C">
            <w:pPr>
              <w:keepNext w:val="0"/>
              <w:keepLines w:val="0"/>
              <w:widowControl/>
              <w:suppressLineNumbers w:val="0"/>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  3.国有企业政策性补贴</w:t>
            </w:r>
          </w:p>
        </w:tc>
        <w:tc>
          <w:tcPr>
            <w:tcW w:w="22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951055">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A73442">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r>
      <w:tr w14:paraId="7D0FBCC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0" w:hRule="atLeast"/>
        </w:trPr>
        <w:tc>
          <w:tcPr>
            <w:tcW w:w="46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1874C6">
            <w:pPr>
              <w:keepNext w:val="0"/>
              <w:keepLines w:val="0"/>
              <w:widowControl/>
              <w:suppressLineNumbers w:val="0"/>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  4.其他国有资本经营预算支出</w:t>
            </w:r>
          </w:p>
        </w:tc>
        <w:tc>
          <w:tcPr>
            <w:tcW w:w="22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6693FE">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DB551A">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r>
      <w:tr w14:paraId="3CF27F4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0" w:hRule="atLeast"/>
        </w:trPr>
        <w:tc>
          <w:tcPr>
            <w:tcW w:w="46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6B7DFD">
            <w:pPr>
              <w:keepNext w:val="0"/>
              <w:keepLines w:val="0"/>
              <w:widowControl/>
              <w:suppressLineNumbers w:val="0"/>
              <w:jc w:val="left"/>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一、国有资本经营预算支出</w:t>
            </w:r>
          </w:p>
        </w:tc>
        <w:tc>
          <w:tcPr>
            <w:tcW w:w="22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96F70D">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 xml:space="preserve">14020 </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86E22C">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 xml:space="preserve">0 </w:t>
            </w:r>
          </w:p>
        </w:tc>
      </w:tr>
      <w:tr w14:paraId="7586CA9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0" w:hRule="atLeast"/>
        </w:trPr>
        <w:tc>
          <w:tcPr>
            <w:tcW w:w="46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FD220A">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总计支出</w:t>
            </w:r>
          </w:p>
        </w:tc>
        <w:tc>
          <w:tcPr>
            <w:tcW w:w="22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1ED91C">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 xml:space="preserve">14020 </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E03457">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 xml:space="preserve">0 </w:t>
            </w:r>
          </w:p>
        </w:tc>
      </w:tr>
    </w:tbl>
    <w:p w14:paraId="2B22B2A1">
      <w:pPr>
        <w:rPr>
          <w:rFonts w:hint="eastAsia"/>
          <w:color w:val="000000" w:themeColor="text1"/>
          <w:lang w:eastAsia="zh-CN"/>
          <w14:textFill>
            <w14:solidFill>
              <w14:schemeClr w14:val="tx1"/>
            </w14:solidFill>
          </w14:textFill>
        </w:rPr>
      </w:pPr>
    </w:p>
    <w:sectPr>
      <w:footerReference r:id="rId7" w:type="default"/>
      <w:pgSz w:w="11906" w:h="16838"/>
      <w:pgMar w:top="1531" w:right="1559" w:bottom="2268" w:left="1559" w:header="851" w:footer="1701" w:gutter="0"/>
      <w:pgNumType w:fmt="decimal"/>
      <w:cols w:space="0" w:num="1"/>
      <w:rtlGutter w:val="0"/>
      <w:docGrid w:type="lines" w:linePitch="44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00" w:usb3="00000000" w:csb0="00040000" w:csb1="00000000"/>
  </w:font>
  <w:font w:name="新宋体">
    <w:panose1 w:val="02010609030101010101"/>
    <w:charset w:val="86"/>
    <w:family w:val="modern"/>
    <w:pitch w:val="default"/>
    <w:sig w:usb0="00000203" w:usb1="288F0000" w:usb2="00000006"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 w:name="方正仿宋_GBK">
    <w:altName w:val="微软雅黑"/>
    <w:panose1 w:val="02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方正小标宋简体">
    <w:panose1 w:val="02000000000000000000"/>
    <w:charset w:val="86"/>
    <w:family w:val="auto"/>
    <w:pitch w:val="default"/>
    <w:sig w:usb0="00000001" w:usb1="08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B27B2D">
    <w:pPr>
      <w:pStyle w:val="6"/>
      <w:rPr>
        <w:sz w:val="28"/>
        <w:szCs w:val="28"/>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C98F6F5">
                          <w:pPr>
                            <w:pStyle w:val="6"/>
                            <w:rPr>
                              <w:rFonts w:hint="default" w:ascii="Times New Roman" w:hAnsi="Times New Roman" w:cs="Times New Roman" w:eastAsiaTheme="minorEastAsia"/>
                              <w:sz w:val="28"/>
                              <w:szCs w:val="28"/>
                              <w:lang w:val="en-US" w:eastAsia="zh-CN"/>
                            </w:rPr>
                          </w:pPr>
                          <w:r>
                            <w:rPr>
                              <w:rFonts w:hint="default" w:ascii="Times New Roman" w:hAnsi="Times New Roman" w:cs="Times New Roman"/>
                              <w:sz w:val="28"/>
                              <w:szCs w:val="28"/>
                              <w:lang w:eastAsia="zh-CN"/>
                            </w:rPr>
                            <w:t>—</w:t>
                          </w:r>
                          <w:r>
                            <w:rPr>
                              <w:rFonts w:hint="default" w:ascii="Times New Roman" w:hAnsi="Times New Roman" w:cs="Times New Roman"/>
                              <w:sz w:val="28"/>
                              <w:szCs w:val="28"/>
                              <w:lang w:val="en-US" w:eastAsia="zh-CN"/>
                            </w:rPr>
                            <w:t xml:space="preserve">  </w:t>
                          </w:r>
                          <w:r>
                            <w:rPr>
                              <w:rFonts w:hint="default" w:ascii="Times New Roman" w:hAnsi="Times New Roman" w:cs="Times New Roman"/>
                              <w:sz w:val="28"/>
                              <w:szCs w:val="28"/>
                              <w:lang w:eastAsia="zh-CN"/>
                            </w:rPr>
                            <w:fldChar w:fldCharType="begin"/>
                          </w:r>
                          <w:r>
                            <w:rPr>
                              <w:rFonts w:hint="default" w:ascii="Times New Roman" w:hAnsi="Times New Roman" w:cs="Times New Roman"/>
                              <w:sz w:val="28"/>
                              <w:szCs w:val="28"/>
                              <w:lang w:eastAsia="zh-CN"/>
                            </w:rPr>
                            <w:instrText xml:space="preserve"> PAGE  \* MERGEFORMAT </w:instrText>
                          </w:r>
                          <w:r>
                            <w:rPr>
                              <w:rFonts w:hint="default" w:ascii="Times New Roman" w:hAnsi="Times New Roman" w:cs="Times New Roman"/>
                              <w:sz w:val="28"/>
                              <w:szCs w:val="28"/>
                              <w:lang w:eastAsia="zh-CN"/>
                            </w:rPr>
                            <w:fldChar w:fldCharType="separate"/>
                          </w:r>
                          <w:r>
                            <w:rPr>
                              <w:rFonts w:hint="default" w:ascii="Times New Roman" w:hAnsi="Times New Roman" w:cs="Times New Roman"/>
                              <w:sz w:val="28"/>
                              <w:szCs w:val="28"/>
                              <w:lang w:eastAsia="zh-CN"/>
                            </w:rPr>
                            <w:t>1</w:t>
                          </w:r>
                          <w:r>
                            <w:rPr>
                              <w:rFonts w:hint="default" w:ascii="Times New Roman" w:hAnsi="Times New Roman" w:cs="Times New Roman"/>
                              <w:sz w:val="28"/>
                              <w:szCs w:val="28"/>
                              <w:lang w:eastAsia="zh-CN"/>
                            </w:rPr>
                            <w:fldChar w:fldCharType="end"/>
                          </w:r>
                          <w:r>
                            <w:rPr>
                              <w:rFonts w:hint="default" w:ascii="Times New Roman" w:hAnsi="Times New Roman" w:cs="Times New Roman"/>
                              <w:sz w:val="28"/>
                              <w:szCs w:val="28"/>
                              <w:lang w:val="en-US" w:eastAsia="zh-CN"/>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WLh2QyAgAAY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9YuHZDICAABhBAAADgAAAAAAAAABACAAAAAfAQAAZHJzL2Uyb0RvYy54bWxQSwUG&#10;AAAAAAYABgBZAQAAwwUAAAAA&#10;">
              <v:fill on="f" focussize="0,0"/>
              <v:stroke on="f" weight="0.5pt"/>
              <v:imagedata o:title=""/>
              <o:lock v:ext="edit" aspectratio="f"/>
              <v:textbox inset="0mm,0mm,0mm,0mm" style="mso-fit-shape-to-text:t;">
                <w:txbxContent>
                  <w:p w14:paraId="0C98F6F5">
                    <w:pPr>
                      <w:pStyle w:val="6"/>
                      <w:rPr>
                        <w:rFonts w:hint="default" w:ascii="Times New Roman" w:hAnsi="Times New Roman" w:cs="Times New Roman" w:eastAsiaTheme="minorEastAsia"/>
                        <w:sz w:val="28"/>
                        <w:szCs w:val="28"/>
                        <w:lang w:val="en-US" w:eastAsia="zh-CN"/>
                      </w:rPr>
                    </w:pPr>
                    <w:r>
                      <w:rPr>
                        <w:rFonts w:hint="default" w:ascii="Times New Roman" w:hAnsi="Times New Roman" w:cs="Times New Roman"/>
                        <w:sz w:val="28"/>
                        <w:szCs w:val="28"/>
                        <w:lang w:eastAsia="zh-CN"/>
                      </w:rPr>
                      <w:t>—</w:t>
                    </w:r>
                    <w:r>
                      <w:rPr>
                        <w:rFonts w:hint="default" w:ascii="Times New Roman" w:hAnsi="Times New Roman" w:cs="Times New Roman"/>
                        <w:sz w:val="28"/>
                        <w:szCs w:val="28"/>
                        <w:lang w:val="en-US" w:eastAsia="zh-CN"/>
                      </w:rPr>
                      <w:t xml:space="preserve">  </w:t>
                    </w:r>
                    <w:r>
                      <w:rPr>
                        <w:rFonts w:hint="default" w:ascii="Times New Roman" w:hAnsi="Times New Roman" w:cs="Times New Roman"/>
                        <w:sz w:val="28"/>
                        <w:szCs w:val="28"/>
                        <w:lang w:eastAsia="zh-CN"/>
                      </w:rPr>
                      <w:fldChar w:fldCharType="begin"/>
                    </w:r>
                    <w:r>
                      <w:rPr>
                        <w:rFonts w:hint="default" w:ascii="Times New Roman" w:hAnsi="Times New Roman" w:cs="Times New Roman"/>
                        <w:sz w:val="28"/>
                        <w:szCs w:val="28"/>
                        <w:lang w:eastAsia="zh-CN"/>
                      </w:rPr>
                      <w:instrText xml:space="preserve"> PAGE  \* MERGEFORMAT </w:instrText>
                    </w:r>
                    <w:r>
                      <w:rPr>
                        <w:rFonts w:hint="default" w:ascii="Times New Roman" w:hAnsi="Times New Roman" w:cs="Times New Roman"/>
                        <w:sz w:val="28"/>
                        <w:szCs w:val="28"/>
                        <w:lang w:eastAsia="zh-CN"/>
                      </w:rPr>
                      <w:fldChar w:fldCharType="separate"/>
                    </w:r>
                    <w:r>
                      <w:rPr>
                        <w:rFonts w:hint="default" w:ascii="Times New Roman" w:hAnsi="Times New Roman" w:cs="Times New Roman"/>
                        <w:sz w:val="28"/>
                        <w:szCs w:val="28"/>
                        <w:lang w:eastAsia="zh-CN"/>
                      </w:rPr>
                      <w:t>1</w:t>
                    </w:r>
                    <w:r>
                      <w:rPr>
                        <w:rFonts w:hint="default" w:ascii="Times New Roman" w:hAnsi="Times New Roman" w:cs="Times New Roman"/>
                        <w:sz w:val="28"/>
                        <w:szCs w:val="28"/>
                        <w:lang w:eastAsia="zh-CN"/>
                      </w:rPr>
                      <w:fldChar w:fldCharType="end"/>
                    </w:r>
                    <w:r>
                      <w:rPr>
                        <w:rFonts w:hint="default" w:ascii="Times New Roman" w:hAnsi="Times New Roman" w:cs="Times New Roman"/>
                        <w:sz w:val="28"/>
                        <w:szCs w:val="28"/>
                        <w:lang w:val="en-US" w:eastAsia="zh-CN"/>
                      </w:rPr>
                      <w:t xml:space="preserve">  —</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0E4AC3">
    <w:pPr>
      <w:pStyle w:val="6"/>
      <w:rPr>
        <w:sz w:val="28"/>
        <w:szCs w:val="28"/>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BCDD21">
    <w:pPr>
      <w:pStyle w:val="6"/>
      <w:rPr>
        <w:sz w:val="28"/>
        <w:szCs w:val="28"/>
      </w:rP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6EF7F84">
                          <w:pPr>
                            <w:pStyle w:val="6"/>
                            <w:rPr>
                              <w:rFonts w:hint="default" w:ascii="Times New Roman" w:hAnsi="Times New Roman" w:cs="Times New Roman" w:eastAsiaTheme="minorEastAsia"/>
                              <w:sz w:val="28"/>
                              <w:szCs w:val="28"/>
                              <w:lang w:val="en-US" w:eastAsia="zh-CN"/>
                            </w:rPr>
                          </w:pPr>
                          <w:r>
                            <w:rPr>
                              <w:rFonts w:hint="default" w:ascii="Times New Roman" w:hAnsi="Times New Roman" w:cs="Times New Roman"/>
                              <w:sz w:val="28"/>
                              <w:szCs w:val="28"/>
                              <w:lang w:eastAsia="zh-CN"/>
                            </w:rPr>
                            <w:t>—</w:t>
                          </w:r>
                          <w:r>
                            <w:rPr>
                              <w:rFonts w:hint="default" w:ascii="Times New Roman" w:hAnsi="Times New Roman" w:cs="Times New Roman"/>
                              <w:sz w:val="28"/>
                              <w:szCs w:val="28"/>
                              <w:lang w:val="en-US" w:eastAsia="zh-CN"/>
                            </w:rPr>
                            <w:t xml:space="preserve">  </w:t>
                          </w:r>
                          <w:r>
                            <w:rPr>
                              <w:rFonts w:hint="default" w:ascii="Times New Roman" w:hAnsi="Times New Roman" w:cs="Times New Roman"/>
                              <w:sz w:val="28"/>
                              <w:szCs w:val="28"/>
                              <w:lang w:eastAsia="zh-CN"/>
                            </w:rPr>
                            <w:fldChar w:fldCharType="begin"/>
                          </w:r>
                          <w:r>
                            <w:rPr>
                              <w:rFonts w:hint="default" w:ascii="Times New Roman" w:hAnsi="Times New Roman" w:cs="Times New Roman"/>
                              <w:sz w:val="28"/>
                              <w:szCs w:val="28"/>
                              <w:lang w:eastAsia="zh-CN"/>
                            </w:rPr>
                            <w:instrText xml:space="preserve"> PAGE  \* MERGEFORMAT </w:instrText>
                          </w:r>
                          <w:r>
                            <w:rPr>
                              <w:rFonts w:hint="default" w:ascii="Times New Roman" w:hAnsi="Times New Roman" w:cs="Times New Roman"/>
                              <w:sz w:val="28"/>
                              <w:szCs w:val="28"/>
                              <w:lang w:eastAsia="zh-CN"/>
                            </w:rPr>
                            <w:fldChar w:fldCharType="separate"/>
                          </w:r>
                          <w:r>
                            <w:rPr>
                              <w:rFonts w:hint="default" w:ascii="Times New Roman" w:hAnsi="Times New Roman" w:cs="Times New Roman"/>
                              <w:sz w:val="28"/>
                              <w:szCs w:val="28"/>
                              <w:lang w:eastAsia="zh-CN"/>
                            </w:rPr>
                            <w:t>1</w:t>
                          </w:r>
                          <w:r>
                            <w:rPr>
                              <w:rFonts w:hint="default" w:ascii="Times New Roman" w:hAnsi="Times New Roman" w:cs="Times New Roman"/>
                              <w:sz w:val="28"/>
                              <w:szCs w:val="28"/>
                              <w:lang w:eastAsia="zh-CN"/>
                            </w:rPr>
                            <w:fldChar w:fldCharType="end"/>
                          </w:r>
                          <w:r>
                            <w:rPr>
                              <w:rFonts w:hint="default" w:ascii="Times New Roman" w:hAnsi="Times New Roman" w:cs="Times New Roman"/>
                              <w:sz w:val="28"/>
                              <w:szCs w:val="28"/>
                              <w:lang w:val="en-US" w:eastAsia="zh-CN"/>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14:paraId="06EF7F84">
                    <w:pPr>
                      <w:pStyle w:val="6"/>
                      <w:rPr>
                        <w:rFonts w:hint="default" w:ascii="Times New Roman" w:hAnsi="Times New Roman" w:cs="Times New Roman" w:eastAsiaTheme="minorEastAsia"/>
                        <w:sz w:val="28"/>
                        <w:szCs w:val="28"/>
                        <w:lang w:val="en-US" w:eastAsia="zh-CN"/>
                      </w:rPr>
                    </w:pPr>
                    <w:r>
                      <w:rPr>
                        <w:rFonts w:hint="default" w:ascii="Times New Roman" w:hAnsi="Times New Roman" w:cs="Times New Roman"/>
                        <w:sz w:val="28"/>
                        <w:szCs w:val="28"/>
                        <w:lang w:eastAsia="zh-CN"/>
                      </w:rPr>
                      <w:t>—</w:t>
                    </w:r>
                    <w:r>
                      <w:rPr>
                        <w:rFonts w:hint="default" w:ascii="Times New Roman" w:hAnsi="Times New Roman" w:cs="Times New Roman"/>
                        <w:sz w:val="28"/>
                        <w:szCs w:val="28"/>
                        <w:lang w:val="en-US" w:eastAsia="zh-CN"/>
                      </w:rPr>
                      <w:t xml:space="preserve">  </w:t>
                    </w:r>
                    <w:r>
                      <w:rPr>
                        <w:rFonts w:hint="default" w:ascii="Times New Roman" w:hAnsi="Times New Roman" w:cs="Times New Roman"/>
                        <w:sz w:val="28"/>
                        <w:szCs w:val="28"/>
                        <w:lang w:eastAsia="zh-CN"/>
                      </w:rPr>
                      <w:fldChar w:fldCharType="begin"/>
                    </w:r>
                    <w:r>
                      <w:rPr>
                        <w:rFonts w:hint="default" w:ascii="Times New Roman" w:hAnsi="Times New Roman" w:cs="Times New Roman"/>
                        <w:sz w:val="28"/>
                        <w:szCs w:val="28"/>
                        <w:lang w:eastAsia="zh-CN"/>
                      </w:rPr>
                      <w:instrText xml:space="preserve"> PAGE  \* MERGEFORMAT </w:instrText>
                    </w:r>
                    <w:r>
                      <w:rPr>
                        <w:rFonts w:hint="default" w:ascii="Times New Roman" w:hAnsi="Times New Roman" w:cs="Times New Roman"/>
                        <w:sz w:val="28"/>
                        <w:szCs w:val="28"/>
                        <w:lang w:eastAsia="zh-CN"/>
                      </w:rPr>
                      <w:fldChar w:fldCharType="separate"/>
                    </w:r>
                    <w:r>
                      <w:rPr>
                        <w:rFonts w:hint="default" w:ascii="Times New Roman" w:hAnsi="Times New Roman" w:cs="Times New Roman"/>
                        <w:sz w:val="28"/>
                        <w:szCs w:val="28"/>
                        <w:lang w:eastAsia="zh-CN"/>
                      </w:rPr>
                      <w:t>1</w:t>
                    </w:r>
                    <w:r>
                      <w:rPr>
                        <w:rFonts w:hint="default" w:ascii="Times New Roman" w:hAnsi="Times New Roman" w:cs="Times New Roman"/>
                        <w:sz w:val="28"/>
                        <w:szCs w:val="28"/>
                        <w:lang w:eastAsia="zh-CN"/>
                      </w:rPr>
                      <w:fldChar w:fldCharType="end"/>
                    </w:r>
                    <w:r>
                      <w:rPr>
                        <w:rFonts w:hint="default" w:ascii="Times New Roman" w:hAnsi="Times New Roman" w:cs="Times New Roman"/>
                        <w:sz w:val="28"/>
                        <w:szCs w:val="28"/>
                        <w:lang w:val="en-US" w:eastAsia="zh-CN"/>
                      </w:rPr>
                      <w:t xml:space="preserve">  —</w:t>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4484FE">
    <w:pPr>
      <w:pStyle w:val="6"/>
      <w:rPr>
        <w:sz w:val="28"/>
        <w:szCs w:val="28"/>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C942DA">
    <w:pPr>
      <w:pStyle w:val="6"/>
      <w:rPr>
        <w:sz w:val="28"/>
        <w:szCs w:val="28"/>
      </w:rPr>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0512FBB">
                          <w:pPr>
                            <w:pStyle w:val="6"/>
                            <w:rPr>
                              <w:rFonts w:hint="default" w:ascii="Times New Roman" w:hAnsi="Times New Roman" w:cs="Times New Roman" w:eastAsiaTheme="minorEastAsia"/>
                              <w:sz w:val="28"/>
                              <w:szCs w:val="28"/>
                              <w:lang w:val="en-US" w:eastAsia="zh-CN"/>
                            </w:rPr>
                          </w:pPr>
                          <w:r>
                            <w:rPr>
                              <w:rFonts w:hint="default" w:ascii="Times New Roman" w:hAnsi="Times New Roman" w:cs="Times New Roman"/>
                              <w:sz w:val="28"/>
                              <w:szCs w:val="28"/>
                              <w:lang w:eastAsia="zh-CN"/>
                            </w:rPr>
                            <w:t>—</w:t>
                          </w:r>
                          <w:r>
                            <w:rPr>
                              <w:rFonts w:hint="default" w:ascii="Times New Roman" w:hAnsi="Times New Roman" w:cs="Times New Roman"/>
                              <w:sz w:val="28"/>
                              <w:szCs w:val="28"/>
                              <w:lang w:val="en-US" w:eastAsia="zh-CN"/>
                            </w:rPr>
                            <w:t xml:space="preserve">  </w:t>
                          </w:r>
                          <w:r>
                            <w:rPr>
                              <w:rFonts w:hint="default" w:ascii="Times New Roman" w:hAnsi="Times New Roman" w:cs="Times New Roman"/>
                              <w:sz w:val="28"/>
                              <w:szCs w:val="28"/>
                              <w:lang w:eastAsia="zh-CN"/>
                            </w:rPr>
                            <w:fldChar w:fldCharType="begin"/>
                          </w:r>
                          <w:r>
                            <w:rPr>
                              <w:rFonts w:hint="default" w:ascii="Times New Roman" w:hAnsi="Times New Roman" w:cs="Times New Roman"/>
                              <w:sz w:val="28"/>
                              <w:szCs w:val="28"/>
                              <w:lang w:eastAsia="zh-CN"/>
                            </w:rPr>
                            <w:instrText xml:space="preserve"> PAGE  \* MERGEFORMAT </w:instrText>
                          </w:r>
                          <w:r>
                            <w:rPr>
                              <w:rFonts w:hint="default" w:ascii="Times New Roman" w:hAnsi="Times New Roman" w:cs="Times New Roman"/>
                              <w:sz w:val="28"/>
                              <w:szCs w:val="28"/>
                              <w:lang w:eastAsia="zh-CN"/>
                            </w:rPr>
                            <w:fldChar w:fldCharType="separate"/>
                          </w:r>
                          <w:r>
                            <w:rPr>
                              <w:rFonts w:hint="default" w:ascii="Times New Roman" w:hAnsi="Times New Roman" w:cs="Times New Roman"/>
                              <w:sz w:val="28"/>
                              <w:szCs w:val="28"/>
                              <w:lang w:eastAsia="zh-CN"/>
                            </w:rPr>
                            <w:t>1</w:t>
                          </w:r>
                          <w:r>
                            <w:rPr>
                              <w:rFonts w:hint="default" w:ascii="Times New Roman" w:hAnsi="Times New Roman" w:cs="Times New Roman"/>
                              <w:sz w:val="28"/>
                              <w:szCs w:val="28"/>
                              <w:lang w:eastAsia="zh-CN"/>
                            </w:rPr>
                            <w:fldChar w:fldCharType="end"/>
                          </w:r>
                          <w:r>
                            <w:rPr>
                              <w:rFonts w:hint="default" w:ascii="Times New Roman" w:hAnsi="Times New Roman" w:cs="Times New Roman"/>
                              <w:sz w:val="28"/>
                              <w:szCs w:val="28"/>
                              <w:lang w:val="en-US" w:eastAsia="zh-CN"/>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OrREyAgAAY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f46tETICAABhBAAADgAAAAAAAAABACAAAAAfAQAAZHJzL2Uyb0RvYy54bWxQSwUG&#10;AAAAAAYABgBZAQAAwwUAAAAA&#10;">
              <v:fill on="f" focussize="0,0"/>
              <v:stroke on="f" weight="0.5pt"/>
              <v:imagedata o:title=""/>
              <o:lock v:ext="edit" aspectratio="f"/>
              <v:textbox inset="0mm,0mm,0mm,0mm" style="mso-fit-shape-to-text:t;">
                <w:txbxContent>
                  <w:p w14:paraId="00512FBB">
                    <w:pPr>
                      <w:pStyle w:val="6"/>
                      <w:rPr>
                        <w:rFonts w:hint="default" w:ascii="Times New Roman" w:hAnsi="Times New Roman" w:cs="Times New Roman" w:eastAsiaTheme="minorEastAsia"/>
                        <w:sz w:val="28"/>
                        <w:szCs w:val="28"/>
                        <w:lang w:val="en-US" w:eastAsia="zh-CN"/>
                      </w:rPr>
                    </w:pPr>
                    <w:r>
                      <w:rPr>
                        <w:rFonts w:hint="default" w:ascii="Times New Roman" w:hAnsi="Times New Roman" w:cs="Times New Roman"/>
                        <w:sz w:val="28"/>
                        <w:szCs w:val="28"/>
                        <w:lang w:eastAsia="zh-CN"/>
                      </w:rPr>
                      <w:t>—</w:t>
                    </w:r>
                    <w:r>
                      <w:rPr>
                        <w:rFonts w:hint="default" w:ascii="Times New Roman" w:hAnsi="Times New Roman" w:cs="Times New Roman"/>
                        <w:sz w:val="28"/>
                        <w:szCs w:val="28"/>
                        <w:lang w:val="en-US" w:eastAsia="zh-CN"/>
                      </w:rPr>
                      <w:t xml:space="preserve">  </w:t>
                    </w:r>
                    <w:r>
                      <w:rPr>
                        <w:rFonts w:hint="default" w:ascii="Times New Roman" w:hAnsi="Times New Roman" w:cs="Times New Roman"/>
                        <w:sz w:val="28"/>
                        <w:szCs w:val="28"/>
                        <w:lang w:eastAsia="zh-CN"/>
                      </w:rPr>
                      <w:fldChar w:fldCharType="begin"/>
                    </w:r>
                    <w:r>
                      <w:rPr>
                        <w:rFonts w:hint="default" w:ascii="Times New Roman" w:hAnsi="Times New Roman" w:cs="Times New Roman"/>
                        <w:sz w:val="28"/>
                        <w:szCs w:val="28"/>
                        <w:lang w:eastAsia="zh-CN"/>
                      </w:rPr>
                      <w:instrText xml:space="preserve"> PAGE  \* MERGEFORMAT </w:instrText>
                    </w:r>
                    <w:r>
                      <w:rPr>
                        <w:rFonts w:hint="default" w:ascii="Times New Roman" w:hAnsi="Times New Roman" w:cs="Times New Roman"/>
                        <w:sz w:val="28"/>
                        <w:szCs w:val="28"/>
                        <w:lang w:eastAsia="zh-CN"/>
                      </w:rPr>
                      <w:fldChar w:fldCharType="separate"/>
                    </w:r>
                    <w:r>
                      <w:rPr>
                        <w:rFonts w:hint="default" w:ascii="Times New Roman" w:hAnsi="Times New Roman" w:cs="Times New Roman"/>
                        <w:sz w:val="28"/>
                        <w:szCs w:val="28"/>
                        <w:lang w:eastAsia="zh-CN"/>
                      </w:rPr>
                      <w:t>1</w:t>
                    </w:r>
                    <w:r>
                      <w:rPr>
                        <w:rFonts w:hint="default" w:ascii="Times New Roman" w:hAnsi="Times New Roman" w:cs="Times New Roman"/>
                        <w:sz w:val="28"/>
                        <w:szCs w:val="28"/>
                        <w:lang w:eastAsia="zh-CN"/>
                      </w:rPr>
                      <w:fldChar w:fldCharType="end"/>
                    </w:r>
                    <w:r>
                      <w:rPr>
                        <w:rFonts w:hint="default" w:ascii="Times New Roman" w:hAnsi="Times New Roman" w:cs="Times New Roman"/>
                        <w:sz w:val="28"/>
                        <w:szCs w:val="28"/>
                        <w:lang w:val="en-US" w:eastAsia="zh-CN"/>
                      </w:rP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0"/>
  <w:bordersDoNotSurroundFooter w:val="0"/>
  <w:attachedTemplate r:id="rId1"/>
  <w:documentProtection w:enforcement="0"/>
  <w:defaultTabStop w:val="420"/>
  <w:drawingGridVerticalSpacing w:val="225"/>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mQ0YTRhNWFhMjA5ZDgzOTBiYjliMjc1NmI3ZGViNDQifQ=="/>
  </w:docVars>
  <w:rsids>
    <w:rsidRoot w:val="1C2A75F5"/>
    <w:rsid w:val="0077530D"/>
    <w:rsid w:val="007C1BB2"/>
    <w:rsid w:val="01A7385E"/>
    <w:rsid w:val="04BC56B7"/>
    <w:rsid w:val="04EE150D"/>
    <w:rsid w:val="0527060F"/>
    <w:rsid w:val="06EB6E0C"/>
    <w:rsid w:val="08E62AC6"/>
    <w:rsid w:val="09B434E5"/>
    <w:rsid w:val="0BC47C2C"/>
    <w:rsid w:val="0D5B4A79"/>
    <w:rsid w:val="0E3F22D5"/>
    <w:rsid w:val="0E416B70"/>
    <w:rsid w:val="0F7C1266"/>
    <w:rsid w:val="0FBE25DD"/>
    <w:rsid w:val="118B16AA"/>
    <w:rsid w:val="12A97EE3"/>
    <w:rsid w:val="13F21C87"/>
    <w:rsid w:val="16006F98"/>
    <w:rsid w:val="168E1C87"/>
    <w:rsid w:val="18B73060"/>
    <w:rsid w:val="18CA42A5"/>
    <w:rsid w:val="1C2A75F5"/>
    <w:rsid w:val="1DF71875"/>
    <w:rsid w:val="1ED01768"/>
    <w:rsid w:val="200547B4"/>
    <w:rsid w:val="21033F39"/>
    <w:rsid w:val="222339F7"/>
    <w:rsid w:val="23256B98"/>
    <w:rsid w:val="237D7CB3"/>
    <w:rsid w:val="23E828CA"/>
    <w:rsid w:val="241F1A4B"/>
    <w:rsid w:val="261B525E"/>
    <w:rsid w:val="266B2765"/>
    <w:rsid w:val="29C037A2"/>
    <w:rsid w:val="29C516C1"/>
    <w:rsid w:val="2A0E0CEC"/>
    <w:rsid w:val="2A61691A"/>
    <w:rsid w:val="2AA62092"/>
    <w:rsid w:val="2B722DD5"/>
    <w:rsid w:val="2C8877D2"/>
    <w:rsid w:val="30146F4B"/>
    <w:rsid w:val="31664408"/>
    <w:rsid w:val="31E87583"/>
    <w:rsid w:val="32B45DAE"/>
    <w:rsid w:val="33B94BCA"/>
    <w:rsid w:val="3478776A"/>
    <w:rsid w:val="34D85E7C"/>
    <w:rsid w:val="3511718E"/>
    <w:rsid w:val="369E0EF6"/>
    <w:rsid w:val="36EB3BA4"/>
    <w:rsid w:val="3A2931D7"/>
    <w:rsid w:val="3A803AF3"/>
    <w:rsid w:val="3A825A8A"/>
    <w:rsid w:val="3AEC68DA"/>
    <w:rsid w:val="3CE134AF"/>
    <w:rsid w:val="3E483A85"/>
    <w:rsid w:val="3E572E5B"/>
    <w:rsid w:val="40291339"/>
    <w:rsid w:val="404B1282"/>
    <w:rsid w:val="425A5997"/>
    <w:rsid w:val="43486FC5"/>
    <w:rsid w:val="43987F9D"/>
    <w:rsid w:val="463439C7"/>
    <w:rsid w:val="48534527"/>
    <w:rsid w:val="49764453"/>
    <w:rsid w:val="4A921A7A"/>
    <w:rsid w:val="4AA471D3"/>
    <w:rsid w:val="4E4F2DA9"/>
    <w:rsid w:val="4EFE1B56"/>
    <w:rsid w:val="51DD06CC"/>
    <w:rsid w:val="52833022"/>
    <w:rsid w:val="534B6B84"/>
    <w:rsid w:val="538774E4"/>
    <w:rsid w:val="54461C3E"/>
    <w:rsid w:val="54727095"/>
    <w:rsid w:val="56031FFE"/>
    <w:rsid w:val="582955BA"/>
    <w:rsid w:val="5A3F2AE3"/>
    <w:rsid w:val="5B445B49"/>
    <w:rsid w:val="5E0223AD"/>
    <w:rsid w:val="5E9B6682"/>
    <w:rsid w:val="649C6E37"/>
    <w:rsid w:val="67803B7C"/>
    <w:rsid w:val="6B9D7A2A"/>
    <w:rsid w:val="6C345521"/>
    <w:rsid w:val="6D535020"/>
    <w:rsid w:val="6DDC431C"/>
    <w:rsid w:val="6E8D179C"/>
    <w:rsid w:val="717E037B"/>
    <w:rsid w:val="751D1FFC"/>
    <w:rsid w:val="759430E3"/>
    <w:rsid w:val="75C5257F"/>
    <w:rsid w:val="75F145C2"/>
    <w:rsid w:val="7AD43BFC"/>
    <w:rsid w:val="7C375547"/>
    <w:rsid w:val="7C914409"/>
    <w:rsid w:val="7D470F6C"/>
    <w:rsid w:val="7DBA7990"/>
    <w:rsid w:val="7E622D8E"/>
    <w:rsid w:val="7F21205D"/>
    <w:rsid w:val="7F3639C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仿宋" w:asciiTheme="minorHAnsi" w:hAnsiTheme="minorHAnsi" w:eastAsiaTheme="minorEastAsia"/>
      <w:kern w:val="10"/>
      <w:sz w:val="32"/>
      <w:szCs w:val="32"/>
      <w:lang w:val="en-US" w:eastAsia="zh-CN" w:bidi="ar-SA"/>
    </w:rPr>
  </w:style>
  <w:style w:type="character" w:default="1" w:styleId="11">
    <w:name w:val="Default Paragraph Font"/>
    <w:semiHidden/>
    <w:qFormat/>
    <w:uiPriority w:val="0"/>
  </w:style>
  <w:style w:type="table" w:default="1" w:styleId="10">
    <w:name w:val="Normal Table"/>
    <w:semiHidden/>
    <w:qFormat/>
    <w:uiPriority w:val="0"/>
    <w:tblPr>
      <w:tblCellMar>
        <w:top w:w="0" w:type="dxa"/>
        <w:left w:w="108" w:type="dxa"/>
        <w:bottom w:w="0" w:type="dxa"/>
        <w:right w:w="108" w:type="dxa"/>
      </w:tblCellMar>
    </w:tblPr>
  </w:style>
  <w:style w:type="paragraph" w:styleId="2">
    <w:name w:val="Normal Indent"/>
    <w:basedOn w:val="1"/>
    <w:next w:val="3"/>
    <w:qFormat/>
    <w:uiPriority w:val="0"/>
    <w:pPr>
      <w:adjustRightInd w:val="0"/>
      <w:ind w:firstLine="560"/>
      <w:textAlignment w:val="baseline"/>
    </w:pPr>
    <w:rPr>
      <w:kern w:val="0"/>
      <w:sz w:val="28"/>
      <w:szCs w:val="20"/>
    </w:rPr>
  </w:style>
  <w:style w:type="paragraph" w:customStyle="1" w:styleId="3">
    <w:name w:val="样式3"/>
    <w:basedOn w:val="1"/>
    <w:next w:val="1"/>
    <w:qFormat/>
    <w:uiPriority w:val="0"/>
    <w:pPr>
      <w:tabs>
        <w:tab w:val="left" w:pos="720"/>
      </w:tabs>
      <w:adjustRightInd w:val="0"/>
      <w:snapToGrid w:val="0"/>
      <w:spacing w:line="360" w:lineRule="auto"/>
      <w:ind w:firstLine="420"/>
    </w:pPr>
    <w:rPr>
      <w:rFonts w:ascii="楷体_GB2312" w:hAnsi="新宋体" w:eastAsia="楷体_GB2312"/>
      <w:sz w:val="24"/>
      <w:szCs w:val="20"/>
    </w:rPr>
  </w:style>
  <w:style w:type="paragraph" w:styleId="4">
    <w:name w:val="Body Text"/>
    <w:basedOn w:val="1"/>
    <w:qFormat/>
    <w:uiPriority w:val="0"/>
    <w:rPr>
      <w:rFonts w:ascii="仿宋_GB2312" w:eastAsia="仿宋_GB2312"/>
      <w:sz w:val="32"/>
    </w:rPr>
  </w:style>
  <w:style w:type="paragraph" w:styleId="5">
    <w:name w:val="Body Text Indent"/>
    <w:basedOn w:val="1"/>
    <w:qFormat/>
    <w:uiPriority w:val="0"/>
    <w:pPr>
      <w:spacing w:after="120" w:afterLines="0" w:afterAutospacing="0"/>
      <w:ind w:left="420" w:leftChars="200"/>
    </w:pPr>
  </w:style>
  <w:style w:type="paragraph" w:styleId="6">
    <w:name w:val="footer"/>
    <w:basedOn w:val="1"/>
    <w:qFormat/>
    <w:uiPriority w:val="0"/>
    <w:pPr>
      <w:tabs>
        <w:tab w:val="center" w:pos="4153"/>
        <w:tab w:val="right" w:pos="8306"/>
      </w:tabs>
      <w:snapToGrid w:val="0"/>
      <w:jc w:val="left"/>
    </w:pPr>
    <w:rPr>
      <w:sz w:val="18"/>
    </w:rPr>
  </w:style>
  <w:style w:type="paragraph" w:styleId="7">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8">
    <w:name w:val="Normal (Web)"/>
    <w:basedOn w:val="1"/>
    <w:qFormat/>
    <w:uiPriority w:val="0"/>
    <w:pPr>
      <w:spacing w:before="0" w:beforeAutospacing="1" w:after="0" w:afterAutospacing="1"/>
      <w:ind w:left="0" w:right="0"/>
      <w:jc w:val="left"/>
    </w:pPr>
    <w:rPr>
      <w:kern w:val="0"/>
      <w:sz w:val="24"/>
      <w:lang w:val="en-US" w:eastAsia="zh-CN" w:bidi="ar"/>
    </w:rPr>
  </w:style>
  <w:style w:type="paragraph" w:styleId="9">
    <w:name w:val="Body Text First Indent 2"/>
    <w:basedOn w:val="5"/>
    <w:qFormat/>
    <w:uiPriority w:val="0"/>
    <w:pPr>
      <w:ind w:firstLine="420" w:firstLineChars="200"/>
    </w:pPr>
  </w:style>
  <w:style w:type="character" w:styleId="12">
    <w:name w:val="Strong"/>
    <w:basedOn w:val="11"/>
    <w:qFormat/>
    <w:uiPriority w:val="0"/>
    <w:rPr>
      <w:b/>
    </w:rPr>
  </w:style>
  <w:style w:type="paragraph" w:customStyle="1" w:styleId="13">
    <w:name w:val="Body Text First Indent 2"/>
    <w:basedOn w:val="14"/>
    <w:next w:val="1"/>
    <w:qFormat/>
    <w:uiPriority w:val="0"/>
    <w:pPr>
      <w:ind w:firstLine="200" w:firstLineChars="200"/>
    </w:pPr>
  </w:style>
  <w:style w:type="paragraph" w:customStyle="1" w:styleId="14">
    <w:name w:val="Body Text Indent"/>
    <w:basedOn w:val="1"/>
    <w:next w:val="1"/>
    <w:qFormat/>
    <w:uiPriority w:val="0"/>
    <w:pPr>
      <w:ind w:left="200" w:leftChars="200"/>
    </w:pPr>
  </w:style>
  <w:style w:type="paragraph" w:customStyle="1" w:styleId="15">
    <w:name w:val="Plain Text"/>
    <w:basedOn w:val="1"/>
    <w:qFormat/>
    <w:uiPriority w:val="0"/>
    <w:rPr>
      <w:rFonts w:ascii="宋体" w:hAnsi="Courier New"/>
    </w:rPr>
  </w:style>
  <w:style w:type="paragraph" w:customStyle="1" w:styleId="16">
    <w:name w:val="Normal (Web)"/>
    <w:basedOn w:val="1"/>
    <w:qFormat/>
    <w:uiPriority w:val="0"/>
    <w:pPr>
      <w:spacing w:before="100" w:beforeLines="0" w:beforeAutospacing="1" w:after="100" w:afterLines="0" w:afterAutospacing="1"/>
      <w:jc w:val="left"/>
    </w:pPr>
    <w:rPr>
      <w:rFonts w:ascii="Calibri" w:hAnsi="Calibri" w:eastAsia="宋体" w:cs="Times New Roman"/>
      <w:kern w:val="0"/>
      <w:sz w:val="24"/>
    </w:rPr>
  </w:style>
  <w:style w:type="paragraph" w:customStyle="1" w:styleId="17">
    <w:name w:val="Body Text First Indent 21"/>
    <w:basedOn w:val="18"/>
    <w:qFormat/>
    <w:uiPriority w:val="0"/>
    <w:pPr>
      <w:ind w:firstLine="420"/>
    </w:pPr>
  </w:style>
  <w:style w:type="paragraph" w:customStyle="1" w:styleId="18">
    <w:name w:val="Body Text Indent1"/>
    <w:basedOn w:val="1"/>
    <w:qFormat/>
    <w:uiPriority w:val="0"/>
    <w:pPr>
      <w:spacing w:line="360" w:lineRule="auto"/>
      <w:ind w:firstLine="200" w:firstLineChars="200"/>
      <w:textAlignment w:val="baseline"/>
    </w:pPr>
    <w:rPr>
      <w:rFonts w:ascii="Times New Roman" w:hAnsi="Times New Roman" w:eastAsia="宋体" w:cs="Times New Roman"/>
      <w:szCs w:val="21"/>
    </w:rPr>
  </w:style>
  <w:style w:type="character" w:customStyle="1" w:styleId="19">
    <w:name w:val="font01"/>
    <w:basedOn w:val="11"/>
    <w:qFormat/>
    <w:uiPriority w:val="0"/>
    <w:rPr>
      <w:rFonts w:hint="eastAsia" w:ascii="宋体" w:hAnsi="宋体" w:eastAsia="宋体" w:cs="宋体"/>
      <w:color w:val="000000"/>
      <w:sz w:val="24"/>
      <w:szCs w:val="24"/>
      <w:u w:val="none"/>
    </w:rPr>
  </w:style>
  <w:style w:type="character" w:customStyle="1" w:styleId="20">
    <w:name w:val="font21"/>
    <w:basedOn w:val="11"/>
    <w:qFormat/>
    <w:uiPriority w:val="0"/>
    <w:rPr>
      <w:rFonts w:hint="eastAsia" w:ascii="宋体" w:hAnsi="宋体" w:eastAsia="宋体" w:cs="宋体"/>
      <w:b/>
      <w:bCs/>
      <w:color w:val="000000"/>
      <w:sz w:val="36"/>
      <w:szCs w:val="36"/>
      <w:u w:val="none"/>
    </w:rPr>
  </w:style>
  <w:style w:type="character" w:customStyle="1" w:styleId="21">
    <w:name w:val="NormalCharacter"/>
    <w:semiHidden/>
    <w:qFormat/>
    <w:uiPriority w:val="0"/>
    <w:rPr>
      <w:rFonts w:ascii="Calibri" w:hAnsi="Calibri" w:eastAsia="宋体" w:cs="黑体"/>
      <w:kern w:val="2"/>
      <w:sz w:val="21"/>
      <w:szCs w:val="24"/>
      <w:lang w:val="en-US" w:eastAsia="zh-CN"/>
    </w:rPr>
  </w:style>
  <w:style w:type="character" w:customStyle="1" w:styleId="22">
    <w:name w:val="font31"/>
    <w:basedOn w:val="11"/>
    <w:qFormat/>
    <w:uiPriority w:val="0"/>
    <w:rPr>
      <w:rFonts w:hint="eastAsia" w:ascii="宋体" w:hAnsi="宋体" w:eastAsia="宋体" w:cs="宋体"/>
      <w:color w:val="000000"/>
      <w:sz w:val="24"/>
      <w:szCs w:val="24"/>
      <w:u w:val="none"/>
    </w:rPr>
  </w:style>
  <w:style w:type="character" w:customStyle="1" w:styleId="23">
    <w:name w:val="font11"/>
    <w:basedOn w:val="11"/>
    <w:qFormat/>
    <w:uiPriority w:val="0"/>
    <w:rPr>
      <w:rFonts w:hint="eastAsia" w:ascii="宋体" w:hAnsi="宋体" w:eastAsia="宋体" w:cs="宋体"/>
      <w:b/>
      <w:bCs/>
      <w:color w:val="000000"/>
      <w:sz w:val="40"/>
      <w:szCs w:val="40"/>
      <w:u w:val="none"/>
    </w:rPr>
  </w:style>
  <w:style w:type="character" w:customStyle="1" w:styleId="24">
    <w:name w:val="font41"/>
    <w:basedOn w:val="11"/>
    <w:qFormat/>
    <w:uiPriority w:val="0"/>
    <w:rPr>
      <w:rFonts w:hint="eastAsia" w:ascii="宋体" w:hAnsi="宋体" w:eastAsia="宋体" w:cs="宋体"/>
      <w:color w:val="000000"/>
      <w:sz w:val="24"/>
      <w:szCs w:val="24"/>
      <w:u w:val="none"/>
    </w:rPr>
  </w:style>
  <w:style w:type="character" w:customStyle="1" w:styleId="25">
    <w:name w:val="font51"/>
    <w:basedOn w:val="11"/>
    <w:qFormat/>
    <w:uiPriority w:val="0"/>
    <w:rPr>
      <w:rFonts w:hint="eastAsia" w:ascii="宋体" w:hAnsi="宋体" w:eastAsia="宋体" w:cs="宋体"/>
      <w:color w:val="000000"/>
      <w:sz w:val="24"/>
      <w:szCs w:val="24"/>
      <w:u w:val="none"/>
    </w:rPr>
  </w:style>
  <w:style w:type="paragraph" w:customStyle="1" w:styleId="26">
    <w:name w:val="Default"/>
    <w:qFormat/>
    <w:uiPriority w:val="0"/>
    <w:pPr>
      <w:widowControl w:val="0"/>
      <w:autoSpaceDE w:val="0"/>
      <w:autoSpaceDN w:val="0"/>
      <w:adjustRightInd w:val="0"/>
    </w:pPr>
    <w:rPr>
      <w:rFonts w:hint="eastAsia" w:ascii="方正仿宋_GBK" w:hAnsi="方正仿宋_GBK" w:eastAsia="方正仿宋_GBK" w:cs="Times New Roman"/>
      <w:color w:val="000000"/>
      <w:sz w:val="24"/>
      <w:szCs w:val="22"/>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theme" Target="theme/theme1.xml"/><Relationship Id="rId7" Type="http://schemas.openxmlformats.org/officeDocument/2006/relationships/footer" Target="footer5.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Administrator\Application%20Data\Kingsoft\wps\addons\pool\win-i386\knewfileruby_1.0.0.11\template\wps\0.doc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0.docx</Template>
  <Pages>32</Pages>
  <Words>8603</Words>
  <Characters>10677</Characters>
  <Lines>0</Lines>
  <Paragraphs>0</Paragraphs>
  <TotalTime>3</TotalTime>
  <ScaleCrop>false</ScaleCrop>
  <LinksUpToDate>false</LinksUpToDate>
  <CharactersWithSpaces>11138</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2007-12-31T18:09:00Z</dcterms:created>
  <dc:creator>Administrator</dc:creator>
  <cp:lastModifiedBy>13323011735</cp:lastModifiedBy>
  <cp:lastPrinted>2023-01-08T09:11:00Z</cp:lastPrinted>
  <dcterms:modified xsi:type="dcterms:W3CDTF">2025-01-26T08:15:53Z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ICV">
    <vt:lpwstr>39F5154D775A454BABD2CFC93F05951B_13</vt:lpwstr>
  </property>
  <property fmtid="{D5CDD505-2E9C-101B-9397-08002B2CF9AE}" pid="4" name="KSOTemplateDocerSaveRecord">
    <vt:lpwstr>eyJoZGlkIjoiZTMzZmIyODEyYmQwZGE2MGU2MDg2NjQ2ZDRlZTY2ODciLCJ1c2VySWQiOiIxNTUwMjQwMDk2In0=</vt:lpwstr>
  </property>
</Properties>
</file>