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48A9E8">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方正小标宋简体" w:hAnsi="方正小标宋简体" w:eastAsia="方正小标宋简体" w:cs="方正小标宋简体"/>
          <w:b w:val="0"/>
          <w:bCs w:val="0"/>
          <w:sz w:val="96"/>
          <w:szCs w:val="96"/>
          <w:lang w:val="en-US" w:eastAsia="zh-CN"/>
        </w:rPr>
      </w:pPr>
    </w:p>
    <w:p w14:paraId="778874F1">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方正小标宋简体" w:hAnsi="方正小标宋简体" w:eastAsia="方正小标宋简体" w:cs="方正小标宋简体"/>
          <w:b w:val="0"/>
          <w:bCs w:val="0"/>
          <w:sz w:val="84"/>
          <w:szCs w:val="84"/>
          <w:lang w:val="en-US" w:eastAsia="zh-CN"/>
        </w:rPr>
      </w:pPr>
      <w:r>
        <w:rPr>
          <w:rFonts w:hint="eastAsia" w:ascii="方正小标宋简体" w:hAnsi="方正小标宋简体" w:eastAsia="方正小标宋简体" w:cs="方正小标宋简体"/>
          <w:b w:val="0"/>
          <w:bCs w:val="0"/>
          <w:sz w:val="84"/>
          <w:szCs w:val="84"/>
          <w:lang w:val="en-US" w:eastAsia="zh-CN"/>
        </w:rPr>
        <w:t>行政执法事项</w:t>
      </w:r>
    </w:p>
    <w:p w14:paraId="271C819D">
      <w:pPr>
        <w:keepNext w:val="0"/>
        <w:keepLines w:val="0"/>
        <w:pageBreakBefore w:val="0"/>
        <w:widowControl w:val="0"/>
        <w:kinsoku/>
        <w:wordWrap/>
        <w:overflowPunct/>
        <w:topLinePunct w:val="0"/>
        <w:autoSpaceDE/>
        <w:autoSpaceDN/>
        <w:bidi w:val="0"/>
        <w:adjustRightInd/>
        <w:snapToGrid/>
        <w:spacing w:line="240" w:lineRule="auto"/>
        <w:ind w:firstLine="4400" w:firstLineChars="1000"/>
        <w:jc w:val="both"/>
        <w:textAlignment w:val="auto"/>
        <w:rPr>
          <w:rFonts w:hint="eastAsia" w:ascii="黑体" w:hAnsi="黑体" w:eastAsia="黑体" w:cs="黑体"/>
          <w:b w:val="0"/>
          <w:bCs w:val="0"/>
          <w:sz w:val="44"/>
          <w:szCs w:val="44"/>
          <w:lang w:eastAsia="zh-CN"/>
        </w:rPr>
      </w:pPr>
    </w:p>
    <w:p w14:paraId="253A6A72">
      <w:pPr>
        <w:keepNext w:val="0"/>
        <w:keepLines w:val="0"/>
        <w:pageBreakBefore w:val="0"/>
        <w:widowControl w:val="0"/>
        <w:kinsoku/>
        <w:wordWrap/>
        <w:overflowPunct/>
        <w:topLinePunct w:val="0"/>
        <w:autoSpaceDE/>
        <w:autoSpaceDN/>
        <w:bidi w:val="0"/>
        <w:adjustRightInd/>
        <w:snapToGrid/>
        <w:spacing w:line="240" w:lineRule="auto"/>
        <w:ind w:firstLine="5060" w:firstLineChars="1400"/>
        <w:jc w:val="both"/>
        <w:textAlignment w:val="auto"/>
        <w:rPr>
          <w:rFonts w:hint="default" w:asciiTheme="majorEastAsia" w:hAnsiTheme="majorEastAsia" w:eastAsiaTheme="majorEastAsia" w:cstheme="majorEastAsia"/>
          <w:b/>
          <w:bCs/>
          <w:sz w:val="36"/>
          <w:szCs w:val="36"/>
          <w:u w:val="single"/>
          <w:lang w:val="en-US" w:eastAsia="zh-CN"/>
        </w:rPr>
      </w:pPr>
      <w:r>
        <w:rPr>
          <w:rFonts w:hint="eastAsia" w:asciiTheme="majorEastAsia" w:hAnsiTheme="majorEastAsia" w:eastAsiaTheme="majorEastAsia" w:cstheme="majorEastAsia"/>
          <w:b/>
          <w:bCs/>
          <w:sz w:val="36"/>
          <w:szCs w:val="36"/>
          <w:lang w:eastAsia="zh-CN"/>
        </w:rPr>
        <w:t>单</w:t>
      </w:r>
      <w:r>
        <w:rPr>
          <w:rFonts w:hint="eastAsia" w:asciiTheme="majorEastAsia" w:hAnsiTheme="majorEastAsia" w:eastAsiaTheme="majorEastAsia" w:cstheme="majorEastAsia"/>
          <w:b/>
          <w:bCs/>
          <w:sz w:val="36"/>
          <w:szCs w:val="36"/>
          <w:lang w:val="en-US" w:eastAsia="zh-CN"/>
        </w:rPr>
        <w:t xml:space="preserve">  </w:t>
      </w:r>
      <w:r>
        <w:rPr>
          <w:rFonts w:hint="eastAsia" w:asciiTheme="majorEastAsia" w:hAnsiTheme="majorEastAsia" w:eastAsiaTheme="majorEastAsia" w:cstheme="majorEastAsia"/>
          <w:b/>
          <w:bCs/>
          <w:sz w:val="36"/>
          <w:szCs w:val="36"/>
          <w:lang w:eastAsia="zh-CN"/>
        </w:rPr>
        <w:t>位：</w:t>
      </w:r>
      <w:r>
        <w:rPr>
          <w:rFonts w:hint="eastAsia" w:asciiTheme="majorEastAsia" w:hAnsiTheme="majorEastAsia" w:eastAsiaTheme="majorEastAsia" w:cstheme="majorEastAsia"/>
          <w:b/>
          <w:bCs/>
          <w:sz w:val="36"/>
          <w:szCs w:val="36"/>
          <w:u w:val="single"/>
          <w:lang w:val="en-US" w:eastAsia="zh-CN"/>
        </w:rPr>
        <w:t xml:space="preserve">   藁城区司法局   </w:t>
      </w:r>
    </w:p>
    <w:p w14:paraId="0E9D20AD">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heme="majorEastAsia" w:hAnsiTheme="majorEastAsia" w:eastAsiaTheme="majorEastAsia" w:cstheme="majorEastAsia"/>
          <w:b/>
          <w:bCs/>
          <w:sz w:val="36"/>
          <w:szCs w:val="36"/>
          <w:u w:val="single"/>
          <w:lang w:val="en-US" w:eastAsia="zh-CN"/>
        </w:rPr>
      </w:pPr>
      <w:r>
        <w:rPr>
          <w:rFonts w:hint="eastAsia" w:asciiTheme="majorEastAsia" w:hAnsiTheme="majorEastAsia" w:eastAsiaTheme="majorEastAsia" w:cstheme="majorEastAsia"/>
          <w:b/>
          <w:bCs/>
          <w:sz w:val="36"/>
          <w:szCs w:val="36"/>
          <w:u w:val="none"/>
          <w:lang w:val="en-US" w:eastAsia="zh-CN"/>
        </w:rPr>
        <w:t>时  间：</w:t>
      </w:r>
      <w:r>
        <w:rPr>
          <w:rFonts w:hint="eastAsia" w:asciiTheme="majorEastAsia" w:hAnsiTheme="majorEastAsia" w:eastAsiaTheme="majorEastAsia" w:cstheme="majorEastAsia"/>
          <w:b/>
          <w:bCs/>
          <w:sz w:val="36"/>
          <w:szCs w:val="36"/>
          <w:u w:val="single"/>
          <w:lang w:val="en-US" w:eastAsia="zh-CN"/>
        </w:rPr>
        <w:t xml:space="preserve"> 2024年12月16日 </w:t>
      </w:r>
    </w:p>
    <w:p w14:paraId="19916245">
      <w:pPr>
        <w:keepNext w:val="0"/>
        <w:keepLines w:val="0"/>
        <w:pageBreakBefore w:val="0"/>
        <w:widowControl w:val="0"/>
        <w:kinsoku/>
        <w:wordWrap/>
        <w:overflowPunct/>
        <w:topLinePunct w:val="0"/>
        <w:autoSpaceDE/>
        <w:autoSpaceDN/>
        <w:bidi w:val="0"/>
        <w:adjustRightInd/>
        <w:snapToGrid/>
        <w:spacing w:line="240" w:lineRule="auto"/>
        <w:ind w:firstLine="4417" w:firstLineChars="1000"/>
        <w:jc w:val="both"/>
        <w:textAlignment w:val="auto"/>
        <w:rPr>
          <w:rFonts w:hint="eastAsia" w:ascii="仿宋_GB2312" w:hAnsi="仿宋_GB2312" w:eastAsia="仿宋_GB2312" w:cs="仿宋_GB2312"/>
          <w:b/>
          <w:bCs/>
          <w:sz w:val="44"/>
          <w:szCs w:val="44"/>
          <w:u w:val="single"/>
          <w:lang w:val="en-US" w:eastAsia="zh-CN"/>
        </w:rPr>
        <w:sectPr>
          <w:pgSz w:w="16838" w:h="11906" w:orient="landscape"/>
          <w:pgMar w:top="1440" w:right="1080" w:bottom="1440" w:left="1080" w:header="851" w:footer="992" w:gutter="0"/>
          <w:cols w:space="720" w:num="1"/>
          <w:docGrid w:type="lines" w:linePitch="312" w:charSpace="0"/>
        </w:sectPr>
      </w:pPr>
    </w:p>
    <w:p w14:paraId="49A2B0EE">
      <w:pPr>
        <w:keepNext w:val="0"/>
        <w:keepLines w:val="0"/>
        <w:pageBreakBefore w:val="0"/>
        <w:kinsoku/>
        <w:wordWrap/>
        <w:overflowPunct/>
        <w:topLinePunct w:val="0"/>
        <w:autoSpaceDE/>
        <w:autoSpaceDN/>
        <w:bidi w:val="0"/>
        <w:adjustRightInd/>
        <w:snapToGrid/>
        <w:spacing w:before="0" w:beforeLines="0" w:after="0" w:afterLines="0" w:line="600" w:lineRule="exact"/>
        <w:ind w:left="0" w:leftChars="0" w:right="0" w:rightChars="0" w:firstLine="0" w:firstLineChars="0"/>
        <w:jc w:val="center"/>
        <w:textAlignment w:val="auto"/>
        <w:rPr>
          <w:rFonts w:hint="eastAsia" w:ascii="方正小标宋简体" w:hAnsi="方正小标宋简体" w:eastAsia="方正小标宋简体" w:cs="Arial"/>
          <w:b/>
          <w:bCs/>
          <w:sz w:val="36"/>
          <w:lang w:val="en-US" w:eastAsia="zh-CN"/>
        </w:rPr>
      </w:pPr>
      <w:r>
        <w:rPr>
          <w:rFonts w:hint="eastAsia" w:ascii="方正小标宋简体" w:hAnsi="方正小标宋简体" w:eastAsia="方正小标宋简体" w:cs="Arial"/>
          <w:b/>
          <w:bCs/>
          <w:sz w:val="36"/>
          <w:lang w:val="en-US" w:eastAsia="zh-CN"/>
        </w:rPr>
        <w:t>藁城区司法局行政执法事项总表</w:t>
      </w:r>
    </w:p>
    <w:p w14:paraId="4906A988">
      <w:pPr>
        <w:keepNext w:val="0"/>
        <w:keepLines w:val="0"/>
        <w:pageBreakBefore w:val="0"/>
        <w:kinsoku/>
        <w:wordWrap/>
        <w:overflowPunct/>
        <w:topLinePunct w:val="0"/>
        <w:autoSpaceDE/>
        <w:autoSpaceDN/>
        <w:bidi w:val="0"/>
        <w:adjustRightInd/>
        <w:snapToGrid/>
        <w:spacing w:before="0" w:beforeLines="0" w:after="0" w:afterLines="0" w:line="600" w:lineRule="exact"/>
        <w:ind w:left="0" w:leftChars="0" w:right="0" w:rightChars="0" w:firstLine="0" w:firstLineChars="0"/>
        <w:jc w:val="center"/>
        <w:textAlignment w:val="auto"/>
        <w:rPr>
          <w:rFonts w:hint="eastAsia" w:ascii="楷体_GB2312" w:hAnsi="楷体_GB2312" w:eastAsia="楷体_GB2312"/>
          <w:sz w:val="36"/>
          <w:lang w:val="en-US" w:eastAsia="zh-CN"/>
        </w:rPr>
      </w:pPr>
      <w:r>
        <w:rPr>
          <w:rFonts w:hint="eastAsia" w:ascii="楷体_GB2312" w:hAnsi="楷体_GB2312" w:eastAsia="楷体_GB2312"/>
          <w:lang w:val="en-US" w:eastAsia="zh-CN"/>
        </w:rPr>
        <w:t>（共</w:t>
      </w:r>
      <w:r>
        <w:rPr>
          <w:rFonts w:hint="eastAsia" w:ascii="楷体_GB2312" w:hAnsi="楷体_GB2312" w:eastAsia="楷体_GB2312"/>
          <w:color w:val="auto"/>
          <w:lang w:val="en-US" w:eastAsia="zh-CN"/>
        </w:rPr>
        <w:t>2</w:t>
      </w:r>
      <w:r>
        <w:rPr>
          <w:rFonts w:hint="eastAsia" w:ascii="楷体_GB2312" w:hAnsi="楷体_GB2312" w:eastAsia="楷体_GB2312"/>
          <w:lang w:val="en-US" w:eastAsia="zh-CN"/>
        </w:rPr>
        <w:t>类、10项）</w:t>
      </w:r>
    </w:p>
    <w:p w14:paraId="753E6370">
      <w:pPr>
        <w:keepNext w:val="0"/>
        <w:keepLines w:val="0"/>
        <w:pageBreakBefore w:val="0"/>
        <w:kinsoku/>
        <w:wordWrap/>
        <w:overflowPunct/>
        <w:topLinePunct w:val="0"/>
        <w:autoSpaceDE/>
        <w:autoSpaceDN/>
        <w:bidi w:val="0"/>
        <w:adjustRightInd/>
        <w:snapToGrid/>
        <w:spacing w:before="0" w:beforeLines="0" w:after="0" w:afterLines="0" w:line="600" w:lineRule="exact"/>
        <w:ind w:right="0" w:rightChars="0"/>
        <w:textAlignment w:val="auto"/>
        <w:rPr>
          <w:rFonts w:hint="eastAsia" w:ascii="仿宋_GB2312"/>
          <w:lang w:val="en-US" w:eastAsia="zh-CN"/>
        </w:rPr>
      </w:pPr>
      <w:r>
        <w:rPr>
          <w:rFonts w:hint="eastAsia" w:ascii="楷体_GB2312" w:hAnsi="楷体_GB2312" w:eastAsia="楷体_GB2312"/>
          <w:sz w:val="28"/>
          <w:lang w:val="en-US" w:eastAsia="zh-CN"/>
        </w:rPr>
        <w:t>单位：</w:t>
      </w:r>
      <w:r>
        <w:rPr>
          <w:rFonts w:hint="eastAsia" w:ascii="楷体_GB2312" w:hAnsi="楷体_GB2312" w:eastAsia="楷体_GB2312" w:cs="Arial"/>
          <w:sz w:val="28"/>
          <w:lang w:val="en-US" w:eastAsia="zh-CN"/>
        </w:rPr>
        <w:t>藁城区司法局（公章）</w:t>
      </w:r>
    </w:p>
    <w:tbl>
      <w:tblPr>
        <w:tblStyle w:val="2"/>
        <w:tblW w:w="1376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52"/>
        <w:gridCol w:w="3200"/>
        <w:gridCol w:w="6563"/>
        <w:gridCol w:w="2651"/>
      </w:tblGrid>
      <w:tr w14:paraId="7E96CD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noWrap w:val="0"/>
            <w:vAlign w:val="center"/>
          </w:tcPr>
          <w:p w14:paraId="46C9B929">
            <w:pPr>
              <w:autoSpaceDE w:val="0"/>
              <w:autoSpaceDN w:val="0"/>
              <w:adjustRightInd w:val="0"/>
              <w:ind w:left="0" w:leftChars="0" w:right="0" w:rightChars="0" w:firstLine="0" w:firstLineChars="0"/>
              <w:jc w:val="center"/>
              <w:rPr>
                <w:rFonts w:hint="eastAsia" w:ascii="黑体" w:hAnsi="黑体" w:eastAsia="黑体"/>
                <w:sz w:val="32"/>
                <w:vertAlign w:val="baseline"/>
                <w:lang w:val="en-US" w:eastAsia="zh-CN"/>
              </w:rPr>
            </w:pPr>
            <w:r>
              <w:rPr>
                <w:rFonts w:hint="eastAsia" w:ascii="黑体" w:hAnsi="黑体" w:eastAsia="黑体"/>
                <w:color w:val="000000"/>
                <w:sz w:val="32"/>
                <w:szCs w:val="28"/>
                <w:lang w:val="zh-CN"/>
              </w:rPr>
              <w:t>总序号</w:t>
            </w:r>
          </w:p>
        </w:tc>
        <w:tc>
          <w:tcPr>
            <w:tcW w:w="3200" w:type="dxa"/>
            <w:noWrap w:val="0"/>
            <w:vAlign w:val="center"/>
          </w:tcPr>
          <w:p w14:paraId="6A86119F">
            <w:pPr>
              <w:autoSpaceDE w:val="0"/>
              <w:autoSpaceDN w:val="0"/>
              <w:adjustRightInd w:val="0"/>
              <w:ind w:left="0" w:leftChars="0" w:right="0" w:rightChars="0" w:firstLine="0" w:firstLineChars="0"/>
              <w:jc w:val="center"/>
              <w:rPr>
                <w:rFonts w:hint="eastAsia" w:ascii="黑体" w:hAnsi="黑体" w:eastAsia="黑体"/>
                <w:sz w:val="32"/>
                <w:vertAlign w:val="baseline"/>
                <w:lang w:val="en-US" w:eastAsia="zh-CN"/>
              </w:rPr>
            </w:pPr>
            <w:r>
              <w:rPr>
                <w:rFonts w:hint="eastAsia" w:ascii="黑体" w:hAnsi="黑体" w:eastAsia="黑体"/>
                <w:color w:val="000000"/>
                <w:sz w:val="32"/>
                <w:szCs w:val="28"/>
                <w:lang w:val="zh-CN"/>
              </w:rPr>
              <w:t>类别及序号</w:t>
            </w:r>
          </w:p>
        </w:tc>
        <w:tc>
          <w:tcPr>
            <w:tcW w:w="6563" w:type="dxa"/>
            <w:noWrap w:val="0"/>
            <w:vAlign w:val="center"/>
          </w:tcPr>
          <w:p w14:paraId="6EBCEF6F">
            <w:pPr>
              <w:autoSpaceDE w:val="0"/>
              <w:autoSpaceDN w:val="0"/>
              <w:adjustRightInd w:val="0"/>
              <w:ind w:left="0" w:leftChars="0" w:right="0" w:rightChars="0" w:firstLine="0" w:firstLineChars="0"/>
              <w:jc w:val="center"/>
              <w:rPr>
                <w:rFonts w:hint="eastAsia" w:ascii="黑体" w:hAnsi="黑体" w:eastAsia="黑体"/>
                <w:sz w:val="32"/>
                <w:vertAlign w:val="baseline"/>
                <w:lang w:val="en-US" w:eastAsia="zh-CN"/>
              </w:rPr>
            </w:pPr>
            <w:r>
              <w:rPr>
                <w:rFonts w:hint="eastAsia" w:ascii="黑体" w:hAnsi="黑体" w:eastAsia="黑体"/>
                <w:color w:val="000000"/>
                <w:sz w:val="32"/>
                <w:szCs w:val="28"/>
                <w:lang w:val="zh-CN"/>
              </w:rPr>
              <w:t>项目名称及数量</w:t>
            </w:r>
          </w:p>
        </w:tc>
        <w:tc>
          <w:tcPr>
            <w:tcW w:w="2651" w:type="dxa"/>
            <w:noWrap w:val="0"/>
            <w:vAlign w:val="center"/>
          </w:tcPr>
          <w:p w14:paraId="3859767F">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left="0" w:leftChars="0" w:right="0" w:rightChars="0" w:firstLine="0" w:firstLineChars="0"/>
              <w:jc w:val="center"/>
              <w:textAlignment w:val="auto"/>
              <w:rPr>
                <w:rFonts w:hint="eastAsia" w:ascii="黑体" w:hAnsi="黑体" w:eastAsia="黑体"/>
                <w:sz w:val="32"/>
                <w:vertAlign w:val="baseline"/>
                <w:lang w:val="en-US" w:eastAsia="zh-CN"/>
              </w:rPr>
            </w:pPr>
            <w:r>
              <w:rPr>
                <w:rFonts w:hint="eastAsia" w:ascii="黑体" w:hAnsi="黑体" w:eastAsia="黑体"/>
                <w:sz w:val="32"/>
                <w:vertAlign w:val="baseline"/>
                <w:lang w:val="en-US" w:eastAsia="zh-CN"/>
              </w:rPr>
              <w:t>备注</w:t>
            </w:r>
          </w:p>
        </w:tc>
      </w:tr>
      <w:tr w14:paraId="459F41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noWrap w:val="0"/>
            <w:vAlign w:val="center"/>
          </w:tcPr>
          <w:p w14:paraId="20480CF7">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c>
          <w:tcPr>
            <w:tcW w:w="3200" w:type="dxa"/>
            <w:noWrap w:val="0"/>
            <w:vAlign w:val="center"/>
          </w:tcPr>
          <w:p w14:paraId="48A17ADF">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宋体" w:hAnsi="宋体" w:eastAsia="宋体" w:cs="宋体"/>
                <w:vertAlign w:val="baseline"/>
                <w:lang w:val="en-US" w:eastAsia="zh-CN"/>
              </w:rPr>
            </w:pPr>
            <w:r>
              <w:rPr>
                <w:rFonts w:hint="eastAsia" w:ascii="宋体" w:hAnsi="宋体" w:eastAsia="宋体" w:cs="宋体"/>
                <w:vertAlign w:val="baseline"/>
                <w:lang w:val="en-US" w:eastAsia="zh-CN"/>
              </w:rPr>
              <w:t>一、行政检查</w:t>
            </w:r>
          </w:p>
        </w:tc>
        <w:tc>
          <w:tcPr>
            <w:tcW w:w="6563" w:type="dxa"/>
            <w:noWrap w:val="0"/>
            <w:vAlign w:val="center"/>
          </w:tcPr>
          <w:p w14:paraId="7FBB0067">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宋体" w:hAnsi="宋体" w:eastAsia="宋体" w:cs="宋体"/>
                <w:vertAlign w:val="baseline"/>
                <w:lang w:val="en-US" w:eastAsia="zh-CN"/>
              </w:rPr>
            </w:pPr>
            <w:r>
              <w:rPr>
                <w:rFonts w:hint="eastAsia" w:ascii="宋体" w:hAnsi="宋体" w:eastAsia="宋体" w:cs="宋体"/>
                <w:vertAlign w:val="baseline"/>
                <w:lang w:val="en-US" w:eastAsia="zh-CN"/>
              </w:rPr>
              <w:t>共4项</w:t>
            </w:r>
          </w:p>
        </w:tc>
        <w:tc>
          <w:tcPr>
            <w:tcW w:w="2651" w:type="dxa"/>
            <w:noWrap w:val="0"/>
            <w:vAlign w:val="center"/>
          </w:tcPr>
          <w:p w14:paraId="02867F0D">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r w14:paraId="1B09BF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noWrap w:val="0"/>
            <w:vAlign w:val="center"/>
          </w:tcPr>
          <w:p w14:paraId="3E079DE9">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vertAlign w:val="baseline"/>
                <w:lang w:val="en-US" w:eastAsia="zh-CN"/>
              </w:rPr>
            </w:pPr>
            <w:r>
              <w:rPr>
                <w:rFonts w:hint="eastAsia" w:ascii="仿宋_GB2312"/>
                <w:vertAlign w:val="baseline"/>
                <w:lang w:val="en-US" w:eastAsia="zh-CN"/>
              </w:rPr>
              <w:t>1</w:t>
            </w:r>
          </w:p>
        </w:tc>
        <w:tc>
          <w:tcPr>
            <w:tcW w:w="3200" w:type="dxa"/>
            <w:noWrap w:val="0"/>
            <w:vAlign w:val="center"/>
          </w:tcPr>
          <w:p w14:paraId="4D3075DE">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宋体" w:hAnsi="宋体" w:eastAsia="宋体" w:cs="宋体"/>
                <w:vertAlign w:val="baseline"/>
                <w:lang w:val="en-US" w:eastAsia="zh-CN"/>
              </w:rPr>
            </w:pPr>
            <w:r>
              <w:rPr>
                <w:rFonts w:hint="eastAsia" w:ascii="宋体" w:hAnsi="宋体" w:eastAsia="宋体" w:cs="宋体"/>
                <w:vertAlign w:val="baseline"/>
                <w:lang w:val="en-US" w:eastAsia="zh-CN"/>
              </w:rPr>
              <w:t>1</w:t>
            </w:r>
          </w:p>
        </w:tc>
        <w:tc>
          <w:tcPr>
            <w:tcW w:w="6563" w:type="dxa"/>
            <w:noWrap w:val="0"/>
            <w:vAlign w:val="center"/>
          </w:tcPr>
          <w:p w14:paraId="21CD4C3C">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宋体" w:hAnsi="宋体" w:eastAsia="宋体" w:cs="宋体"/>
                <w:vertAlign w:val="baseline"/>
                <w:lang w:val="en-US" w:eastAsia="zh-CN"/>
              </w:rPr>
            </w:pPr>
            <w:r>
              <w:rPr>
                <w:rFonts w:hint="eastAsia" w:ascii="宋体" w:hAnsi="宋体" w:eastAsia="宋体" w:cs="宋体"/>
                <w:vertAlign w:val="baseline"/>
                <w:lang w:val="en-US" w:eastAsia="zh-CN"/>
              </w:rPr>
              <w:t>对律师事务所及其律师的行政检查</w:t>
            </w:r>
          </w:p>
        </w:tc>
        <w:tc>
          <w:tcPr>
            <w:tcW w:w="2651" w:type="dxa"/>
            <w:noWrap w:val="0"/>
            <w:vAlign w:val="center"/>
          </w:tcPr>
          <w:p w14:paraId="15AE39E4">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r w14:paraId="1761D2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noWrap w:val="0"/>
            <w:vAlign w:val="center"/>
          </w:tcPr>
          <w:p w14:paraId="69243843">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vertAlign w:val="baseline"/>
                <w:lang w:val="en-US" w:eastAsia="zh-CN"/>
              </w:rPr>
            </w:pPr>
            <w:r>
              <w:rPr>
                <w:rFonts w:hint="eastAsia" w:ascii="仿宋_GB2312"/>
                <w:vertAlign w:val="baseline"/>
                <w:lang w:val="en-US" w:eastAsia="zh-CN"/>
              </w:rPr>
              <w:t>2</w:t>
            </w:r>
          </w:p>
        </w:tc>
        <w:tc>
          <w:tcPr>
            <w:tcW w:w="3200" w:type="dxa"/>
            <w:noWrap w:val="0"/>
            <w:vAlign w:val="center"/>
          </w:tcPr>
          <w:p w14:paraId="7D4357D5">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宋体" w:hAnsi="宋体" w:eastAsia="宋体" w:cs="宋体"/>
                <w:vertAlign w:val="baseline"/>
                <w:lang w:val="en-US" w:eastAsia="zh-CN"/>
              </w:rPr>
            </w:pPr>
            <w:r>
              <w:rPr>
                <w:rFonts w:hint="eastAsia" w:ascii="宋体" w:hAnsi="宋体" w:eastAsia="宋体" w:cs="宋体"/>
                <w:vertAlign w:val="baseline"/>
                <w:lang w:val="en-US" w:eastAsia="zh-CN"/>
              </w:rPr>
              <w:t>2</w:t>
            </w:r>
          </w:p>
        </w:tc>
        <w:tc>
          <w:tcPr>
            <w:tcW w:w="6563" w:type="dxa"/>
            <w:noWrap w:val="0"/>
            <w:vAlign w:val="center"/>
          </w:tcPr>
          <w:p w14:paraId="051E8F62">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宋体" w:hAnsi="宋体" w:eastAsia="宋体" w:cs="宋体"/>
                <w:vertAlign w:val="baseline"/>
                <w:lang w:val="en-US" w:eastAsia="zh-CN"/>
              </w:rPr>
            </w:pPr>
            <w:r>
              <w:rPr>
                <w:rFonts w:hint="eastAsia" w:ascii="宋体" w:hAnsi="宋体" w:eastAsia="宋体" w:cs="宋体"/>
                <w:vertAlign w:val="baseline"/>
                <w:lang w:val="en-US" w:eastAsia="zh-CN"/>
              </w:rPr>
              <w:t>对公证机构及其公证员的行政检查</w:t>
            </w:r>
          </w:p>
        </w:tc>
        <w:tc>
          <w:tcPr>
            <w:tcW w:w="2651" w:type="dxa"/>
            <w:noWrap w:val="0"/>
            <w:vAlign w:val="center"/>
          </w:tcPr>
          <w:p w14:paraId="351C958F">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r w14:paraId="2189AB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noWrap w:val="0"/>
            <w:vAlign w:val="center"/>
          </w:tcPr>
          <w:p w14:paraId="6444B61E">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vertAlign w:val="baseline"/>
                <w:lang w:val="en-US" w:eastAsia="zh-CN"/>
              </w:rPr>
            </w:pPr>
            <w:r>
              <w:rPr>
                <w:rFonts w:hint="eastAsia" w:ascii="仿宋_GB2312"/>
                <w:vertAlign w:val="baseline"/>
                <w:lang w:val="en-US" w:eastAsia="zh-CN"/>
              </w:rPr>
              <w:t>3</w:t>
            </w:r>
          </w:p>
        </w:tc>
        <w:tc>
          <w:tcPr>
            <w:tcW w:w="3200" w:type="dxa"/>
            <w:noWrap w:val="0"/>
            <w:vAlign w:val="center"/>
          </w:tcPr>
          <w:p w14:paraId="439CF9F4">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宋体" w:hAnsi="宋体" w:eastAsia="宋体" w:cs="宋体"/>
                <w:vertAlign w:val="baseline"/>
                <w:lang w:val="en-US" w:eastAsia="zh-CN"/>
              </w:rPr>
            </w:pPr>
            <w:r>
              <w:rPr>
                <w:rFonts w:hint="eastAsia" w:ascii="宋体" w:hAnsi="宋体" w:eastAsia="宋体" w:cs="宋体"/>
                <w:vertAlign w:val="baseline"/>
                <w:lang w:val="en-US" w:eastAsia="zh-CN"/>
              </w:rPr>
              <w:t>3</w:t>
            </w:r>
          </w:p>
        </w:tc>
        <w:tc>
          <w:tcPr>
            <w:tcW w:w="6563" w:type="dxa"/>
            <w:noWrap w:val="0"/>
            <w:vAlign w:val="center"/>
          </w:tcPr>
          <w:p w14:paraId="39DC9E35">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宋体" w:hAnsi="宋体" w:eastAsia="宋体" w:cs="宋体"/>
                <w:vertAlign w:val="baseline"/>
                <w:lang w:val="en-US" w:eastAsia="zh-CN"/>
              </w:rPr>
            </w:pPr>
            <w:r>
              <w:rPr>
                <w:rFonts w:hint="eastAsia" w:ascii="宋体" w:hAnsi="宋体" w:eastAsia="宋体" w:cs="宋体"/>
                <w:vertAlign w:val="baseline"/>
                <w:lang w:val="en-US" w:eastAsia="zh-CN"/>
              </w:rPr>
              <w:t>司法鉴定机构及其鉴定人的监督检查</w:t>
            </w:r>
          </w:p>
        </w:tc>
        <w:tc>
          <w:tcPr>
            <w:tcW w:w="2651" w:type="dxa"/>
            <w:noWrap w:val="0"/>
            <w:vAlign w:val="center"/>
          </w:tcPr>
          <w:p w14:paraId="1FFF4BE8">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r w14:paraId="13DA67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noWrap w:val="0"/>
            <w:vAlign w:val="center"/>
          </w:tcPr>
          <w:p w14:paraId="2BB22578">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vertAlign w:val="baseline"/>
                <w:lang w:val="en-US" w:eastAsia="zh-CN"/>
              </w:rPr>
            </w:pPr>
            <w:r>
              <w:rPr>
                <w:rFonts w:hint="eastAsia" w:ascii="仿宋_GB2312"/>
                <w:vertAlign w:val="baseline"/>
                <w:lang w:val="en-US" w:eastAsia="zh-CN"/>
              </w:rPr>
              <w:t>4</w:t>
            </w:r>
          </w:p>
        </w:tc>
        <w:tc>
          <w:tcPr>
            <w:tcW w:w="3200" w:type="dxa"/>
            <w:noWrap w:val="0"/>
            <w:vAlign w:val="center"/>
          </w:tcPr>
          <w:p w14:paraId="455DE60B">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宋体" w:hAnsi="宋体" w:eastAsia="宋体" w:cs="宋体"/>
                <w:vertAlign w:val="baseline"/>
                <w:lang w:val="en-US" w:eastAsia="zh-CN"/>
              </w:rPr>
            </w:pPr>
            <w:r>
              <w:rPr>
                <w:rFonts w:hint="eastAsia" w:ascii="宋体" w:hAnsi="宋体" w:eastAsia="宋体" w:cs="宋体"/>
                <w:vertAlign w:val="baseline"/>
                <w:lang w:val="en-US" w:eastAsia="zh-CN"/>
              </w:rPr>
              <w:t>4</w:t>
            </w:r>
          </w:p>
        </w:tc>
        <w:tc>
          <w:tcPr>
            <w:tcW w:w="6563" w:type="dxa"/>
            <w:noWrap w:val="0"/>
            <w:vAlign w:val="center"/>
          </w:tcPr>
          <w:p w14:paraId="1DCD1C8F">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宋体" w:hAnsi="宋体" w:eastAsia="宋体" w:cs="宋体"/>
                <w:vertAlign w:val="baseline"/>
                <w:lang w:val="en-US" w:eastAsia="zh-CN"/>
              </w:rPr>
            </w:pPr>
            <w:r>
              <w:rPr>
                <w:rFonts w:hint="eastAsia" w:ascii="宋体" w:hAnsi="宋体" w:eastAsia="宋体" w:cs="宋体"/>
                <w:vertAlign w:val="baseline"/>
                <w:lang w:val="en-US" w:eastAsia="zh-CN"/>
              </w:rPr>
              <w:t>司法鉴定执业活动投诉处理工作监督指导</w:t>
            </w:r>
          </w:p>
        </w:tc>
        <w:tc>
          <w:tcPr>
            <w:tcW w:w="2651" w:type="dxa"/>
            <w:noWrap w:val="0"/>
            <w:vAlign w:val="center"/>
          </w:tcPr>
          <w:p w14:paraId="553C228D">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r w14:paraId="1E710D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noWrap w:val="0"/>
            <w:vAlign w:val="center"/>
          </w:tcPr>
          <w:p w14:paraId="270D80B5">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c>
          <w:tcPr>
            <w:tcW w:w="3200" w:type="dxa"/>
            <w:shd w:val="clear" w:color="auto" w:fill="auto"/>
            <w:noWrap w:val="0"/>
            <w:vAlign w:val="center"/>
          </w:tcPr>
          <w:p w14:paraId="367C7A4C">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宋体" w:hAnsi="宋体" w:eastAsia="宋体" w:cs="宋体"/>
                <w:kern w:val="2"/>
                <w:sz w:val="21"/>
                <w:szCs w:val="24"/>
                <w:vertAlign w:val="baseline"/>
                <w:lang w:val="en-US" w:eastAsia="zh-CN" w:bidi="ar-SA"/>
              </w:rPr>
            </w:pPr>
            <w:r>
              <w:rPr>
                <w:rFonts w:hint="eastAsia" w:ascii="宋体" w:hAnsi="宋体" w:eastAsia="宋体" w:cs="宋体"/>
                <w:vertAlign w:val="baseline"/>
                <w:lang w:val="en-US" w:eastAsia="zh-CN"/>
              </w:rPr>
              <w:t>二、行政处罚</w:t>
            </w:r>
          </w:p>
        </w:tc>
        <w:tc>
          <w:tcPr>
            <w:tcW w:w="6563" w:type="dxa"/>
            <w:shd w:val="clear" w:color="auto" w:fill="auto"/>
            <w:noWrap w:val="0"/>
            <w:vAlign w:val="center"/>
          </w:tcPr>
          <w:p w14:paraId="5A7F971F">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宋体" w:hAnsi="宋体" w:eastAsia="宋体" w:cs="宋体"/>
                <w:kern w:val="2"/>
                <w:sz w:val="21"/>
                <w:szCs w:val="24"/>
                <w:vertAlign w:val="baseline"/>
                <w:lang w:val="en-US" w:eastAsia="zh-CN" w:bidi="ar-SA"/>
              </w:rPr>
            </w:pPr>
            <w:r>
              <w:rPr>
                <w:rFonts w:hint="eastAsia" w:ascii="宋体" w:hAnsi="宋体" w:eastAsia="宋体" w:cs="宋体"/>
                <w:vertAlign w:val="baseline"/>
                <w:lang w:val="en-US" w:eastAsia="zh-CN"/>
              </w:rPr>
              <w:t>共6项</w:t>
            </w:r>
          </w:p>
        </w:tc>
        <w:tc>
          <w:tcPr>
            <w:tcW w:w="2651" w:type="dxa"/>
            <w:noWrap w:val="0"/>
            <w:vAlign w:val="center"/>
          </w:tcPr>
          <w:p w14:paraId="66FFCF55">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r w14:paraId="40886A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352" w:type="dxa"/>
            <w:shd w:val="clear" w:color="auto" w:fill="auto"/>
            <w:noWrap w:val="0"/>
            <w:vAlign w:val="center"/>
          </w:tcPr>
          <w:p w14:paraId="564F6F94">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hAnsiTheme="minorHAnsi" w:eastAsiaTheme="minorEastAsia" w:cstheme="minorBidi"/>
                <w:kern w:val="2"/>
                <w:sz w:val="21"/>
                <w:szCs w:val="24"/>
                <w:vertAlign w:val="baseline"/>
                <w:lang w:val="en-US" w:eastAsia="zh-CN" w:bidi="ar-SA"/>
              </w:rPr>
            </w:pPr>
            <w:r>
              <w:rPr>
                <w:rFonts w:hint="eastAsia" w:ascii="仿宋_GB2312" w:cstheme="minorBidi"/>
                <w:kern w:val="2"/>
                <w:sz w:val="21"/>
                <w:szCs w:val="24"/>
                <w:vertAlign w:val="baseline"/>
                <w:lang w:val="en-US" w:eastAsia="zh-CN" w:bidi="ar-SA"/>
              </w:rPr>
              <w:t>5</w:t>
            </w:r>
          </w:p>
        </w:tc>
        <w:tc>
          <w:tcPr>
            <w:tcW w:w="3200" w:type="dxa"/>
            <w:noWrap w:val="0"/>
            <w:vAlign w:val="center"/>
          </w:tcPr>
          <w:p w14:paraId="398F5007">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宋体" w:hAnsi="宋体" w:eastAsia="宋体" w:cs="宋体"/>
                <w:vertAlign w:val="baseline"/>
                <w:lang w:val="en-US" w:eastAsia="zh-CN"/>
              </w:rPr>
            </w:pPr>
            <w:r>
              <w:rPr>
                <w:rFonts w:hint="eastAsia" w:ascii="宋体" w:hAnsi="宋体" w:eastAsia="宋体" w:cs="宋体"/>
                <w:vertAlign w:val="baseline"/>
                <w:lang w:val="en-US" w:eastAsia="zh-CN"/>
              </w:rPr>
              <w:t>1</w:t>
            </w:r>
          </w:p>
        </w:tc>
        <w:tc>
          <w:tcPr>
            <w:tcW w:w="6563" w:type="dxa"/>
            <w:noWrap w:val="0"/>
            <w:vAlign w:val="center"/>
          </w:tcPr>
          <w:p w14:paraId="135C4E7F">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240" w:lineRule="auto"/>
              <w:ind w:right="0" w:rightChars="0"/>
              <w:jc w:val="left"/>
              <w:textAlignment w:val="auto"/>
              <w:rPr>
                <w:rFonts w:hint="eastAsia" w:ascii="宋体" w:hAnsi="宋体" w:eastAsia="宋体" w:cs="宋体"/>
                <w:vertAlign w:val="baseline"/>
                <w:lang w:val="en-US" w:eastAsia="zh-CN"/>
              </w:rPr>
            </w:pPr>
            <w:r>
              <w:rPr>
                <w:rFonts w:hint="eastAsia" w:ascii="宋体" w:hAnsi="宋体" w:eastAsia="宋体" w:cs="宋体"/>
                <w:vertAlign w:val="baseline"/>
                <w:lang w:val="en-US" w:eastAsia="zh-CN"/>
              </w:rPr>
              <w:t>对基层法律服务工作者超越业务范围和诉讼代理执业区域执业等行为的行政处罚</w:t>
            </w:r>
          </w:p>
        </w:tc>
        <w:tc>
          <w:tcPr>
            <w:tcW w:w="2651" w:type="dxa"/>
            <w:noWrap w:val="0"/>
            <w:vAlign w:val="center"/>
          </w:tcPr>
          <w:p w14:paraId="0F3D0521">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r w14:paraId="307A00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shd w:val="clear" w:color="auto" w:fill="auto"/>
            <w:noWrap w:val="0"/>
            <w:vAlign w:val="center"/>
          </w:tcPr>
          <w:p w14:paraId="632123A4">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hAnsiTheme="minorHAnsi" w:eastAsiaTheme="minorEastAsia" w:cstheme="minorBidi"/>
                <w:kern w:val="2"/>
                <w:sz w:val="21"/>
                <w:szCs w:val="24"/>
                <w:vertAlign w:val="baseline"/>
                <w:lang w:val="en-US" w:eastAsia="zh-CN" w:bidi="ar-SA"/>
              </w:rPr>
            </w:pPr>
            <w:r>
              <w:rPr>
                <w:rFonts w:hint="eastAsia" w:ascii="仿宋_GB2312" w:cstheme="minorBidi"/>
                <w:kern w:val="2"/>
                <w:sz w:val="21"/>
                <w:szCs w:val="24"/>
                <w:vertAlign w:val="baseline"/>
                <w:lang w:val="en-US" w:eastAsia="zh-CN" w:bidi="ar-SA"/>
              </w:rPr>
              <w:t>6</w:t>
            </w:r>
          </w:p>
        </w:tc>
        <w:tc>
          <w:tcPr>
            <w:tcW w:w="3200" w:type="dxa"/>
            <w:noWrap w:val="0"/>
            <w:vAlign w:val="center"/>
          </w:tcPr>
          <w:p w14:paraId="586B81F5">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宋体" w:hAnsi="宋体" w:eastAsia="宋体" w:cs="宋体"/>
                <w:vertAlign w:val="baseline"/>
                <w:lang w:val="en-US" w:eastAsia="zh-CN"/>
              </w:rPr>
            </w:pPr>
            <w:r>
              <w:rPr>
                <w:rFonts w:hint="eastAsia" w:ascii="宋体" w:hAnsi="宋体" w:eastAsia="宋体" w:cs="宋体"/>
                <w:vertAlign w:val="baseline"/>
                <w:lang w:val="en-US" w:eastAsia="zh-CN"/>
              </w:rPr>
              <w:t>2</w:t>
            </w:r>
          </w:p>
        </w:tc>
        <w:tc>
          <w:tcPr>
            <w:tcW w:w="6563" w:type="dxa"/>
            <w:noWrap w:val="0"/>
            <w:vAlign w:val="center"/>
          </w:tcPr>
          <w:p w14:paraId="5CE7447D">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240" w:lineRule="auto"/>
              <w:ind w:right="0" w:rightChars="0"/>
              <w:jc w:val="left"/>
              <w:textAlignment w:val="auto"/>
              <w:rPr>
                <w:rFonts w:hint="eastAsia" w:ascii="宋体" w:hAnsi="宋体" w:eastAsia="宋体" w:cs="宋体"/>
                <w:vertAlign w:val="baseline"/>
                <w:lang w:val="en-US" w:eastAsia="zh-CN"/>
              </w:rPr>
            </w:pPr>
            <w:r>
              <w:rPr>
                <w:rFonts w:hint="eastAsia" w:ascii="宋体" w:hAnsi="宋体" w:eastAsia="宋体" w:cs="宋体"/>
                <w:vertAlign w:val="baseline"/>
                <w:lang w:val="en-US" w:eastAsia="zh-CN"/>
              </w:rPr>
              <w:t>对基层法律服务所超越业务范围和诉讼代理执业区域行为的行政处罚</w:t>
            </w:r>
          </w:p>
        </w:tc>
        <w:tc>
          <w:tcPr>
            <w:tcW w:w="2651" w:type="dxa"/>
            <w:noWrap w:val="0"/>
            <w:vAlign w:val="center"/>
          </w:tcPr>
          <w:p w14:paraId="4A672AD4">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r w14:paraId="72A96F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shd w:val="clear" w:color="auto" w:fill="auto"/>
            <w:noWrap w:val="0"/>
            <w:vAlign w:val="center"/>
          </w:tcPr>
          <w:p w14:paraId="0A315F14">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hAnsiTheme="minorHAnsi" w:eastAsiaTheme="minorEastAsia" w:cstheme="minorBidi"/>
                <w:kern w:val="2"/>
                <w:sz w:val="21"/>
                <w:szCs w:val="24"/>
                <w:vertAlign w:val="baseline"/>
                <w:lang w:val="en-US" w:eastAsia="zh-CN" w:bidi="ar-SA"/>
              </w:rPr>
            </w:pPr>
            <w:r>
              <w:rPr>
                <w:rFonts w:hint="eastAsia" w:ascii="仿宋_GB2312" w:cstheme="minorBidi"/>
                <w:kern w:val="2"/>
                <w:sz w:val="21"/>
                <w:szCs w:val="24"/>
                <w:vertAlign w:val="baseline"/>
                <w:lang w:val="en-US" w:eastAsia="zh-CN" w:bidi="ar-SA"/>
              </w:rPr>
              <w:t>7</w:t>
            </w:r>
          </w:p>
        </w:tc>
        <w:tc>
          <w:tcPr>
            <w:tcW w:w="3200" w:type="dxa"/>
            <w:noWrap w:val="0"/>
            <w:vAlign w:val="center"/>
          </w:tcPr>
          <w:p w14:paraId="7F6B9150">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宋体" w:hAnsi="宋体" w:eastAsia="宋体" w:cs="宋体"/>
                <w:vertAlign w:val="baseline"/>
                <w:lang w:val="en-US" w:eastAsia="zh-CN"/>
              </w:rPr>
            </w:pPr>
            <w:r>
              <w:rPr>
                <w:rFonts w:hint="eastAsia" w:ascii="宋体" w:hAnsi="宋体" w:eastAsia="宋体" w:cs="宋体"/>
                <w:vertAlign w:val="baseline"/>
                <w:lang w:val="en-US" w:eastAsia="zh-CN"/>
              </w:rPr>
              <w:t>3</w:t>
            </w:r>
          </w:p>
        </w:tc>
        <w:tc>
          <w:tcPr>
            <w:tcW w:w="6563" w:type="dxa"/>
            <w:noWrap w:val="0"/>
            <w:vAlign w:val="center"/>
          </w:tcPr>
          <w:p w14:paraId="7A7B4CC0">
            <w:pPr>
              <w:keepNext w:val="0"/>
              <w:keepLines w:val="0"/>
              <w:widowControl/>
              <w:suppressLineNumbers w:val="0"/>
              <w:jc w:val="left"/>
              <w:textAlignment w:val="center"/>
              <w:rPr>
                <w:rFonts w:hint="eastAsia" w:ascii="宋体" w:hAnsi="宋体" w:eastAsia="宋体" w:cs="宋体"/>
                <w:i w:val="0"/>
                <w:color w:val="000000"/>
                <w:kern w:val="2"/>
                <w:sz w:val="21"/>
                <w:szCs w:val="21"/>
                <w:u w:val="none"/>
                <w:lang w:val="en-US" w:eastAsia="zh-CN" w:bidi="ar-SA"/>
              </w:rPr>
            </w:pPr>
            <w:r>
              <w:rPr>
                <w:rFonts w:hint="eastAsia" w:ascii="宋体" w:hAnsi="宋体" w:eastAsia="宋体" w:cs="宋体"/>
                <w:i w:val="0"/>
                <w:color w:val="000000"/>
                <w:kern w:val="2"/>
                <w:sz w:val="21"/>
                <w:szCs w:val="21"/>
                <w:u w:val="none"/>
                <w:lang w:val="en-US" w:eastAsia="zh-CN" w:bidi="ar-SA"/>
              </w:rPr>
              <w:t>对基层法律服务所无正当理由拒绝履行法律援助义务或者怠于履行法律援助义务等行为的行政处罚</w:t>
            </w:r>
            <w:bookmarkStart w:id="0" w:name="_GoBack"/>
            <w:bookmarkEnd w:id="0"/>
          </w:p>
        </w:tc>
        <w:tc>
          <w:tcPr>
            <w:tcW w:w="2651" w:type="dxa"/>
            <w:noWrap w:val="0"/>
            <w:vAlign w:val="center"/>
          </w:tcPr>
          <w:p w14:paraId="11E67259">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r w14:paraId="68B419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shd w:val="clear" w:color="auto" w:fill="auto"/>
            <w:noWrap w:val="0"/>
            <w:vAlign w:val="center"/>
          </w:tcPr>
          <w:p w14:paraId="76C244D4">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hAnsiTheme="minorHAnsi" w:eastAsiaTheme="minorEastAsia" w:cstheme="minorBidi"/>
                <w:kern w:val="2"/>
                <w:sz w:val="21"/>
                <w:szCs w:val="24"/>
                <w:vertAlign w:val="baseline"/>
                <w:lang w:val="en-US" w:eastAsia="zh-CN" w:bidi="ar-SA"/>
              </w:rPr>
            </w:pPr>
            <w:r>
              <w:rPr>
                <w:rFonts w:hint="eastAsia" w:ascii="仿宋_GB2312" w:cstheme="minorBidi"/>
                <w:kern w:val="2"/>
                <w:sz w:val="21"/>
                <w:szCs w:val="24"/>
                <w:vertAlign w:val="baseline"/>
                <w:lang w:val="en-US" w:eastAsia="zh-CN" w:bidi="ar-SA"/>
              </w:rPr>
              <w:t>8</w:t>
            </w:r>
          </w:p>
        </w:tc>
        <w:tc>
          <w:tcPr>
            <w:tcW w:w="3200" w:type="dxa"/>
            <w:noWrap w:val="0"/>
            <w:vAlign w:val="center"/>
          </w:tcPr>
          <w:p w14:paraId="08511178">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宋体" w:hAnsi="宋体" w:eastAsia="宋体" w:cs="宋体"/>
                <w:vertAlign w:val="baseline"/>
                <w:lang w:val="en-US" w:eastAsia="zh-CN"/>
              </w:rPr>
            </w:pPr>
            <w:r>
              <w:rPr>
                <w:rFonts w:hint="eastAsia" w:ascii="宋体" w:hAnsi="宋体" w:eastAsia="宋体" w:cs="宋体"/>
                <w:vertAlign w:val="baseline"/>
                <w:lang w:val="en-US" w:eastAsia="zh-CN"/>
              </w:rPr>
              <w:t>4</w:t>
            </w:r>
          </w:p>
        </w:tc>
        <w:tc>
          <w:tcPr>
            <w:tcW w:w="6563" w:type="dxa"/>
            <w:noWrap w:val="0"/>
            <w:vAlign w:val="center"/>
          </w:tcPr>
          <w:p w14:paraId="56E50573">
            <w:pPr>
              <w:keepNext w:val="0"/>
              <w:keepLines w:val="0"/>
              <w:widowControl/>
              <w:suppressLineNumbers w:val="0"/>
              <w:jc w:val="left"/>
              <w:textAlignment w:val="center"/>
              <w:rPr>
                <w:rFonts w:hint="eastAsia" w:ascii="宋体" w:hAnsi="宋体" w:eastAsia="宋体" w:cs="宋体"/>
                <w:i w:val="0"/>
                <w:color w:val="000000"/>
                <w:kern w:val="2"/>
                <w:sz w:val="21"/>
                <w:szCs w:val="21"/>
                <w:u w:val="none"/>
                <w:lang w:val="en-US" w:eastAsia="zh-CN" w:bidi="ar-SA"/>
              </w:rPr>
            </w:pPr>
            <w:r>
              <w:rPr>
                <w:rFonts w:hint="eastAsia" w:ascii="宋体" w:hAnsi="宋体" w:eastAsia="宋体" w:cs="宋体"/>
                <w:i w:val="0"/>
                <w:color w:val="000000"/>
                <w:kern w:val="2"/>
                <w:sz w:val="21"/>
                <w:szCs w:val="21"/>
                <w:u w:val="none"/>
                <w:lang w:val="en-US" w:eastAsia="zh-CN" w:bidi="ar-SA"/>
              </w:rPr>
              <w:t>对基层法律服务工作者无正当理由拒绝履行法律援助义务或者怠于履行法律援助义务等行为的行政处罚</w:t>
            </w:r>
          </w:p>
        </w:tc>
        <w:tc>
          <w:tcPr>
            <w:tcW w:w="2651" w:type="dxa"/>
            <w:noWrap w:val="0"/>
            <w:vAlign w:val="center"/>
          </w:tcPr>
          <w:p w14:paraId="41607731">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r w14:paraId="6F10A8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shd w:val="clear" w:color="auto" w:fill="auto"/>
            <w:noWrap w:val="0"/>
            <w:vAlign w:val="center"/>
          </w:tcPr>
          <w:p w14:paraId="34A001FE">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hAnsiTheme="minorHAnsi" w:eastAsiaTheme="minorEastAsia" w:cstheme="minorBidi"/>
                <w:kern w:val="2"/>
                <w:sz w:val="21"/>
                <w:szCs w:val="24"/>
                <w:vertAlign w:val="baseline"/>
                <w:lang w:val="en-US" w:eastAsia="zh-CN" w:bidi="ar-SA"/>
              </w:rPr>
            </w:pPr>
            <w:r>
              <w:rPr>
                <w:rFonts w:hint="eastAsia" w:ascii="仿宋_GB2312" w:cstheme="minorBidi"/>
                <w:kern w:val="2"/>
                <w:sz w:val="21"/>
                <w:szCs w:val="24"/>
                <w:vertAlign w:val="baseline"/>
                <w:lang w:val="en-US" w:eastAsia="zh-CN" w:bidi="ar-SA"/>
              </w:rPr>
              <w:t>9</w:t>
            </w:r>
          </w:p>
        </w:tc>
        <w:tc>
          <w:tcPr>
            <w:tcW w:w="3200" w:type="dxa"/>
            <w:noWrap w:val="0"/>
            <w:vAlign w:val="center"/>
          </w:tcPr>
          <w:p w14:paraId="3ACE4442">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宋体" w:hAnsi="宋体" w:eastAsia="宋体" w:cs="宋体"/>
                <w:vertAlign w:val="baseline"/>
                <w:lang w:val="en-US" w:eastAsia="zh-CN"/>
              </w:rPr>
            </w:pPr>
            <w:r>
              <w:rPr>
                <w:rFonts w:hint="eastAsia" w:ascii="宋体" w:hAnsi="宋体" w:eastAsia="宋体" w:cs="宋体"/>
                <w:vertAlign w:val="baseline"/>
                <w:lang w:val="en-US" w:eastAsia="zh-CN"/>
              </w:rPr>
              <w:t>5</w:t>
            </w:r>
          </w:p>
        </w:tc>
        <w:tc>
          <w:tcPr>
            <w:tcW w:w="6563" w:type="dxa"/>
            <w:noWrap w:val="0"/>
            <w:vAlign w:val="center"/>
          </w:tcPr>
          <w:p w14:paraId="751EBAF7">
            <w:pPr>
              <w:keepNext w:val="0"/>
              <w:keepLines w:val="0"/>
              <w:widowControl/>
              <w:suppressLineNumbers w:val="0"/>
              <w:jc w:val="left"/>
              <w:textAlignment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对基层法律服务工作者冒用法律援助名义提供法律服务并谋取利益行为的行政处罚</w:t>
            </w:r>
          </w:p>
        </w:tc>
        <w:tc>
          <w:tcPr>
            <w:tcW w:w="2651" w:type="dxa"/>
            <w:noWrap w:val="0"/>
            <w:vAlign w:val="center"/>
          </w:tcPr>
          <w:p w14:paraId="356639A0">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r w14:paraId="348672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352" w:type="dxa"/>
            <w:shd w:val="clear" w:color="auto" w:fill="auto"/>
            <w:noWrap w:val="0"/>
            <w:vAlign w:val="center"/>
          </w:tcPr>
          <w:p w14:paraId="0D76C927">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仿宋_GB2312" w:hAnsiTheme="minorHAnsi" w:eastAsiaTheme="minorEastAsia" w:cstheme="minorBidi"/>
                <w:kern w:val="2"/>
                <w:sz w:val="21"/>
                <w:szCs w:val="24"/>
                <w:vertAlign w:val="baseline"/>
                <w:lang w:val="en-US" w:eastAsia="zh-CN" w:bidi="ar-SA"/>
              </w:rPr>
            </w:pPr>
            <w:r>
              <w:rPr>
                <w:rFonts w:hint="eastAsia" w:ascii="仿宋_GB2312" w:cstheme="minorBidi"/>
                <w:kern w:val="2"/>
                <w:sz w:val="21"/>
                <w:szCs w:val="24"/>
                <w:vertAlign w:val="baseline"/>
                <w:lang w:val="en-US" w:eastAsia="zh-CN" w:bidi="ar-SA"/>
              </w:rPr>
              <w:t>10</w:t>
            </w:r>
          </w:p>
        </w:tc>
        <w:tc>
          <w:tcPr>
            <w:tcW w:w="3200" w:type="dxa"/>
            <w:noWrap w:val="0"/>
            <w:vAlign w:val="center"/>
          </w:tcPr>
          <w:p w14:paraId="6BBC44BE">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default" w:ascii="宋体" w:hAnsi="宋体" w:eastAsia="宋体" w:cs="宋体"/>
                <w:vertAlign w:val="baseline"/>
                <w:lang w:val="en-US" w:eastAsia="zh-CN"/>
              </w:rPr>
            </w:pPr>
            <w:r>
              <w:rPr>
                <w:rFonts w:hint="eastAsia" w:ascii="宋体" w:hAnsi="宋体" w:eastAsia="宋体" w:cs="宋体"/>
                <w:vertAlign w:val="baseline"/>
                <w:lang w:val="en-US" w:eastAsia="zh-CN"/>
              </w:rPr>
              <w:t>6</w:t>
            </w:r>
          </w:p>
        </w:tc>
        <w:tc>
          <w:tcPr>
            <w:tcW w:w="6563" w:type="dxa"/>
            <w:noWrap w:val="0"/>
            <w:vAlign w:val="center"/>
          </w:tcPr>
          <w:p w14:paraId="412044CF">
            <w:pPr>
              <w:keepNext w:val="0"/>
              <w:keepLines w:val="0"/>
              <w:widowControl/>
              <w:suppressLineNumbers w:val="0"/>
              <w:jc w:val="left"/>
              <w:textAlignment w:val="center"/>
              <w:rPr>
                <w:rFonts w:hint="eastAsia" w:ascii="宋体" w:hAnsi="宋体" w:eastAsia="宋体" w:cs="宋体"/>
                <w:sz w:val="21"/>
                <w:szCs w:val="21"/>
                <w:vertAlign w:val="baseline"/>
                <w:lang w:val="en-US" w:eastAsia="zh-CN"/>
              </w:rPr>
            </w:pPr>
            <w:r>
              <w:rPr>
                <w:rFonts w:hint="eastAsia" w:ascii="宋体" w:hAnsi="宋体" w:eastAsia="宋体" w:cs="宋体"/>
                <w:sz w:val="21"/>
                <w:szCs w:val="21"/>
                <w:vertAlign w:val="baseline"/>
                <w:lang w:val="en-US" w:eastAsia="zh-CN"/>
              </w:rPr>
              <w:t>对司法鉴定机构超出其职责范围从事司法鉴定，从事与其技术能力不相称的司法鉴定的行政处罚</w:t>
            </w:r>
          </w:p>
        </w:tc>
        <w:tc>
          <w:tcPr>
            <w:tcW w:w="2651" w:type="dxa"/>
            <w:noWrap w:val="0"/>
            <w:vAlign w:val="center"/>
          </w:tcPr>
          <w:p w14:paraId="79A900B2">
            <w:pPr>
              <w:keepNext w:val="0"/>
              <w:keepLines w:val="0"/>
              <w:pageBreakBefore w:val="0"/>
              <w:pBdr>
                <w:top w:val="none" w:color="auto" w:sz="0" w:space="0"/>
                <w:left w:val="none" w:color="auto" w:sz="0" w:space="0"/>
                <w:bottom w:val="none" w:color="auto" w:sz="0" w:space="0"/>
                <w:right w:val="none" w:color="auto" w:sz="0" w:space="0"/>
                <w:between w:val="none" w:color="auto" w:sz="0" w:space="0"/>
              </w:pBdr>
              <w:shd w:val="clear" w:color="auto" w:fill="auto"/>
              <w:kinsoku/>
              <w:wordWrap/>
              <w:overflowPunct/>
              <w:topLinePunct w:val="0"/>
              <w:autoSpaceDE/>
              <w:autoSpaceDN/>
              <w:bidi w:val="0"/>
              <w:adjustRightInd/>
              <w:snapToGrid/>
              <w:spacing w:before="0" w:beforeLines="0" w:after="0" w:afterLines="0" w:line="600" w:lineRule="exact"/>
              <w:ind w:right="0" w:rightChars="0"/>
              <w:jc w:val="center"/>
              <w:textAlignment w:val="auto"/>
              <w:rPr>
                <w:rFonts w:hint="eastAsia" w:ascii="仿宋_GB2312"/>
                <w:vertAlign w:val="baseline"/>
                <w:lang w:val="en-US" w:eastAsia="zh-CN"/>
              </w:rPr>
            </w:pPr>
          </w:p>
        </w:tc>
      </w:tr>
    </w:tbl>
    <w:p w14:paraId="2ECD15EF">
      <w:pPr>
        <w:sectPr>
          <w:pgSz w:w="16838" w:h="11906" w:orient="landscape"/>
          <w:pgMar w:top="1800" w:right="1440" w:bottom="1800" w:left="1440" w:header="851" w:footer="992" w:gutter="0"/>
          <w:cols w:space="425" w:num="1"/>
          <w:docGrid w:type="lines" w:linePitch="312" w:charSpace="0"/>
        </w:sectPr>
      </w:pPr>
    </w:p>
    <w:tbl>
      <w:tblPr>
        <w:tblStyle w:val="2"/>
        <w:tblW w:w="14917" w:type="dxa"/>
        <w:tblInd w:w="-1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00"/>
        <w:gridCol w:w="1800"/>
        <w:gridCol w:w="5967"/>
        <w:gridCol w:w="1683"/>
        <w:gridCol w:w="1750"/>
        <w:gridCol w:w="1700"/>
        <w:gridCol w:w="1217"/>
      </w:tblGrid>
      <w:tr w14:paraId="160F20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4917" w:type="dxa"/>
            <w:gridSpan w:val="7"/>
            <w:tcBorders>
              <w:top w:val="nil"/>
              <w:left w:val="nil"/>
              <w:bottom w:val="nil"/>
              <w:right w:val="nil"/>
            </w:tcBorders>
            <w:shd w:val="clear" w:color="auto" w:fill="auto"/>
            <w:noWrap/>
            <w:vAlign w:val="center"/>
          </w:tcPr>
          <w:p w14:paraId="7F5EBC63">
            <w:pPr>
              <w:keepNext w:val="0"/>
              <w:keepLines w:val="0"/>
              <w:widowControl/>
              <w:suppressLineNumbers w:val="0"/>
              <w:jc w:val="center"/>
              <w:textAlignment w:val="center"/>
              <w:rPr>
                <w:rFonts w:ascii="方正小标宋简体" w:hAnsi="方正小标宋简体" w:eastAsia="方正小标宋简体" w:cs="方正小标宋简体"/>
                <w:b/>
                <w:bCs/>
                <w:i w:val="0"/>
                <w:iCs w:val="0"/>
                <w:color w:val="000000"/>
                <w:sz w:val="40"/>
                <w:szCs w:val="40"/>
                <w:u w:val="none"/>
              </w:rPr>
            </w:pPr>
            <w:r>
              <w:rPr>
                <w:rFonts w:hint="default" w:ascii="方正小标宋简体" w:hAnsi="方正小标宋简体" w:eastAsia="方正小标宋简体" w:cs="方正小标宋简体"/>
                <w:b/>
                <w:bCs/>
                <w:i w:val="0"/>
                <w:iCs w:val="0"/>
                <w:color w:val="000000"/>
                <w:kern w:val="0"/>
                <w:sz w:val="40"/>
                <w:szCs w:val="40"/>
                <w:u w:val="none"/>
                <w:lang w:val="en-US" w:eastAsia="zh-CN" w:bidi="ar"/>
              </w:rPr>
              <w:t>藁城区司法局行政检查事项清单</w:t>
            </w:r>
          </w:p>
        </w:tc>
      </w:tr>
      <w:tr w14:paraId="237975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80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F2934A">
            <w:pPr>
              <w:keepNext w:val="0"/>
              <w:keepLines w:val="0"/>
              <w:widowControl/>
              <w:suppressLineNumbers w:val="0"/>
              <w:jc w:val="center"/>
              <w:textAlignment w:val="center"/>
              <w:rPr>
                <w:rFonts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序号</w:t>
            </w:r>
          </w:p>
        </w:tc>
        <w:tc>
          <w:tcPr>
            <w:tcW w:w="180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45ADCF">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事项名称</w:t>
            </w:r>
          </w:p>
        </w:tc>
        <w:tc>
          <w:tcPr>
            <w:tcW w:w="5967"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9B5DF0">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实施依据</w:t>
            </w:r>
          </w:p>
        </w:tc>
        <w:tc>
          <w:tcPr>
            <w:tcW w:w="5133"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4BCF17">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实施主体</w:t>
            </w:r>
          </w:p>
        </w:tc>
        <w:tc>
          <w:tcPr>
            <w:tcW w:w="1217"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A6C23E">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事项备注</w:t>
            </w:r>
          </w:p>
        </w:tc>
      </w:tr>
      <w:tr w14:paraId="6135E2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80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398D78">
            <w:pPr>
              <w:jc w:val="center"/>
              <w:rPr>
                <w:rFonts w:hint="eastAsia" w:ascii="黑体" w:hAnsi="宋体" w:eastAsia="黑体" w:cs="黑体"/>
                <w:i w:val="0"/>
                <w:iCs w:val="0"/>
                <w:color w:val="000000"/>
                <w:sz w:val="24"/>
                <w:szCs w:val="24"/>
                <w:u w:val="none"/>
              </w:rPr>
            </w:pPr>
          </w:p>
        </w:tc>
        <w:tc>
          <w:tcPr>
            <w:tcW w:w="180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59A5CB">
            <w:pPr>
              <w:jc w:val="center"/>
              <w:rPr>
                <w:rFonts w:hint="eastAsia" w:ascii="黑体" w:hAnsi="宋体" w:eastAsia="黑体" w:cs="黑体"/>
                <w:i w:val="0"/>
                <w:iCs w:val="0"/>
                <w:color w:val="000000"/>
                <w:sz w:val="24"/>
                <w:szCs w:val="24"/>
                <w:u w:val="none"/>
              </w:rPr>
            </w:pPr>
          </w:p>
        </w:tc>
        <w:tc>
          <w:tcPr>
            <w:tcW w:w="596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65B17D">
            <w:pPr>
              <w:jc w:val="center"/>
              <w:rPr>
                <w:rFonts w:hint="eastAsia" w:ascii="黑体" w:hAnsi="宋体" w:eastAsia="黑体" w:cs="黑体"/>
                <w:i w:val="0"/>
                <w:iCs w:val="0"/>
                <w:color w:val="000000"/>
                <w:sz w:val="24"/>
                <w:szCs w:val="24"/>
                <w:u w:val="none"/>
              </w:rPr>
            </w:pPr>
          </w:p>
        </w:tc>
        <w:tc>
          <w:tcPr>
            <w:tcW w:w="16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1ED9CD">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法定实施主体</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8BFB46">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法定行使层级</w:t>
            </w:r>
          </w:p>
        </w:tc>
        <w:tc>
          <w:tcPr>
            <w:tcW w:w="1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2FACFF">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第一责任层级</w:t>
            </w:r>
          </w:p>
        </w:tc>
        <w:tc>
          <w:tcPr>
            <w:tcW w:w="121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93B599">
            <w:pPr>
              <w:jc w:val="center"/>
              <w:rPr>
                <w:rFonts w:hint="eastAsia" w:ascii="黑体" w:hAnsi="宋体" w:eastAsia="黑体" w:cs="黑体"/>
                <w:i w:val="0"/>
                <w:iCs w:val="0"/>
                <w:color w:val="000000"/>
                <w:sz w:val="24"/>
                <w:szCs w:val="24"/>
                <w:u w:val="none"/>
              </w:rPr>
            </w:pPr>
          </w:p>
        </w:tc>
      </w:tr>
      <w:tr w14:paraId="208DB2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0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7746E0">
            <w:pPr>
              <w:keepNext w:val="0"/>
              <w:keepLines w:val="0"/>
              <w:widowControl/>
              <w:suppressLineNumbers w:val="0"/>
              <w:jc w:val="center"/>
              <w:textAlignment w:val="center"/>
              <w:rPr>
                <w:rFonts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w:t>
            </w:r>
          </w:p>
        </w:tc>
        <w:tc>
          <w:tcPr>
            <w:tcW w:w="1800" w:type="dxa"/>
            <w:tcBorders>
              <w:top w:val="nil"/>
              <w:left w:val="nil"/>
              <w:bottom w:val="nil"/>
              <w:right w:val="nil"/>
            </w:tcBorders>
            <w:shd w:val="clear" w:color="auto" w:fill="auto"/>
            <w:vAlign w:val="center"/>
          </w:tcPr>
          <w:p w14:paraId="513CCCB6">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对律师事务所及其律师的行政检查</w:t>
            </w:r>
          </w:p>
        </w:tc>
        <w:tc>
          <w:tcPr>
            <w:tcW w:w="5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AC377">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1.《律师事务所管理办法》（2008年7月18日司法部令第111号发布，2012年11月30日司法部令第125号修正，2016年9月6日司法部令第133号修订，2018年12月5日司法部令第142号修正）第七章；</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2.《律师执业管理办法》（2008年7月18日司法部令第112号发布，2016年9月18日司法部令第134号修订）第五章；</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3.《律师事务所年度检查考核办法》（中华人民共和国司法部令第121号）。</w:t>
            </w:r>
          </w:p>
        </w:tc>
        <w:tc>
          <w:tcPr>
            <w:tcW w:w="16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941C0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司法行政部门</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3B7DF">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省级、设区的市级、县级</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A23B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市级或县级</w:t>
            </w:r>
          </w:p>
        </w:tc>
        <w:tc>
          <w:tcPr>
            <w:tcW w:w="12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28CF3">
            <w:pPr>
              <w:jc w:val="left"/>
              <w:rPr>
                <w:rFonts w:hint="eastAsia" w:ascii="仿宋" w:hAnsi="仿宋" w:eastAsia="仿宋" w:cs="仿宋"/>
                <w:i w:val="0"/>
                <w:iCs w:val="0"/>
                <w:color w:val="000000"/>
                <w:sz w:val="24"/>
                <w:szCs w:val="24"/>
                <w:u w:val="none"/>
              </w:rPr>
            </w:pPr>
          </w:p>
        </w:tc>
      </w:tr>
      <w:tr w14:paraId="3632E3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6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7AA06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075AD0">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对公证机构及其公证员的行政检查</w:t>
            </w:r>
          </w:p>
        </w:tc>
        <w:tc>
          <w:tcPr>
            <w:tcW w:w="5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A1A9F">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《中华人民共和国公证法》</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第五条：司法行政部门依照本法规定对公证机构、公证员和公证协会进行监督、指导。</w:t>
            </w:r>
          </w:p>
        </w:tc>
        <w:tc>
          <w:tcPr>
            <w:tcW w:w="16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7353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司法行政部门</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28D9A">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省级、设区的市级、县级</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482B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市级或县级</w:t>
            </w:r>
          </w:p>
        </w:tc>
        <w:tc>
          <w:tcPr>
            <w:tcW w:w="12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2FEA2C">
            <w:pPr>
              <w:jc w:val="left"/>
              <w:rPr>
                <w:rFonts w:hint="eastAsia" w:ascii="仿宋" w:hAnsi="仿宋" w:eastAsia="仿宋" w:cs="仿宋"/>
                <w:i w:val="0"/>
                <w:iCs w:val="0"/>
                <w:color w:val="000000"/>
                <w:sz w:val="24"/>
                <w:szCs w:val="24"/>
                <w:u w:val="none"/>
              </w:rPr>
            </w:pPr>
          </w:p>
        </w:tc>
      </w:tr>
      <w:tr w14:paraId="224B47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4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81DF6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ED910">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司法鉴定机构及其鉴定人的监督检查</w:t>
            </w:r>
          </w:p>
        </w:tc>
        <w:tc>
          <w:tcPr>
            <w:tcW w:w="5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70319">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1.《河北省司法鉴定管理条例》第四条；</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2.《司法鉴定机构登记管理办法》（司法部令第95号）第四条、第十条、第十一条、第三十三条、第三十四条、第三十五条、第三十六条；</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3.《司法鉴定人登记管理办法》（司法部令第96号）第四条、第九条、第十条、第二十三条、第二十四条、第二十五条、第二十六条；</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4.《司法鉴定机构内部管理规范》（司发通〔2014〕49号）；</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5.《法医类 物证类 声像资料司法鉴定机构登记评审细则》（司规〔2021〕2号）。</w:t>
            </w:r>
          </w:p>
        </w:tc>
        <w:tc>
          <w:tcPr>
            <w:tcW w:w="16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C34E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县级以上人民政府司法行政部门</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0FFFE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省级、设区的市级、县级</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51F4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市级或县级</w:t>
            </w:r>
          </w:p>
        </w:tc>
        <w:tc>
          <w:tcPr>
            <w:tcW w:w="12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B0819">
            <w:pPr>
              <w:jc w:val="center"/>
              <w:rPr>
                <w:rFonts w:hint="eastAsia" w:ascii="仿宋" w:hAnsi="仿宋" w:eastAsia="仿宋" w:cs="仿宋"/>
                <w:i w:val="0"/>
                <w:iCs w:val="0"/>
                <w:color w:val="000000"/>
                <w:sz w:val="24"/>
                <w:szCs w:val="24"/>
                <w:u w:val="none"/>
              </w:rPr>
            </w:pPr>
          </w:p>
        </w:tc>
      </w:tr>
      <w:tr w14:paraId="377448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2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7F176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CF75F">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司法鉴定执业活动投诉处理工作监督指导</w:t>
            </w:r>
          </w:p>
        </w:tc>
        <w:tc>
          <w:tcPr>
            <w:tcW w:w="5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00992">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1.《司法鉴定执业活动投诉处理办法》（司法部令第144号，2019年6月1日施行）第七条、第三十一条；</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2.《司法鉴定程序通则》（司法部令第132号，2016年5月1日施行）第九条。</w:t>
            </w:r>
          </w:p>
        </w:tc>
        <w:tc>
          <w:tcPr>
            <w:tcW w:w="16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0EE99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县级以上人民政府司法行政部门</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35BBA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省级、设区的市级、县级</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E644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市级或县级</w:t>
            </w:r>
          </w:p>
        </w:tc>
        <w:tc>
          <w:tcPr>
            <w:tcW w:w="12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33E24">
            <w:pPr>
              <w:jc w:val="center"/>
              <w:rPr>
                <w:rFonts w:hint="eastAsia" w:ascii="仿宋" w:hAnsi="仿宋" w:eastAsia="仿宋" w:cs="仿宋"/>
                <w:i w:val="0"/>
                <w:iCs w:val="0"/>
                <w:color w:val="000000"/>
                <w:sz w:val="24"/>
                <w:szCs w:val="24"/>
                <w:u w:val="none"/>
              </w:rPr>
            </w:pPr>
          </w:p>
        </w:tc>
      </w:tr>
      <w:tr w14:paraId="7095E0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800" w:type="dxa"/>
            <w:tcBorders>
              <w:top w:val="nil"/>
              <w:left w:val="nil"/>
              <w:bottom w:val="nil"/>
              <w:right w:val="nil"/>
            </w:tcBorders>
            <w:shd w:val="clear" w:color="auto" w:fill="auto"/>
            <w:noWrap/>
            <w:vAlign w:val="center"/>
          </w:tcPr>
          <w:p w14:paraId="44E4863F">
            <w:pPr>
              <w:jc w:val="center"/>
              <w:rPr>
                <w:rFonts w:hint="eastAsia" w:ascii="仿宋" w:hAnsi="仿宋" w:eastAsia="仿宋" w:cs="仿宋"/>
                <w:i w:val="0"/>
                <w:iCs w:val="0"/>
                <w:color w:val="000000"/>
                <w:sz w:val="24"/>
                <w:szCs w:val="24"/>
                <w:u w:val="none"/>
              </w:rPr>
            </w:pPr>
          </w:p>
        </w:tc>
        <w:tc>
          <w:tcPr>
            <w:tcW w:w="1800" w:type="dxa"/>
            <w:tcBorders>
              <w:top w:val="nil"/>
              <w:left w:val="nil"/>
              <w:bottom w:val="nil"/>
              <w:right w:val="nil"/>
            </w:tcBorders>
            <w:shd w:val="clear" w:color="auto" w:fill="auto"/>
            <w:vAlign w:val="center"/>
          </w:tcPr>
          <w:p w14:paraId="4C4C3F92">
            <w:pPr>
              <w:jc w:val="left"/>
              <w:rPr>
                <w:rFonts w:hint="eastAsia" w:ascii="仿宋" w:hAnsi="仿宋" w:eastAsia="仿宋" w:cs="仿宋"/>
                <w:i w:val="0"/>
                <w:iCs w:val="0"/>
                <w:color w:val="000000"/>
                <w:sz w:val="24"/>
                <w:szCs w:val="24"/>
                <w:u w:val="none"/>
              </w:rPr>
            </w:pPr>
          </w:p>
        </w:tc>
        <w:tc>
          <w:tcPr>
            <w:tcW w:w="5967" w:type="dxa"/>
            <w:tcBorders>
              <w:top w:val="nil"/>
              <w:left w:val="nil"/>
              <w:bottom w:val="nil"/>
              <w:right w:val="nil"/>
            </w:tcBorders>
            <w:shd w:val="clear" w:color="auto" w:fill="auto"/>
            <w:vAlign w:val="center"/>
          </w:tcPr>
          <w:p w14:paraId="228F3FCC">
            <w:pPr>
              <w:jc w:val="left"/>
              <w:rPr>
                <w:rFonts w:hint="eastAsia" w:ascii="仿宋" w:hAnsi="仿宋" w:eastAsia="仿宋" w:cs="仿宋"/>
                <w:i w:val="0"/>
                <w:iCs w:val="0"/>
                <w:color w:val="000000"/>
                <w:sz w:val="24"/>
                <w:szCs w:val="24"/>
                <w:u w:val="none"/>
              </w:rPr>
            </w:pPr>
          </w:p>
        </w:tc>
        <w:tc>
          <w:tcPr>
            <w:tcW w:w="1683" w:type="dxa"/>
            <w:tcBorders>
              <w:top w:val="nil"/>
              <w:left w:val="nil"/>
              <w:bottom w:val="nil"/>
              <w:right w:val="nil"/>
            </w:tcBorders>
            <w:shd w:val="clear" w:color="auto" w:fill="auto"/>
            <w:vAlign w:val="center"/>
          </w:tcPr>
          <w:p w14:paraId="2372013E">
            <w:pPr>
              <w:jc w:val="center"/>
              <w:rPr>
                <w:rFonts w:hint="eastAsia" w:ascii="仿宋" w:hAnsi="仿宋" w:eastAsia="仿宋" w:cs="仿宋"/>
                <w:i w:val="0"/>
                <w:iCs w:val="0"/>
                <w:color w:val="000000"/>
                <w:sz w:val="24"/>
                <w:szCs w:val="24"/>
                <w:u w:val="none"/>
              </w:rPr>
            </w:pPr>
          </w:p>
        </w:tc>
        <w:tc>
          <w:tcPr>
            <w:tcW w:w="1750" w:type="dxa"/>
            <w:tcBorders>
              <w:top w:val="nil"/>
              <w:left w:val="nil"/>
              <w:bottom w:val="nil"/>
              <w:right w:val="nil"/>
            </w:tcBorders>
            <w:shd w:val="clear" w:color="auto" w:fill="auto"/>
            <w:vAlign w:val="center"/>
          </w:tcPr>
          <w:p w14:paraId="10D0C075">
            <w:pPr>
              <w:jc w:val="center"/>
              <w:rPr>
                <w:rFonts w:hint="eastAsia" w:ascii="仿宋" w:hAnsi="仿宋" w:eastAsia="仿宋" w:cs="仿宋"/>
                <w:i w:val="0"/>
                <w:iCs w:val="0"/>
                <w:color w:val="000000"/>
                <w:sz w:val="24"/>
                <w:szCs w:val="24"/>
                <w:u w:val="none"/>
              </w:rPr>
            </w:pPr>
          </w:p>
        </w:tc>
        <w:tc>
          <w:tcPr>
            <w:tcW w:w="1700" w:type="dxa"/>
            <w:tcBorders>
              <w:top w:val="nil"/>
              <w:left w:val="nil"/>
              <w:bottom w:val="nil"/>
              <w:right w:val="nil"/>
            </w:tcBorders>
            <w:shd w:val="clear" w:color="auto" w:fill="auto"/>
            <w:vAlign w:val="center"/>
          </w:tcPr>
          <w:p w14:paraId="49461640">
            <w:pPr>
              <w:jc w:val="center"/>
              <w:rPr>
                <w:rFonts w:hint="eastAsia" w:ascii="仿宋" w:hAnsi="仿宋" w:eastAsia="仿宋" w:cs="仿宋"/>
                <w:i w:val="0"/>
                <w:iCs w:val="0"/>
                <w:color w:val="000000"/>
                <w:sz w:val="24"/>
                <w:szCs w:val="24"/>
                <w:u w:val="none"/>
              </w:rPr>
            </w:pPr>
          </w:p>
        </w:tc>
        <w:tc>
          <w:tcPr>
            <w:tcW w:w="1217" w:type="dxa"/>
            <w:tcBorders>
              <w:top w:val="nil"/>
              <w:left w:val="nil"/>
              <w:bottom w:val="nil"/>
              <w:right w:val="nil"/>
            </w:tcBorders>
            <w:shd w:val="clear" w:color="auto" w:fill="auto"/>
            <w:vAlign w:val="center"/>
          </w:tcPr>
          <w:p w14:paraId="5BD6EC78">
            <w:pPr>
              <w:jc w:val="center"/>
              <w:rPr>
                <w:rFonts w:hint="eastAsia" w:ascii="仿宋" w:hAnsi="仿宋" w:eastAsia="仿宋" w:cs="仿宋"/>
                <w:i w:val="0"/>
                <w:iCs w:val="0"/>
                <w:color w:val="000000"/>
                <w:sz w:val="24"/>
                <w:szCs w:val="24"/>
                <w:u w:val="none"/>
              </w:rPr>
            </w:pPr>
          </w:p>
        </w:tc>
      </w:tr>
      <w:tr w14:paraId="2263F4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14917" w:type="dxa"/>
            <w:gridSpan w:val="7"/>
            <w:tcBorders>
              <w:top w:val="nil"/>
              <w:left w:val="nil"/>
              <w:bottom w:val="nil"/>
              <w:right w:val="nil"/>
            </w:tcBorders>
            <w:shd w:val="clear" w:color="auto" w:fill="auto"/>
            <w:noWrap/>
            <w:vAlign w:val="center"/>
          </w:tcPr>
          <w:p w14:paraId="3138B3F8">
            <w:pPr>
              <w:keepNext w:val="0"/>
              <w:keepLines w:val="0"/>
              <w:widowControl/>
              <w:suppressLineNumbers w:val="0"/>
              <w:jc w:val="center"/>
              <w:textAlignment w:val="center"/>
              <w:rPr>
                <w:rFonts w:hint="default" w:ascii="方正小标宋简体" w:hAnsi="方正小标宋简体" w:eastAsia="方正小标宋简体" w:cs="方正小标宋简体"/>
                <w:b/>
                <w:bCs/>
                <w:i w:val="0"/>
                <w:iCs w:val="0"/>
                <w:color w:val="000000"/>
                <w:sz w:val="40"/>
                <w:szCs w:val="40"/>
                <w:u w:val="none"/>
              </w:rPr>
            </w:pPr>
            <w:r>
              <w:rPr>
                <w:rFonts w:hint="default" w:ascii="方正小标宋简体" w:hAnsi="方正小标宋简体" w:eastAsia="方正小标宋简体" w:cs="方正小标宋简体"/>
                <w:b/>
                <w:bCs/>
                <w:i w:val="0"/>
                <w:iCs w:val="0"/>
                <w:color w:val="000000"/>
                <w:kern w:val="0"/>
                <w:sz w:val="40"/>
                <w:szCs w:val="40"/>
                <w:u w:val="none"/>
                <w:lang w:val="en-US" w:eastAsia="zh-CN" w:bidi="ar"/>
              </w:rPr>
              <w:t>藁城区司法局行政处罚事项清单</w:t>
            </w:r>
          </w:p>
        </w:tc>
      </w:tr>
      <w:tr w14:paraId="2A720B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80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450B3D">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序号</w:t>
            </w:r>
          </w:p>
        </w:tc>
        <w:tc>
          <w:tcPr>
            <w:tcW w:w="180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8C505B">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事项名称</w:t>
            </w:r>
          </w:p>
        </w:tc>
        <w:tc>
          <w:tcPr>
            <w:tcW w:w="5967"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0F8C0B">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实施依据</w:t>
            </w:r>
          </w:p>
        </w:tc>
        <w:tc>
          <w:tcPr>
            <w:tcW w:w="5133"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04F8B2">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实施主体</w:t>
            </w:r>
          </w:p>
        </w:tc>
        <w:tc>
          <w:tcPr>
            <w:tcW w:w="1217"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DCC3BD">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事项备注</w:t>
            </w:r>
          </w:p>
        </w:tc>
      </w:tr>
      <w:tr w14:paraId="54CCC4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6" w:hRule="atLeast"/>
        </w:trPr>
        <w:tc>
          <w:tcPr>
            <w:tcW w:w="80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3E695D">
            <w:pPr>
              <w:jc w:val="center"/>
              <w:rPr>
                <w:rFonts w:hint="eastAsia" w:ascii="黑体" w:hAnsi="宋体" w:eastAsia="黑体" w:cs="黑体"/>
                <w:i w:val="0"/>
                <w:iCs w:val="0"/>
                <w:color w:val="000000"/>
                <w:sz w:val="24"/>
                <w:szCs w:val="24"/>
                <w:u w:val="none"/>
              </w:rPr>
            </w:pPr>
          </w:p>
        </w:tc>
        <w:tc>
          <w:tcPr>
            <w:tcW w:w="180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FAB0A7">
            <w:pPr>
              <w:jc w:val="center"/>
              <w:rPr>
                <w:rFonts w:hint="eastAsia" w:ascii="黑体" w:hAnsi="宋体" w:eastAsia="黑体" w:cs="黑体"/>
                <w:i w:val="0"/>
                <w:iCs w:val="0"/>
                <w:color w:val="000000"/>
                <w:sz w:val="24"/>
                <w:szCs w:val="24"/>
                <w:u w:val="none"/>
              </w:rPr>
            </w:pPr>
          </w:p>
        </w:tc>
        <w:tc>
          <w:tcPr>
            <w:tcW w:w="596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BFA4D0">
            <w:pPr>
              <w:jc w:val="center"/>
              <w:rPr>
                <w:rFonts w:hint="eastAsia" w:ascii="黑体" w:hAnsi="宋体" w:eastAsia="黑体" w:cs="黑体"/>
                <w:i w:val="0"/>
                <w:iCs w:val="0"/>
                <w:color w:val="000000"/>
                <w:sz w:val="24"/>
                <w:szCs w:val="24"/>
                <w:u w:val="none"/>
              </w:rPr>
            </w:pPr>
          </w:p>
        </w:tc>
        <w:tc>
          <w:tcPr>
            <w:tcW w:w="168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BF7578">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法定实施主体</w:t>
            </w:r>
          </w:p>
        </w:tc>
        <w:tc>
          <w:tcPr>
            <w:tcW w:w="1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18E406">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法定行使层级</w:t>
            </w:r>
          </w:p>
        </w:tc>
        <w:tc>
          <w:tcPr>
            <w:tcW w:w="17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3F1C8D">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第一责任层级</w:t>
            </w:r>
          </w:p>
        </w:tc>
        <w:tc>
          <w:tcPr>
            <w:tcW w:w="121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FDD6BB">
            <w:pPr>
              <w:jc w:val="center"/>
              <w:rPr>
                <w:rFonts w:hint="eastAsia" w:ascii="黑体" w:hAnsi="宋体" w:eastAsia="黑体" w:cs="黑体"/>
                <w:i w:val="0"/>
                <w:iCs w:val="0"/>
                <w:color w:val="000000"/>
                <w:sz w:val="24"/>
                <w:szCs w:val="24"/>
                <w:u w:val="none"/>
              </w:rPr>
            </w:pPr>
          </w:p>
        </w:tc>
      </w:tr>
      <w:tr w14:paraId="01AEE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80" w:hRule="atLeast"/>
        </w:trPr>
        <w:tc>
          <w:tcPr>
            <w:tcW w:w="80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852A4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1</w:t>
            </w:r>
          </w:p>
        </w:tc>
        <w:tc>
          <w:tcPr>
            <w:tcW w:w="18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E56256A">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对基层法律服务工作者超越业务范围和诉讼代理执业区域执业等行为的行政处罚</w:t>
            </w:r>
          </w:p>
        </w:tc>
        <w:tc>
          <w:tcPr>
            <w:tcW w:w="596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2A2CA39">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《基层法律服务工作者管理办法》第四十六条</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基层法律服务工作者有下列行为之一的，由所在地县级司法行政机关或者直辖市的区（县）司法行政机关予以警告；有违法所得的，依照法律、法规的规定没收违法所得，并由设区的市级或者直辖市的区（县）司法行政机关处以违法所得三倍以下的罚款，罚款数额最高为三万元：</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（一）超越业务范围和诉讼代理执业区域的；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（二）以贬损他人、抬高自己、虚假承诺或者支付介绍费等不正当手段争揽业务的；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（三）曾担任法官的基层法律服务工作者，担任原任职法院办理案件的诉讼代理人的；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（四）冒用律师名义执业的；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（五）同时在基层法律服务所和律师事务所或者公证机构执业，或者同时在两个以上基层法律服务所执业的；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（六）无正当理由拒绝履行法律援助义务的；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（七）明知委托人的要求是非法的、欺诈性的，仍为其提供帮助的；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（八）在代理活动中超越代理权限或者滥用代理权，侵犯被代理人合法利益的；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（九）在同一诉讼、仲裁、行政裁决中，为双方当事人或者有利害关系的第三人代理的；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（十）不遵守与当事人订立的委托合同，拒绝或者疏怠履行法律服务义务，损害委托人合法权益的；</w:t>
            </w:r>
          </w:p>
          <w:p w14:paraId="7ECF1E48">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（十一）在调解、代理、法律顾问等执业活动中压制、侮辱、报复当事人，造成恶劣影响的；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（十二）不按规定接受年度考核，或者在年度考核中弄虚作假的；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（十三）泄露在执业活动中知悉的商业秘密或者个人隐私的；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（十四）以影响案件审判、仲裁或者行政裁定结果为目的，违反规定会见有关司法、仲裁或者行政执法人员，或者向其请客送礼的；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（十五）私自接受委托承办法律事务，或者私自收取费用，或者向委托人索要额外报酬的；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（十六）在代理活动中收受对方当事人、利害关系人财物或者与其恶意串通，损害委托人合法权益的；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（十七）违反司法、仲裁、行政执法工作有关制度规定，干扰或者阻碍司法、仲裁、行政执法工作正常进行的；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（十八）泄露在执业活动中知悉的国家秘密的；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（十九）伪造、隐匿、毁灭证据或者故意协助委托人伪造、隐匿、毁灭证据的；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（二十）向有关司法人员、仲裁员或者行政执法人员行贿、介绍贿赂，或者指使、诱导委托人向其行贿的；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（二十一）法律、法规、规章规定应予处罚的其他行为。</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司法行政机关对基层法律服务工作者实施上述行政处罚的同时，应当责令其改正。</w:t>
            </w:r>
          </w:p>
        </w:tc>
        <w:tc>
          <w:tcPr>
            <w:tcW w:w="168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B1A37E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司法行政部门</w:t>
            </w:r>
          </w:p>
        </w:tc>
        <w:tc>
          <w:tcPr>
            <w:tcW w:w="175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D2CA6C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市级、县级</w:t>
            </w:r>
          </w:p>
        </w:tc>
        <w:tc>
          <w:tcPr>
            <w:tcW w:w="17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6384CA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市级或县级</w:t>
            </w:r>
          </w:p>
        </w:tc>
        <w:tc>
          <w:tcPr>
            <w:tcW w:w="121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1762996">
            <w:pPr>
              <w:jc w:val="center"/>
              <w:rPr>
                <w:rFonts w:hint="eastAsia" w:ascii="仿宋" w:hAnsi="仿宋" w:eastAsia="仿宋" w:cs="仿宋"/>
                <w:i w:val="0"/>
                <w:iCs w:val="0"/>
                <w:color w:val="000000"/>
                <w:sz w:val="24"/>
                <w:szCs w:val="24"/>
                <w:u w:val="none"/>
              </w:rPr>
            </w:pPr>
          </w:p>
        </w:tc>
      </w:tr>
      <w:tr w14:paraId="262155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15" w:hRule="atLeast"/>
        </w:trPr>
        <w:tc>
          <w:tcPr>
            <w:tcW w:w="80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828FFE">
            <w:pPr>
              <w:jc w:val="center"/>
              <w:rPr>
                <w:rFonts w:hint="eastAsia" w:ascii="仿宋" w:hAnsi="仿宋" w:eastAsia="仿宋" w:cs="仿宋"/>
                <w:i w:val="0"/>
                <w:iCs w:val="0"/>
                <w:color w:val="000000"/>
                <w:sz w:val="24"/>
                <w:szCs w:val="24"/>
                <w:u w:val="none"/>
              </w:rPr>
            </w:pPr>
          </w:p>
        </w:tc>
        <w:tc>
          <w:tcPr>
            <w:tcW w:w="18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8C0F90">
            <w:pPr>
              <w:jc w:val="left"/>
              <w:rPr>
                <w:rFonts w:hint="eastAsia" w:ascii="仿宋" w:hAnsi="仿宋" w:eastAsia="仿宋" w:cs="仿宋"/>
                <w:i w:val="0"/>
                <w:iCs w:val="0"/>
                <w:color w:val="000000"/>
                <w:sz w:val="24"/>
                <w:szCs w:val="24"/>
                <w:u w:val="none"/>
              </w:rPr>
            </w:pPr>
          </w:p>
        </w:tc>
        <w:tc>
          <w:tcPr>
            <w:tcW w:w="596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6BD950">
            <w:pPr>
              <w:jc w:val="left"/>
              <w:rPr>
                <w:rFonts w:hint="eastAsia" w:ascii="仿宋" w:hAnsi="仿宋" w:eastAsia="仿宋" w:cs="仿宋"/>
                <w:i w:val="0"/>
                <w:iCs w:val="0"/>
                <w:color w:val="000000"/>
                <w:sz w:val="24"/>
                <w:szCs w:val="24"/>
                <w:u w:val="none"/>
              </w:rPr>
            </w:pPr>
          </w:p>
        </w:tc>
        <w:tc>
          <w:tcPr>
            <w:tcW w:w="168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420278">
            <w:pPr>
              <w:jc w:val="center"/>
              <w:rPr>
                <w:rFonts w:hint="eastAsia" w:ascii="仿宋" w:hAnsi="仿宋" w:eastAsia="仿宋" w:cs="仿宋"/>
                <w:i w:val="0"/>
                <w:iCs w:val="0"/>
                <w:color w:val="000000"/>
                <w:sz w:val="24"/>
                <w:szCs w:val="24"/>
                <w:u w:val="none"/>
              </w:rPr>
            </w:pPr>
          </w:p>
        </w:tc>
        <w:tc>
          <w:tcPr>
            <w:tcW w:w="175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85AEEE">
            <w:pPr>
              <w:jc w:val="center"/>
              <w:rPr>
                <w:rFonts w:hint="eastAsia" w:ascii="仿宋" w:hAnsi="仿宋" w:eastAsia="仿宋" w:cs="仿宋"/>
                <w:i w:val="0"/>
                <w:iCs w:val="0"/>
                <w:color w:val="000000"/>
                <w:sz w:val="24"/>
                <w:szCs w:val="24"/>
                <w:u w:val="none"/>
              </w:rPr>
            </w:pPr>
          </w:p>
        </w:tc>
        <w:tc>
          <w:tcPr>
            <w:tcW w:w="17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6DA885">
            <w:pPr>
              <w:jc w:val="center"/>
              <w:rPr>
                <w:rFonts w:hint="eastAsia" w:ascii="仿宋" w:hAnsi="仿宋" w:eastAsia="仿宋" w:cs="仿宋"/>
                <w:i w:val="0"/>
                <w:iCs w:val="0"/>
                <w:color w:val="000000"/>
                <w:sz w:val="24"/>
                <w:szCs w:val="24"/>
                <w:u w:val="none"/>
              </w:rPr>
            </w:pPr>
          </w:p>
        </w:tc>
        <w:tc>
          <w:tcPr>
            <w:tcW w:w="121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CF3A0D">
            <w:pPr>
              <w:jc w:val="center"/>
              <w:rPr>
                <w:rFonts w:hint="eastAsia" w:ascii="仿宋" w:hAnsi="仿宋" w:eastAsia="仿宋" w:cs="仿宋"/>
                <w:i w:val="0"/>
                <w:iCs w:val="0"/>
                <w:color w:val="000000"/>
                <w:sz w:val="24"/>
                <w:szCs w:val="24"/>
                <w:u w:val="none"/>
              </w:rPr>
            </w:pPr>
          </w:p>
        </w:tc>
      </w:tr>
      <w:tr w14:paraId="3C2037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97"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B437A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2</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72E6E">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对基层法律服务所超越业务范围和诉讼代理执业区域行为的行政处罚</w:t>
            </w:r>
          </w:p>
        </w:tc>
        <w:tc>
          <w:tcPr>
            <w:tcW w:w="5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39BEA">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《基层法律服务所管理办法》第三十六条</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基层法律服务所有下列行为之一的，由所在地县级司法行政机关或者直辖市的区（县）司法行政机关予以警告；有违法所得的，依照法律、法规的规定没收违法所得，并由设区的市级或者直辖市的区（县）司法行政机关处以违法所得三倍以下的罚款，罚款数额最高为三万元：</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（一）超越业务范围和诉讼代理执业区域的；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（二）违反规定不以基层法律服务所名义统一接受委托、统一收取服务费，不向委托人出具有效收费凭证的；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（三）冒用律师事务所名义执业的；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（四）以贬损他人、抬高自己、虚假承诺或者支付介绍费等不正当手段争揽业务的；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（五）伪造、涂改、抵押、出租、出借本所执业证的；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（六）违反规定变更本所名称、法定代表人或者负责人、合伙人、住所和章程的；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（七）不按规定接受年度考核，或者在年度考核中弄虚作假的；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（八）违反财务管理规定，私分、挪用或者以其他方式非法处置本所资产的；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（九）聘用未获准基层法律服务工作者执业的人员以基层法律服务工作者名义承办业务的；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（十）放纵、包庇本所基层法律服务工作者的违法违纪行为的；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（十一）内部管理混乱，无法正常开展业务的；</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（十二）法律、法规、规章规定应予处罚的其他行为。</w:t>
            </w:r>
          </w:p>
        </w:tc>
        <w:tc>
          <w:tcPr>
            <w:tcW w:w="16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F0845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司法行政部门</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B7CCA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市级、县级</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8DC99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市级或县级</w:t>
            </w:r>
          </w:p>
        </w:tc>
        <w:tc>
          <w:tcPr>
            <w:tcW w:w="12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63694A">
            <w:pPr>
              <w:jc w:val="left"/>
              <w:rPr>
                <w:rFonts w:hint="eastAsia" w:ascii="仿宋" w:hAnsi="仿宋" w:eastAsia="仿宋" w:cs="仿宋"/>
                <w:i w:val="0"/>
                <w:iCs w:val="0"/>
                <w:color w:val="000000"/>
                <w:sz w:val="24"/>
                <w:szCs w:val="24"/>
                <w:u w:val="none"/>
              </w:rPr>
            </w:pPr>
          </w:p>
        </w:tc>
      </w:tr>
      <w:tr w14:paraId="3FE90E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49"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22B91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3</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70BC1">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对基层法律服务所无正当理由拒绝履行法律援助义务或者怠于履行法律援助义务等行为的行政处罚</w:t>
            </w:r>
          </w:p>
        </w:tc>
        <w:tc>
          <w:tcPr>
            <w:tcW w:w="5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C983F0">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《中华人民共和国法律援助法》第六十二条</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律师事务所、基层法律服务所有下列情形之一的，由司法行政部门依法给予处罚：</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（一）无正当理由拒绝接受法律援助机构指派；</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（二）接受指派后，不及时安排本所律师、基层法律服务工作者办理法律援助事项或者拒绝为本所律师、基层法律服务工作者办理法律援助事项提供支持和保障；</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（三）纵容或者放任本所律师、基层法律服务工作者怠于履行法律援助义务或者擅自终止提供法律援助；</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（四）法律法规规定的其他情形。</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《基层法律服务所管理办法》第三十六条第（十二）项</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由所在地县级司法行政机关或者直辖市的区（县）司法行政机关予以警告；有违法所得的，依照法律、法规的规定没收违法所得，并由设区的市级或者直辖市的区（县）司法行政机关处以违法所得三倍以下的罚款，罚款数额最高为三万元。</w:t>
            </w:r>
          </w:p>
        </w:tc>
        <w:tc>
          <w:tcPr>
            <w:tcW w:w="16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706B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司法行政部门</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DDA7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市级、县级</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5217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市级或县级</w:t>
            </w:r>
          </w:p>
        </w:tc>
        <w:tc>
          <w:tcPr>
            <w:tcW w:w="12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6958A5">
            <w:pPr>
              <w:jc w:val="left"/>
              <w:rPr>
                <w:rFonts w:hint="eastAsia" w:ascii="仿宋" w:hAnsi="仿宋" w:eastAsia="仿宋" w:cs="仿宋"/>
                <w:i w:val="0"/>
                <w:iCs w:val="0"/>
                <w:color w:val="000000"/>
                <w:sz w:val="24"/>
                <w:szCs w:val="24"/>
                <w:u w:val="none"/>
              </w:rPr>
            </w:pPr>
          </w:p>
        </w:tc>
      </w:tr>
      <w:tr w14:paraId="4A9BC7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3"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430EB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4</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0DE922">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对基层法律服务工作者无正当理由拒绝履行法律援助义务或者怠于履行法律援助义务等行为的行政处罚</w:t>
            </w:r>
          </w:p>
        </w:tc>
        <w:tc>
          <w:tcPr>
            <w:tcW w:w="5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E1321">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《中华人民共和国法律援助法》第六十三条</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律师、基层法律服务工作者有下列情形之一的，由司法行政部门依法给予处罚：</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（一）无正当理由拒绝履行法律援助义务或者怠于履行法律援助义务；</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（二）擅自终止提供法律援助；</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（三）收取受援人财物；</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（四）泄露法律援助过程中知悉的国家秘密、商业秘密和个人隐私；</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（五）法律法规规定的其他情形。</w:t>
            </w:r>
          </w:p>
        </w:tc>
        <w:tc>
          <w:tcPr>
            <w:tcW w:w="16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AC84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司法行政部门</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E237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市级、县级</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62A1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市级或县级</w:t>
            </w:r>
          </w:p>
        </w:tc>
        <w:tc>
          <w:tcPr>
            <w:tcW w:w="12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2EB96">
            <w:pPr>
              <w:jc w:val="left"/>
              <w:rPr>
                <w:rFonts w:hint="eastAsia" w:ascii="仿宋" w:hAnsi="仿宋" w:eastAsia="仿宋" w:cs="仿宋"/>
                <w:i w:val="0"/>
                <w:iCs w:val="0"/>
                <w:color w:val="000000"/>
                <w:sz w:val="24"/>
                <w:szCs w:val="24"/>
                <w:u w:val="none"/>
              </w:rPr>
            </w:pPr>
          </w:p>
        </w:tc>
      </w:tr>
      <w:tr w14:paraId="2823BA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80"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2D1A67">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5</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CE79A8">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对基层法律服务工作者冒用法律援助名义提供法律服务并谋取利益行为的行政处罚</w:t>
            </w:r>
          </w:p>
        </w:tc>
        <w:tc>
          <w:tcPr>
            <w:tcW w:w="5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0F4E3">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《中华人民共和国法律援助法》第六十五条</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由司法行政部门责令改正，没收违法所得，并处违法所得一倍以上三倍以下罚款。</w:t>
            </w:r>
          </w:p>
        </w:tc>
        <w:tc>
          <w:tcPr>
            <w:tcW w:w="16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AD3A3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司法行政部门</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3C8E2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市级、县级</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18BA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市级或县级</w:t>
            </w:r>
          </w:p>
        </w:tc>
        <w:tc>
          <w:tcPr>
            <w:tcW w:w="12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BD564">
            <w:pPr>
              <w:jc w:val="left"/>
              <w:rPr>
                <w:rFonts w:hint="eastAsia" w:ascii="仿宋" w:hAnsi="仿宋" w:eastAsia="仿宋" w:cs="仿宋"/>
                <w:i w:val="0"/>
                <w:iCs w:val="0"/>
                <w:color w:val="000000"/>
                <w:sz w:val="24"/>
                <w:szCs w:val="24"/>
                <w:u w:val="none"/>
              </w:rPr>
            </w:pPr>
          </w:p>
        </w:tc>
      </w:tr>
      <w:tr w14:paraId="5E1C9B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93" w:hRule="atLeast"/>
        </w:trPr>
        <w:tc>
          <w:tcPr>
            <w:tcW w:w="8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2B919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6</w:t>
            </w:r>
          </w:p>
        </w:tc>
        <w:tc>
          <w:tcPr>
            <w:tcW w:w="18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DEE2CB">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对司法鉴定机构超出其职责范围从事司法鉴定，从事与其技术能力不相称的司法鉴定的行政处罚</w:t>
            </w:r>
          </w:p>
        </w:tc>
        <w:tc>
          <w:tcPr>
            <w:tcW w:w="59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6E8C4">
            <w:pPr>
              <w:keepNext w:val="0"/>
              <w:keepLines w:val="0"/>
              <w:widowControl/>
              <w:suppressLineNumbers w:val="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《河北省司法鉴定管理条例》第三十二条</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司法鉴定机构违反本条例第十一条规定，由县级以上人民政府司法行政部门责令其撤销司法鉴定结论，返还鉴定费用，并可处以鉴定费用一至三倍的罚款；拒不执行的，责令其停业整顿；情节严重的，由省人民政府司法行政部门吊销其《司法鉴定许可证》，取消有关责任人的司法鉴定资格。</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第十一条</w:t>
            </w:r>
          </w:p>
          <w:p w14:paraId="7FABFB2B">
            <w:pPr>
              <w:keepNext w:val="0"/>
              <w:keepLines w:val="0"/>
              <w:widowControl/>
              <w:suppressLineNumbers w:val="0"/>
              <w:jc w:val="left"/>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司法鉴定机构不得超出其职责范围从事司法鉴定，不得从事与其技术能力不相称的司法鉴定。</w:t>
            </w:r>
          </w:p>
        </w:tc>
        <w:tc>
          <w:tcPr>
            <w:tcW w:w="168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51C45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司法行政部门</w:t>
            </w:r>
          </w:p>
        </w:tc>
        <w:tc>
          <w:tcPr>
            <w:tcW w:w="1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FCF3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省级、市级、县级</w:t>
            </w:r>
          </w:p>
        </w:tc>
        <w:tc>
          <w:tcPr>
            <w:tcW w:w="17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94E66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县级</w:t>
            </w:r>
          </w:p>
        </w:tc>
        <w:tc>
          <w:tcPr>
            <w:tcW w:w="12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EBD3C">
            <w:pPr>
              <w:jc w:val="left"/>
              <w:rPr>
                <w:rFonts w:hint="eastAsia" w:ascii="仿宋" w:hAnsi="仿宋" w:eastAsia="仿宋" w:cs="仿宋"/>
                <w:i w:val="0"/>
                <w:iCs w:val="0"/>
                <w:color w:val="000000"/>
                <w:sz w:val="24"/>
                <w:szCs w:val="24"/>
                <w:u w:val="none"/>
              </w:rPr>
            </w:pPr>
          </w:p>
        </w:tc>
      </w:tr>
    </w:tbl>
    <w:p w14:paraId="4EB6F8AA"/>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黑体"/>
    <w:panose1 w:val="03000509000000000000"/>
    <w:charset w:val="86"/>
    <w:family w:val="auto"/>
    <w:pitch w:val="default"/>
    <w:sig w:usb0="00000000" w:usb1="00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1B611CF"/>
    <w:rsid w:val="01B611CF"/>
    <w:rsid w:val="054B0002"/>
    <w:rsid w:val="4A8E35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12</Pages>
  <Words>3656</Words>
  <Characters>3731</Characters>
  <Lines>0</Lines>
  <Paragraphs>0</Paragraphs>
  <TotalTime>43</TotalTime>
  <ScaleCrop>false</ScaleCrop>
  <LinksUpToDate>false</LinksUpToDate>
  <CharactersWithSpaces>3745</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2024-12-17T01:34:00Z</dcterms:created>
  <dc:creator>郑妍</dc:creator>
  <cp:lastModifiedBy>郑妍</cp:lastModifiedBy>
  <dcterms:modified xsi:type="dcterms:W3CDTF">2024-12-17T06:38:10Z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E329F1544B404874BF3D2CB98BB28CCB_11</vt:lpwstr>
  </property>
</Properties>
</file>