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5A70B">
      <w:pPr>
        <w:keepNext w:val="0"/>
        <w:keepLines w:val="0"/>
        <w:pageBreakBefore w:val="0"/>
        <w:kinsoku/>
        <w:wordWrap/>
        <w:overflowPunct/>
        <w:topLinePunct w:val="0"/>
        <w:autoSpaceDE/>
        <w:bidi w:val="0"/>
        <w:spacing w:line="580" w:lineRule="exact"/>
        <w:jc w:val="both"/>
        <w:rPr>
          <w:rFonts w:hint="eastAsia" w:ascii="仿宋" w:hAnsi="仿宋" w:eastAsia="仿宋" w:cs="仿宋"/>
          <w:sz w:val="32"/>
          <w:szCs w:val="32"/>
        </w:rPr>
      </w:pPr>
    </w:p>
    <w:p w14:paraId="040A80D9">
      <w:pPr>
        <w:pStyle w:val="4"/>
        <w:keepNext w:val="0"/>
        <w:keepLines w:val="0"/>
        <w:pageBreakBefore w:val="0"/>
        <w:kinsoku/>
        <w:wordWrap/>
        <w:overflowPunct/>
        <w:topLinePunct w:val="0"/>
        <w:autoSpaceDE/>
        <w:bidi w:val="0"/>
        <w:spacing w:line="580" w:lineRule="exact"/>
        <w:jc w:val="both"/>
        <w:rPr>
          <w:rFonts w:hint="eastAsia" w:ascii="仿宋" w:hAnsi="仿宋" w:eastAsia="仿宋" w:cs="仿宋"/>
          <w:sz w:val="32"/>
          <w:szCs w:val="32"/>
        </w:rPr>
      </w:pPr>
    </w:p>
    <w:p w14:paraId="4D8672C1">
      <w:pPr>
        <w:pStyle w:val="5"/>
        <w:keepNext w:val="0"/>
        <w:keepLines w:val="0"/>
        <w:pageBreakBefore w:val="0"/>
        <w:kinsoku/>
        <w:wordWrap/>
        <w:overflowPunct/>
        <w:topLinePunct w:val="0"/>
        <w:autoSpaceDE/>
        <w:bidi w:val="0"/>
        <w:spacing w:line="580" w:lineRule="exact"/>
        <w:jc w:val="both"/>
        <w:rPr>
          <w:rFonts w:hint="eastAsia" w:ascii="仿宋" w:hAnsi="仿宋" w:eastAsia="仿宋" w:cs="仿宋"/>
          <w:sz w:val="32"/>
          <w:szCs w:val="32"/>
        </w:rPr>
      </w:pPr>
    </w:p>
    <w:p w14:paraId="6160E280">
      <w:pPr>
        <w:pStyle w:val="6"/>
        <w:keepNext w:val="0"/>
        <w:keepLines w:val="0"/>
        <w:pageBreakBefore w:val="0"/>
        <w:kinsoku/>
        <w:wordWrap/>
        <w:overflowPunct/>
        <w:topLinePunct w:val="0"/>
        <w:autoSpaceDE/>
        <w:bidi w:val="0"/>
        <w:spacing w:before="0" w:beforeLines="0" w:after="0" w:afterLines="0" w:line="580" w:lineRule="exact"/>
        <w:jc w:val="both"/>
        <w:rPr>
          <w:rFonts w:hint="eastAsia" w:ascii="仿宋" w:hAnsi="仿宋" w:eastAsia="仿宋" w:cs="仿宋"/>
          <w:sz w:val="32"/>
          <w:szCs w:val="32"/>
        </w:rPr>
      </w:pPr>
    </w:p>
    <w:p w14:paraId="52E65742">
      <w:pPr>
        <w:pStyle w:val="5"/>
        <w:keepNext w:val="0"/>
        <w:keepLines w:val="0"/>
        <w:pageBreakBefore w:val="0"/>
        <w:kinsoku/>
        <w:wordWrap/>
        <w:overflowPunct/>
        <w:topLinePunct w:val="0"/>
        <w:autoSpaceDE/>
        <w:bidi w:val="0"/>
        <w:spacing w:line="580" w:lineRule="exact"/>
        <w:jc w:val="both"/>
        <w:rPr>
          <w:rFonts w:hint="eastAsia" w:ascii="仿宋" w:hAnsi="仿宋" w:eastAsia="仿宋" w:cs="仿宋"/>
          <w:sz w:val="32"/>
          <w:szCs w:val="32"/>
        </w:rPr>
      </w:pPr>
    </w:p>
    <w:p w14:paraId="242A78AC">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center"/>
        <w:textAlignment w:val="auto"/>
        <w:rPr>
          <w:rFonts w:hint="eastAsia" w:ascii="宋体" w:hAnsi="宋体" w:eastAsia="宋体" w:cs="宋体"/>
          <w:color w:val="333333"/>
          <w:sz w:val="44"/>
          <w:szCs w:val="44"/>
          <w:shd w:val="clear" w:color="auto" w:fill="FFFFFF"/>
        </w:rPr>
      </w:pPr>
      <w:r>
        <w:rPr>
          <w:rFonts w:hint="eastAsia" w:ascii="宋体" w:hAnsi="宋体" w:eastAsia="宋体" w:cs="宋体"/>
          <w:color w:val="333333"/>
          <w:sz w:val="44"/>
          <w:szCs w:val="44"/>
          <w:shd w:val="clear" w:color="auto" w:fill="FFFFFF"/>
        </w:rPr>
        <w:t>石家庄市</w:t>
      </w:r>
      <w:r>
        <w:rPr>
          <w:rFonts w:hint="eastAsia" w:ascii="宋体" w:hAnsi="宋体" w:eastAsia="宋体" w:cs="宋体"/>
          <w:color w:val="333333"/>
          <w:sz w:val="44"/>
          <w:szCs w:val="44"/>
          <w:shd w:val="clear" w:color="auto" w:fill="FFFFFF"/>
          <w:lang w:eastAsia="zh-CN"/>
        </w:rPr>
        <w:t>藁城区</w:t>
      </w:r>
      <w:r>
        <w:rPr>
          <w:rFonts w:hint="eastAsia" w:ascii="宋体" w:hAnsi="宋体" w:eastAsia="宋体" w:cs="宋体"/>
          <w:color w:val="333333"/>
          <w:sz w:val="44"/>
          <w:szCs w:val="44"/>
          <w:shd w:val="clear" w:color="auto" w:fill="FFFFFF"/>
        </w:rPr>
        <w:t>农业农村局</w:t>
      </w:r>
    </w:p>
    <w:p w14:paraId="7126F5CB">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center"/>
        <w:textAlignment w:val="auto"/>
        <w:rPr>
          <w:rFonts w:hint="eastAsia" w:ascii="宋体" w:hAnsi="宋体" w:eastAsia="宋体" w:cs="宋体"/>
          <w:color w:val="333333"/>
          <w:sz w:val="44"/>
          <w:szCs w:val="44"/>
          <w:shd w:val="clear" w:color="auto" w:fill="FFFFFF"/>
        </w:rPr>
      </w:pPr>
      <w:r>
        <w:rPr>
          <w:rFonts w:hint="eastAsia" w:ascii="宋体" w:hAnsi="宋体" w:eastAsia="宋体" w:cs="宋体"/>
          <w:color w:val="333333"/>
          <w:sz w:val="44"/>
          <w:szCs w:val="44"/>
          <w:shd w:val="clear" w:color="auto" w:fill="FFFFFF"/>
        </w:rPr>
        <w:t>关于印发《202</w:t>
      </w:r>
      <w:r>
        <w:rPr>
          <w:rFonts w:hint="eastAsia" w:ascii="宋体" w:hAnsi="宋体" w:eastAsia="宋体" w:cs="宋体"/>
          <w:color w:val="333333"/>
          <w:sz w:val="44"/>
          <w:szCs w:val="44"/>
          <w:shd w:val="clear" w:color="auto" w:fill="FFFFFF"/>
          <w:lang w:val="en-US" w:eastAsia="zh-CN"/>
        </w:rPr>
        <w:t>4</w:t>
      </w:r>
      <w:r>
        <w:rPr>
          <w:rFonts w:hint="eastAsia" w:ascii="宋体" w:hAnsi="宋体" w:eastAsia="宋体" w:cs="宋体"/>
          <w:color w:val="333333"/>
          <w:sz w:val="44"/>
          <w:szCs w:val="44"/>
          <w:shd w:val="clear" w:color="auto" w:fill="FFFFFF"/>
        </w:rPr>
        <w:t>年“双随机、一公</w:t>
      </w:r>
      <w:r>
        <w:rPr>
          <w:rFonts w:hint="eastAsia" w:ascii="宋体" w:hAnsi="宋体" w:eastAsia="宋体" w:cs="宋体"/>
          <w:color w:val="333333"/>
          <w:sz w:val="44"/>
          <w:szCs w:val="44"/>
          <w:shd w:val="clear" w:color="auto" w:fill="FFFFFF"/>
          <w:lang w:eastAsia="zh-CN"/>
        </w:rPr>
        <w:t>开</w:t>
      </w:r>
      <w:r>
        <w:rPr>
          <w:rFonts w:hint="eastAsia" w:ascii="宋体" w:hAnsi="宋体" w:eastAsia="宋体" w:cs="宋体"/>
          <w:color w:val="333333"/>
          <w:sz w:val="44"/>
          <w:szCs w:val="44"/>
          <w:shd w:val="clear" w:color="auto" w:fill="FFFFFF"/>
        </w:rPr>
        <w:t>”监管工作实施方案》的通知</w:t>
      </w:r>
    </w:p>
    <w:p w14:paraId="1EFE5B11">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both"/>
        <w:textAlignment w:val="auto"/>
        <w:rPr>
          <w:rFonts w:hint="eastAsia" w:ascii="仿宋" w:hAnsi="仿宋" w:eastAsia="仿宋" w:cs="仿宋"/>
          <w:color w:val="333333"/>
          <w:sz w:val="32"/>
          <w:szCs w:val="32"/>
          <w:shd w:val="clear" w:color="auto" w:fill="FFFFFF"/>
        </w:rPr>
      </w:pPr>
    </w:p>
    <w:p w14:paraId="6232993D">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both"/>
        <w:textAlignment w:val="auto"/>
        <w:rPr>
          <w:rFonts w:hint="eastAsia" w:ascii="仿宋" w:hAnsi="仿宋" w:eastAsia="仿宋" w:cs="仿宋"/>
          <w:color w:val="000000"/>
          <w:kern w:val="60"/>
          <w:sz w:val="32"/>
          <w:szCs w:val="32"/>
          <w:lang w:val="en-US" w:eastAsia="zh-CN" w:bidi="ar-SA"/>
        </w:rPr>
      </w:pPr>
      <w:r>
        <w:rPr>
          <w:rFonts w:hint="eastAsia" w:ascii="仿宋" w:hAnsi="仿宋" w:eastAsia="仿宋" w:cs="仿宋"/>
          <w:color w:val="000000"/>
          <w:kern w:val="60"/>
          <w:sz w:val="32"/>
          <w:szCs w:val="32"/>
          <w:lang w:val="en-US" w:eastAsia="zh-CN" w:bidi="ar-SA"/>
        </w:rPr>
        <w:t>局属相关单位、股室：</w:t>
      </w:r>
    </w:p>
    <w:p w14:paraId="494EBC05">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ind w:firstLine="640" w:firstLineChars="200"/>
        <w:jc w:val="both"/>
        <w:textAlignment w:val="auto"/>
        <w:rPr>
          <w:rFonts w:hint="eastAsia" w:ascii="仿宋" w:hAnsi="仿宋" w:eastAsia="仿宋" w:cs="仿宋"/>
          <w:color w:val="000000"/>
          <w:kern w:val="60"/>
          <w:sz w:val="32"/>
          <w:szCs w:val="32"/>
          <w:lang w:val="en-US" w:eastAsia="zh-CN" w:bidi="ar-SA"/>
        </w:rPr>
      </w:pPr>
      <w:r>
        <w:rPr>
          <w:rFonts w:hint="eastAsia" w:ascii="仿宋" w:hAnsi="仿宋" w:eastAsia="仿宋" w:cs="仿宋"/>
          <w:color w:val="000000"/>
          <w:kern w:val="60"/>
          <w:sz w:val="32"/>
          <w:szCs w:val="32"/>
          <w:lang w:val="en-US" w:eastAsia="zh-CN" w:bidi="ar-SA"/>
        </w:rPr>
        <w:t>根据藁城区“双随机、一公开”监管工作领导小组办公室相关要求，为切实做好全区农业农村系统“双随机、一公开”监管工作，结合实际，研究制定了我局《2024年度“双随机、一公开”监管工作实施方案》。现予以印发，请认真抓好落实。</w:t>
      </w:r>
    </w:p>
    <w:p w14:paraId="6DD94166">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ind w:firstLine="2880" w:firstLineChars="900"/>
        <w:jc w:val="both"/>
        <w:textAlignment w:val="auto"/>
        <w:rPr>
          <w:rFonts w:hint="eastAsia" w:ascii="仿宋" w:hAnsi="仿宋" w:eastAsia="仿宋" w:cs="仿宋"/>
          <w:color w:val="000000"/>
          <w:kern w:val="60"/>
          <w:sz w:val="32"/>
          <w:szCs w:val="32"/>
          <w:lang w:val="en-US" w:eastAsia="zh-CN" w:bidi="ar-SA"/>
        </w:rPr>
      </w:pPr>
    </w:p>
    <w:p w14:paraId="6D1CE327">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ind w:firstLine="2880" w:firstLineChars="900"/>
        <w:jc w:val="both"/>
        <w:textAlignment w:val="auto"/>
        <w:rPr>
          <w:rFonts w:hint="eastAsia" w:ascii="仿宋" w:hAnsi="仿宋" w:eastAsia="仿宋" w:cs="仿宋"/>
          <w:color w:val="000000"/>
          <w:kern w:val="60"/>
          <w:sz w:val="32"/>
          <w:szCs w:val="32"/>
          <w:lang w:val="en-US" w:eastAsia="zh-CN" w:bidi="ar-SA"/>
        </w:rPr>
      </w:pPr>
    </w:p>
    <w:p w14:paraId="12E77678">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ind w:firstLine="3200" w:firstLineChars="1000"/>
        <w:jc w:val="both"/>
        <w:textAlignment w:val="auto"/>
        <w:rPr>
          <w:rFonts w:hint="eastAsia" w:ascii="仿宋" w:hAnsi="仿宋" w:eastAsia="仿宋" w:cs="仿宋"/>
          <w:color w:val="000000"/>
          <w:kern w:val="60"/>
          <w:sz w:val="32"/>
          <w:szCs w:val="32"/>
          <w:lang w:val="en-US" w:eastAsia="zh-CN" w:bidi="ar-SA"/>
        </w:rPr>
      </w:pPr>
      <w:r>
        <w:rPr>
          <w:rFonts w:hint="eastAsia" w:ascii="仿宋" w:hAnsi="仿宋" w:eastAsia="仿宋" w:cs="仿宋"/>
          <w:color w:val="000000"/>
          <w:kern w:val="60"/>
          <w:sz w:val="32"/>
          <w:szCs w:val="32"/>
          <w:lang w:val="en-US" w:eastAsia="zh-CN" w:bidi="ar-SA"/>
        </w:rPr>
        <w:t>石家庄市藁城区农业农村局</w:t>
      </w:r>
    </w:p>
    <w:p w14:paraId="7A4F29AD">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ind w:firstLine="3840" w:firstLineChars="1200"/>
        <w:jc w:val="both"/>
        <w:textAlignment w:val="auto"/>
        <w:rPr>
          <w:rFonts w:hint="eastAsia" w:ascii="仿宋" w:hAnsi="仿宋" w:eastAsia="仿宋" w:cs="仿宋"/>
          <w:color w:val="000000"/>
          <w:kern w:val="60"/>
          <w:sz w:val="32"/>
          <w:szCs w:val="32"/>
          <w:lang w:val="en-US" w:eastAsia="zh-CN" w:bidi="ar-SA"/>
        </w:rPr>
      </w:pPr>
      <w:r>
        <w:rPr>
          <w:rFonts w:hint="eastAsia" w:ascii="仿宋" w:hAnsi="仿宋" w:eastAsia="仿宋" w:cs="仿宋"/>
          <w:color w:val="000000"/>
          <w:kern w:val="60"/>
          <w:sz w:val="32"/>
          <w:szCs w:val="32"/>
          <w:lang w:val="en-US" w:eastAsia="zh-CN" w:bidi="ar-SA"/>
        </w:rPr>
        <w:t>2024年2月9日</w:t>
      </w:r>
    </w:p>
    <w:p w14:paraId="1A7D027F">
      <w:pPr>
        <w:keepNext w:val="0"/>
        <w:keepLines w:val="0"/>
        <w:pageBreakBefore w:val="0"/>
        <w:kinsoku/>
        <w:wordWrap/>
        <w:overflowPunct/>
        <w:topLinePunct w:val="0"/>
        <w:autoSpaceDE/>
        <w:bidi w:val="0"/>
        <w:spacing w:line="580" w:lineRule="exact"/>
        <w:jc w:val="both"/>
        <w:rPr>
          <w:rFonts w:hint="eastAsia" w:ascii="仿宋" w:hAnsi="仿宋" w:eastAsia="仿宋" w:cs="仿宋"/>
          <w:sz w:val="32"/>
          <w:szCs w:val="32"/>
        </w:rPr>
      </w:pPr>
    </w:p>
    <w:p w14:paraId="19E6D43C">
      <w:pPr>
        <w:keepNext w:val="0"/>
        <w:keepLines w:val="0"/>
        <w:pageBreakBefore w:val="0"/>
        <w:kinsoku/>
        <w:wordWrap/>
        <w:overflowPunct/>
        <w:topLinePunct w:val="0"/>
        <w:autoSpaceDE/>
        <w:bidi w:val="0"/>
        <w:spacing w:line="580" w:lineRule="exact"/>
        <w:jc w:val="both"/>
        <w:rPr>
          <w:rFonts w:hint="eastAsia" w:ascii="仿宋" w:hAnsi="仿宋" w:eastAsia="仿宋" w:cs="仿宋"/>
          <w:sz w:val="32"/>
          <w:szCs w:val="32"/>
        </w:rPr>
      </w:pPr>
    </w:p>
    <w:p w14:paraId="706B7672">
      <w:pPr>
        <w:pStyle w:val="2"/>
        <w:rPr>
          <w:rFonts w:hint="eastAsia"/>
        </w:rPr>
      </w:pPr>
    </w:p>
    <w:p w14:paraId="34E22C4C">
      <w:pPr>
        <w:pStyle w:val="2"/>
        <w:rPr>
          <w:rFonts w:hint="eastAsia"/>
        </w:rPr>
      </w:pPr>
    </w:p>
    <w:p w14:paraId="7F1BB4A9">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center"/>
        <w:textAlignment w:val="auto"/>
        <w:rPr>
          <w:rFonts w:hint="eastAsia" w:ascii="宋体" w:hAnsi="宋体" w:eastAsia="宋体" w:cs="宋体"/>
          <w:color w:val="333333"/>
          <w:sz w:val="44"/>
          <w:szCs w:val="44"/>
          <w:shd w:val="clear" w:color="auto" w:fill="FFFFFF"/>
          <w:lang w:eastAsia="zh-CN"/>
        </w:rPr>
      </w:pPr>
      <w:r>
        <w:rPr>
          <w:rFonts w:hint="eastAsia" w:ascii="宋体" w:hAnsi="宋体" w:eastAsia="宋体" w:cs="宋体"/>
          <w:color w:val="333333"/>
          <w:sz w:val="44"/>
          <w:szCs w:val="44"/>
          <w:shd w:val="clear" w:color="auto" w:fill="FFFFFF"/>
          <w:lang w:eastAsia="zh-CN"/>
        </w:rPr>
        <w:t>石家庄市藁城区农业农村局</w:t>
      </w:r>
    </w:p>
    <w:p w14:paraId="43160569">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center"/>
        <w:textAlignment w:val="auto"/>
        <w:rPr>
          <w:rFonts w:hint="eastAsia" w:ascii="宋体" w:hAnsi="宋体" w:eastAsia="宋体" w:cs="宋体"/>
          <w:color w:val="333333"/>
          <w:sz w:val="44"/>
          <w:szCs w:val="44"/>
          <w:shd w:val="clear" w:color="auto" w:fill="FFFFFF"/>
          <w:lang w:eastAsia="zh-CN"/>
        </w:rPr>
      </w:pPr>
      <w:r>
        <w:rPr>
          <w:rFonts w:hint="eastAsia" w:ascii="宋体" w:hAnsi="宋体" w:eastAsia="宋体" w:cs="宋体"/>
          <w:color w:val="333333"/>
          <w:sz w:val="44"/>
          <w:szCs w:val="44"/>
          <w:shd w:val="clear" w:color="auto" w:fill="FFFFFF"/>
          <w:lang w:eastAsia="zh-CN"/>
        </w:rPr>
        <w:t>202</w:t>
      </w:r>
      <w:r>
        <w:rPr>
          <w:rFonts w:hint="eastAsia" w:ascii="宋体" w:hAnsi="宋体" w:eastAsia="宋体" w:cs="宋体"/>
          <w:color w:val="333333"/>
          <w:sz w:val="44"/>
          <w:szCs w:val="44"/>
          <w:shd w:val="clear" w:color="auto" w:fill="FFFFFF"/>
          <w:lang w:val="en-US" w:eastAsia="zh-CN"/>
        </w:rPr>
        <w:t>4</w:t>
      </w:r>
      <w:r>
        <w:rPr>
          <w:rFonts w:hint="eastAsia" w:ascii="宋体" w:hAnsi="宋体" w:eastAsia="宋体" w:cs="宋体"/>
          <w:color w:val="333333"/>
          <w:sz w:val="44"/>
          <w:szCs w:val="44"/>
          <w:shd w:val="clear" w:color="auto" w:fill="FFFFFF"/>
          <w:lang w:eastAsia="zh-CN"/>
        </w:rPr>
        <w:t>年“双随机、一公开”监管工作</w:t>
      </w:r>
    </w:p>
    <w:p w14:paraId="5FDBD087">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center"/>
        <w:textAlignment w:val="auto"/>
        <w:rPr>
          <w:rFonts w:hint="eastAsia" w:ascii="宋体" w:hAnsi="宋体" w:eastAsia="宋体" w:cs="宋体"/>
          <w:color w:val="333333"/>
          <w:sz w:val="44"/>
          <w:szCs w:val="44"/>
          <w:shd w:val="clear" w:color="auto" w:fill="FFFFFF"/>
          <w:lang w:eastAsia="zh-CN"/>
        </w:rPr>
      </w:pPr>
      <w:r>
        <w:rPr>
          <w:rFonts w:hint="eastAsia" w:ascii="宋体" w:hAnsi="宋体" w:eastAsia="宋体" w:cs="宋体"/>
          <w:color w:val="333333"/>
          <w:sz w:val="44"/>
          <w:szCs w:val="44"/>
          <w:shd w:val="clear" w:color="auto" w:fill="FFFFFF"/>
          <w:lang w:eastAsia="zh-CN"/>
        </w:rPr>
        <w:t>实施方案</w:t>
      </w:r>
    </w:p>
    <w:p w14:paraId="6DBD33BC">
      <w:pPr>
        <w:keepNext w:val="0"/>
        <w:keepLines w:val="0"/>
        <w:pageBreakBefore w:val="0"/>
        <w:widowControl w:val="0"/>
        <w:kinsoku/>
        <w:wordWrap/>
        <w:overflowPunct/>
        <w:topLinePunct w:val="0"/>
        <w:autoSpaceDE/>
        <w:autoSpaceDN w:val="0"/>
        <w:bidi w:val="0"/>
        <w:adjustRightInd/>
        <w:snapToGrid/>
        <w:spacing w:beforeAutospacing="0" w:afterAutospacing="0" w:line="580" w:lineRule="exact"/>
        <w:ind w:firstLine="641"/>
        <w:jc w:val="both"/>
        <w:textAlignment w:val="auto"/>
        <w:rPr>
          <w:rFonts w:hint="eastAsia" w:ascii="仿宋" w:hAnsi="仿宋" w:eastAsia="仿宋" w:cs="仿宋"/>
          <w:color w:val="222222"/>
          <w:sz w:val="32"/>
          <w:szCs w:val="32"/>
        </w:rPr>
      </w:pPr>
    </w:p>
    <w:p w14:paraId="5285A857">
      <w:pPr>
        <w:keepNext w:val="0"/>
        <w:keepLines w:val="0"/>
        <w:pageBreakBefore w:val="0"/>
        <w:widowControl w:val="0"/>
        <w:kinsoku/>
        <w:wordWrap/>
        <w:overflowPunct/>
        <w:topLinePunct w:val="0"/>
        <w:autoSpaceDE/>
        <w:autoSpaceDN w:val="0"/>
        <w:bidi w:val="0"/>
        <w:adjustRightInd/>
        <w:snapToGrid/>
        <w:spacing w:beforeAutospacing="0" w:afterAutospacing="0" w:line="580" w:lineRule="exact"/>
        <w:ind w:firstLine="640"/>
        <w:jc w:val="both"/>
        <w:textAlignment w:val="auto"/>
        <w:rPr>
          <w:rFonts w:hint="eastAsia" w:ascii="仿宋" w:hAnsi="仿宋" w:eastAsia="仿宋" w:cs="仿宋"/>
          <w:color w:val="222222"/>
          <w:sz w:val="32"/>
          <w:szCs w:val="32"/>
        </w:rPr>
      </w:pPr>
      <w:r>
        <w:rPr>
          <w:rFonts w:hint="eastAsia" w:ascii="仿宋" w:hAnsi="仿宋" w:eastAsia="仿宋" w:cs="仿宋"/>
          <w:color w:val="222222"/>
          <w:sz w:val="32"/>
          <w:szCs w:val="32"/>
        </w:rPr>
        <w:t>为深入贯彻落实国务院、省委省政府和市委市政府关于深化“放管服”改革、优化营商环境部署要求，持续强化“双随机、一公开”监管，提升监管效能，根据藁城区“双随机</w:t>
      </w:r>
      <w:r>
        <w:rPr>
          <w:rFonts w:hint="eastAsia" w:ascii="仿宋" w:hAnsi="仿宋" w:eastAsia="仿宋" w:cs="仿宋"/>
          <w:color w:val="222222"/>
          <w:sz w:val="32"/>
          <w:szCs w:val="32"/>
          <w:lang w:eastAsia="zh-CN"/>
        </w:rPr>
        <w:t>、</w:t>
      </w:r>
      <w:bookmarkStart w:id="1" w:name="_GoBack"/>
      <w:bookmarkEnd w:id="1"/>
      <w:r>
        <w:rPr>
          <w:rFonts w:hint="eastAsia" w:ascii="仿宋" w:hAnsi="仿宋" w:eastAsia="仿宋" w:cs="仿宋"/>
          <w:color w:val="222222"/>
          <w:sz w:val="32"/>
          <w:szCs w:val="32"/>
        </w:rPr>
        <w:t>一公开”监管工作领导小组办公室</w:t>
      </w:r>
      <w:r>
        <w:rPr>
          <w:rFonts w:hint="eastAsia" w:ascii="仿宋" w:hAnsi="仿宋" w:eastAsia="仿宋" w:cs="仿宋"/>
          <w:color w:val="222222"/>
          <w:sz w:val="32"/>
          <w:szCs w:val="32"/>
          <w:lang w:val="en-US" w:eastAsia="zh-CN"/>
        </w:rPr>
        <w:t>相关文件</w:t>
      </w:r>
      <w:r>
        <w:rPr>
          <w:rFonts w:hint="eastAsia" w:ascii="仿宋" w:hAnsi="仿宋" w:eastAsia="仿宋" w:cs="仿宋"/>
          <w:color w:val="222222"/>
          <w:sz w:val="32"/>
          <w:szCs w:val="32"/>
        </w:rPr>
        <w:t>要求，</w:t>
      </w:r>
      <w:r>
        <w:rPr>
          <w:rFonts w:hint="eastAsia" w:ascii="仿宋" w:hAnsi="仿宋" w:eastAsia="仿宋" w:cs="仿宋"/>
          <w:color w:val="222222"/>
          <w:sz w:val="32"/>
          <w:szCs w:val="32"/>
          <w:lang w:eastAsia="zh-CN"/>
        </w:rPr>
        <w:t>制定实施方案如下</w:t>
      </w:r>
      <w:r>
        <w:rPr>
          <w:rFonts w:hint="eastAsia" w:ascii="仿宋" w:hAnsi="仿宋" w:eastAsia="仿宋" w:cs="仿宋"/>
          <w:color w:val="222222"/>
          <w:sz w:val="32"/>
          <w:szCs w:val="32"/>
        </w:rPr>
        <w:t>。</w:t>
      </w:r>
    </w:p>
    <w:p w14:paraId="3CCA1F20">
      <w:pPr>
        <w:keepNext w:val="0"/>
        <w:keepLines w:val="0"/>
        <w:pageBreakBefore w:val="0"/>
        <w:widowControl w:val="0"/>
        <w:kinsoku/>
        <w:wordWrap/>
        <w:overflowPunct/>
        <w:topLinePunct w:val="0"/>
        <w:autoSpaceDE/>
        <w:autoSpaceDN/>
        <w:bidi w:val="0"/>
        <w:adjustRightInd/>
        <w:snapToGrid/>
        <w:spacing w:line="580" w:lineRule="exact"/>
        <w:ind w:right="0" w:rightChars="0" w:firstLine="640" w:firstLineChars="200"/>
        <w:jc w:val="both"/>
        <w:textAlignment w:val="auto"/>
        <w:outlineLvl w:val="9"/>
        <w:rPr>
          <w:rFonts w:hint="eastAsia" w:ascii="黑体" w:hAnsi="黑体" w:eastAsia="黑体" w:cs="黑体"/>
          <w:color w:val="000000"/>
          <w:kern w:val="60"/>
          <w:sz w:val="32"/>
          <w:szCs w:val="32"/>
        </w:rPr>
      </w:pPr>
      <w:r>
        <w:rPr>
          <w:rFonts w:hint="eastAsia" w:ascii="黑体" w:hAnsi="黑体" w:eastAsia="黑体" w:cs="黑体"/>
          <w:color w:val="000000"/>
          <w:kern w:val="60"/>
          <w:sz w:val="32"/>
          <w:szCs w:val="32"/>
        </w:rPr>
        <w:t>一、工作目标</w:t>
      </w:r>
    </w:p>
    <w:p w14:paraId="47347C9A">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outlineLvl w:val="9"/>
        <w:rPr>
          <w:rFonts w:hint="eastAsia" w:ascii="仿宋" w:hAnsi="仿宋" w:eastAsia="仿宋" w:cs="仿宋"/>
          <w:color w:val="000000"/>
          <w:kern w:val="60"/>
          <w:sz w:val="32"/>
          <w:szCs w:val="32"/>
          <w:lang w:val="en-US" w:eastAsia="zh-CN"/>
        </w:rPr>
      </w:pPr>
      <w:r>
        <w:rPr>
          <w:rFonts w:hint="eastAsia" w:ascii="仿宋" w:hAnsi="仿宋" w:eastAsia="仿宋" w:cs="仿宋"/>
          <w:color w:val="000000"/>
          <w:kern w:val="60"/>
          <w:sz w:val="32"/>
          <w:szCs w:val="32"/>
          <w:lang w:val="en-US" w:eastAsia="zh-CN"/>
        </w:rPr>
        <w:t>以河北省双随机执法监管工作平台为依托，以保障我区农业生产和农产品质量安全为落脚点，不断完善部门内外部联合抽查工作机制，动态调整“一单两库”，不断强化“双随机、一公开”监管规范化、标准化建设，积极推进企业信用风险分类管理与“双随机、一公开”监管深度融合，不断提升监管效能，确保抽查计划100%落实，检查结果100%公示，后续处置100%到位。</w:t>
      </w:r>
    </w:p>
    <w:p w14:paraId="4E310468">
      <w:pPr>
        <w:keepNext w:val="0"/>
        <w:keepLines w:val="0"/>
        <w:pageBreakBefore w:val="0"/>
        <w:widowControl w:val="0"/>
        <w:kinsoku/>
        <w:wordWrap/>
        <w:overflowPunct/>
        <w:topLinePunct w:val="0"/>
        <w:autoSpaceDE/>
        <w:autoSpaceDN w:val="0"/>
        <w:bidi w:val="0"/>
        <w:adjustRightInd/>
        <w:snapToGrid/>
        <w:spacing w:beforeAutospacing="0" w:afterAutospacing="0" w:line="580" w:lineRule="exact"/>
        <w:ind w:firstLine="640" w:firstLineChars="200"/>
        <w:jc w:val="both"/>
        <w:textAlignment w:val="auto"/>
        <w:rPr>
          <w:rFonts w:hint="eastAsia" w:ascii="黑体" w:hAnsi="黑体" w:eastAsia="黑体" w:cs="黑体"/>
          <w:color w:val="222222"/>
          <w:sz w:val="32"/>
          <w:szCs w:val="32"/>
          <w:lang w:eastAsia="zh-CN"/>
        </w:rPr>
      </w:pPr>
      <w:r>
        <w:rPr>
          <w:rFonts w:hint="eastAsia" w:ascii="黑体" w:hAnsi="黑体" w:eastAsia="黑体" w:cs="黑体"/>
          <w:color w:val="222222"/>
          <w:sz w:val="32"/>
          <w:szCs w:val="32"/>
          <w:lang w:eastAsia="zh-CN"/>
        </w:rPr>
        <w:t>二、工作任务</w:t>
      </w:r>
    </w:p>
    <w:p w14:paraId="24C5E934">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outlineLvl w:val="9"/>
        <w:rPr>
          <w:rFonts w:hint="eastAsia" w:ascii="仿宋" w:hAnsi="仿宋" w:eastAsia="仿宋" w:cs="仿宋"/>
          <w:b/>
          <w:color w:val="000000"/>
          <w:kern w:val="60"/>
          <w:sz w:val="32"/>
          <w:szCs w:val="32"/>
        </w:rPr>
      </w:pPr>
      <w:r>
        <w:rPr>
          <w:rFonts w:hint="eastAsia" w:ascii="楷体" w:hAnsi="楷体" w:eastAsia="楷体" w:cs="楷体"/>
          <w:b w:val="0"/>
          <w:bCs/>
          <w:color w:val="000000"/>
          <w:kern w:val="60"/>
          <w:sz w:val="32"/>
          <w:szCs w:val="32"/>
        </w:rPr>
        <w:t>（一）</w:t>
      </w:r>
      <w:r>
        <w:rPr>
          <w:rFonts w:hint="eastAsia" w:ascii="楷体" w:hAnsi="楷体" w:eastAsia="楷体" w:cs="楷体"/>
          <w:b w:val="0"/>
          <w:bCs/>
          <w:color w:val="000000"/>
          <w:kern w:val="60"/>
          <w:sz w:val="32"/>
          <w:szCs w:val="32"/>
          <w:lang w:eastAsia="zh-CN"/>
        </w:rPr>
        <w:t>强化基础支撑</w:t>
      </w:r>
      <w:r>
        <w:rPr>
          <w:rFonts w:hint="eastAsia" w:ascii="楷体" w:hAnsi="楷体" w:eastAsia="楷体" w:cs="楷体"/>
          <w:b w:val="0"/>
          <w:bCs/>
          <w:color w:val="000000"/>
          <w:kern w:val="60"/>
          <w:sz w:val="32"/>
          <w:szCs w:val="32"/>
        </w:rPr>
        <w:t>。</w:t>
      </w:r>
      <w:r>
        <w:rPr>
          <w:rFonts w:hint="eastAsia" w:ascii="仿宋" w:hAnsi="仿宋" w:eastAsia="仿宋" w:cs="仿宋"/>
          <w:bCs/>
          <w:color w:val="000000"/>
          <w:kern w:val="60"/>
          <w:sz w:val="32"/>
          <w:szCs w:val="32"/>
        </w:rPr>
        <w:t>根据职能和人员变化，及时调整“双随机、一公开”监管工作领导小组组成人员。加强双随机监管工作的统筹协调，不断完善学习培训、内外部联合、行业管理与综合行政执法衔接、督导指导等工作机制。根据法律法规规章立改废释情况，依据上级部门、结合本级本部门监管职责及时对涉及本部门的监管事项进行认领，形成抽查事项清单。动态调整检查对象名录库和检查人员名录库，确保检查对象和检查人员“应纳尽纳”。制发202</w:t>
      </w:r>
      <w:r>
        <w:rPr>
          <w:rFonts w:hint="eastAsia" w:ascii="仿宋" w:hAnsi="仿宋" w:eastAsia="仿宋" w:cs="仿宋"/>
          <w:bCs/>
          <w:color w:val="000000"/>
          <w:kern w:val="60"/>
          <w:sz w:val="32"/>
          <w:szCs w:val="32"/>
          <w:lang w:val="en-US" w:eastAsia="zh-CN"/>
        </w:rPr>
        <w:t>4</w:t>
      </w:r>
      <w:r>
        <w:rPr>
          <w:rFonts w:hint="eastAsia" w:ascii="仿宋" w:hAnsi="仿宋" w:eastAsia="仿宋" w:cs="仿宋"/>
          <w:bCs/>
          <w:color w:val="000000"/>
          <w:kern w:val="60"/>
          <w:sz w:val="32"/>
          <w:szCs w:val="32"/>
        </w:rPr>
        <w:t>年度“双随机、一公开”监管工作实施方案和抽查工作计划，确定抽查时间、抽查事项、抽查比例、抽查要求，确保全年工作有序开展。</w:t>
      </w:r>
    </w:p>
    <w:p w14:paraId="577130B3">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outlineLvl w:val="9"/>
        <w:rPr>
          <w:rFonts w:hint="eastAsia" w:ascii="仿宋" w:hAnsi="仿宋" w:eastAsia="仿宋" w:cs="仿宋"/>
          <w:color w:val="000000"/>
          <w:kern w:val="60"/>
          <w:sz w:val="32"/>
          <w:szCs w:val="32"/>
          <w:lang w:eastAsia="zh-CN"/>
        </w:rPr>
      </w:pPr>
      <w:r>
        <w:rPr>
          <w:rFonts w:hint="eastAsia" w:ascii="楷体" w:hAnsi="楷体" w:eastAsia="楷体" w:cs="楷体"/>
          <w:color w:val="000000"/>
          <w:kern w:val="60"/>
          <w:sz w:val="32"/>
          <w:szCs w:val="32"/>
          <w:lang w:eastAsia="zh-CN"/>
        </w:rPr>
        <w:t>（二）加强联合监管。</w:t>
      </w:r>
      <w:r>
        <w:rPr>
          <w:rFonts w:hint="eastAsia" w:ascii="仿宋" w:hAnsi="仿宋" w:eastAsia="仿宋" w:cs="仿宋"/>
          <w:color w:val="000000"/>
          <w:kern w:val="60"/>
          <w:sz w:val="32"/>
          <w:szCs w:val="32"/>
          <w:lang w:eastAsia="zh-CN"/>
        </w:rPr>
        <w:t>按照“谁主管、谁监管”原则，积极推进“一业一查”部门联合监管模式，协同完善市场监管部门总牵头、行业主管部门具体负责、相关部门参与的部门联合抽查机制，进一步提升部门联合随机抽查的覆盖面和占比率，使部门联合抽查成为本地区日常监管的主要监管方式，最大限度地减少对市场主体正常生产经营活动的干扰，使广大市场主体能真切体会到“放管服”改革和优化营商环境所释放的红利。</w:t>
      </w:r>
    </w:p>
    <w:p w14:paraId="3FC6991C">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outlineLvl w:val="9"/>
        <w:rPr>
          <w:rFonts w:hint="eastAsia" w:ascii="仿宋" w:hAnsi="仿宋" w:eastAsia="仿宋" w:cs="仿宋"/>
          <w:color w:val="000000"/>
          <w:kern w:val="60"/>
          <w:sz w:val="32"/>
          <w:szCs w:val="32"/>
          <w:lang w:eastAsia="zh-CN"/>
        </w:rPr>
      </w:pPr>
      <w:r>
        <w:rPr>
          <w:rFonts w:hint="eastAsia" w:ascii="楷体" w:hAnsi="楷体" w:eastAsia="楷体" w:cs="楷体"/>
          <w:color w:val="000000"/>
          <w:kern w:val="60"/>
          <w:sz w:val="32"/>
          <w:szCs w:val="32"/>
          <w:lang w:eastAsia="zh-CN"/>
        </w:rPr>
        <w:t>（三）提升监管效能。</w:t>
      </w:r>
      <w:r>
        <w:rPr>
          <w:rFonts w:hint="eastAsia" w:ascii="仿宋" w:hAnsi="仿宋" w:eastAsia="仿宋" w:cs="仿宋"/>
          <w:color w:val="000000"/>
          <w:kern w:val="60"/>
          <w:sz w:val="32"/>
          <w:szCs w:val="32"/>
          <w:lang w:eastAsia="zh-CN"/>
        </w:rPr>
        <w:t>根据省市区相关要求，积极推进“双随机、一公开”监管与企业信用风险分级分类相结合，以制定年度随机抽查计划为抓手，将企业信用风险分级分类监管与“双随机、一公开”监管深度融合。推动重点监管与“双随机、一公开”监管有效对接，对重点检查事项、重要监管领域及高风险主体通过加大抽查比例和频次等监管措施，守住安全底线。充分利用信息化手段，通过大数据分析、重点指标监测等手段，加大对抽查结果的运用，探索推进企业信用风险监测预警，在预判式监管上实现新突破。</w:t>
      </w:r>
    </w:p>
    <w:p w14:paraId="29849781">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outlineLvl w:val="9"/>
        <w:rPr>
          <w:rFonts w:hint="eastAsia" w:ascii="仿宋" w:hAnsi="仿宋" w:eastAsia="仿宋" w:cs="仿宋"/>
          <w:b w:val="0"/>
          <w:bCs w:val="0"/>
          <w:color w:val="000000"/>
          <w:kern w:val="60"/>
          <w:sz w:val="32"/>
          <w:szCs w:val="32"/>
          <w:lang w:eastAsia="zh-CN"/>
        </w:rPr>
      </w:pPr>
      <w:r>
        <w:rPr>
          <w:rFonts w:hint="eastAsia" w:ascii="楷体" w:hAnsi="楷体" w:eastAsia="楷体" w:cs="楷体"/>
          <w:b w:val="0"/>
          <w:bCs w:val="0"/>
          <w:color w:val="000000"/>
          <w:kern w:val="60"/>
          <w:sz w:val="32"/>
          <w:szCs w:val="32"/>
          <w:lang w:eastAsia="zh-CN"/>
        </w:rPr>
        <w:t>（四）规范工作程序。</w:t>
      </w:r>
      <w:r>
        <w:rPr>
          <w:rFonts w:hint="eastAsia" w:ascii="仿宋" w:hAnsi="仿宋" w:eastAsia="仿宋" w:cs="仿宋"/>
          <w:b w:val="0"/>
          <w:bCs w:val="0"/>
          <w:color w:val="000000"/>
          <w:kern w:val="60"/>
          <w:sz w:val="32"/>
          <w:szCs w:val="32"/>
          <w:lang w:eastAsia="zh-CN"/>
        </w:rPr>
        <w:t>认真组织学习和落实《石家庄市“双随机、一公开”监管工作规范》，严格规范随机抽查工作程序，提高“双随机、一公开”监管规范化、标准化水平。严格按照年度随机抽查计划开展抽查，加大随机抽查业务培训力度，提升抽查效果。制定的年度计划、实施方案、抽查结果及后续处理结果及时向社会公开。调整年度抽查计划应严格履行相关工作程序，调整后的年度抽查计划要及时向社会公开。不断完善随机抽查后续处置机制，规范问题线索的转办、移送等工作，依法定程序及时移交有处置权限的机构和相关部门，涉嫌犯罪的及时移送司法机关，实现随机抽查监管闭环。加大对抽查发现的违法失信行为的信用惩戒力度，将其纳入失信主体信用记录，实施联合惩戒，增强随机抽查的震慑力，提升市场主体诚信守法经营自律意识，推动构建企业自律、行业自治、政府监管、社会监督的多元化共治格局。</w:t>
      </w:r>
    </w:p>
    <w:p w14:paraId="722C99FD">
      <w:pPr>
        <w:pStyle w:val="4"/>
        <w:keepNext w:val="0"/>
        <w:keepLines w:val="0"/>
        <w:pageBreakBefore w:val="0"/>
        <w:kinsoku/>
        <w:wordWrap/>
        <w:overflowPunct/>
        <w:topLinePunct w:val="0"/>
        <w:autoSpaceDE/>
        <w:bidi w:val="0"/>
        <w:spacing w:line="580" w:lineRule="exact"/>
        <w:ind w:firstLine="640" w:firstLineChars="200"/>
        <w:jc w:val="both"/>
        <w:rPr>
          <w:rFonts w:hint="eastAsia" w:ascii="仿宋" w:hAnsi="仿宋" w:eastAsia="仿宋" w:cs="仿宋"/>
          <w:b w:val="0"/>
          <w:bCs w:val="0"/>
          <w:color w:val="000000"/>
          <w:kern w:val="60"/>
          <w:sz w:val="32"/>
          <w:szCs w:val="32"/>
          <w:lang w:eastAsia="zh-CN"/>
        </w:rPr>
      </w:pPr>
      <w:r>
        <w:rPr>
          <w:rFonts w:hint="eastAsia" w:ascii="楷体" w:hAnsi="楷体" w:eastAsia="楷体" w:cs="楷体"/>
          <w:b w:val="0"/>
          <w:bCs w:val="0"/>
          <w:color w:val="000000"/>
          <w:kern w:val="60"/>
          <w:sz w:val="32"/>
          <w:szCs w:val="32"/>
          <w:lang w:eastAsia="zh-CN"/>
        </w:rPr>
        <w:t>（五）加强宣传培训。</w:t>
      </w:r>
      <w:r>
        <w:rPr>
          <w:rFonts w:hint="eastAsia" w:ascii="仿宋" w:hAnsi="仿宋" w:eastAsia="仿宋" w:cs="仿宋"/>
          <w:b w:val="0"/>
          <w:bCs w:val="0"/>
          <w:color w:val="000000"/>
          <w:kern w:val="60"/>
          <w:sz w:val="32"/>
          <w:szCs w:val="32"/>
          <w:lang w:eastAsia="zh-CN"/>
        </w:rPr>
        <w:t>认真总结双随机监管工作经验，不断加大双随机监管宣传报道力度，要寓服务于监管之中，在实地检查中宣讲政策、答疑解惑，不断提升“双随机、一公开”监管的社会影响力和公众知晓度。将好的经验做法转化为制度机制，不断提升“双随机、一公开”监管整体水平。常态化开展随机抽查工作培训，既要加强对执法人员的业务培训和管理人员的系统使用培训，又要强化对随机抽查工作规范标准的培训，提高基层执法人员综合素质和执法能力，满足联合抽查工作需求，实现抽查工作规范有序、抽查结果认定统一。</w:t>
      </w:r>
    </w:p>
    <w:p w14:paraId="67C58080">
      <w:pPr>
        <w:keepNext w:val="0"/>
        <w:keepLines w:val="0"/>
        <w:pageBreakBefore w:val="0"/>
        <w:kinsoku/>
        <w:wordWrap/>
        <w:overflowPunct/>
        <w:topLinePunct w:val="0"/>
        <w:autoSpaceDE/>
        <w:bidi w:val="0"/>
        <w:spacing w:line="580" w:lineRule="exact"/>
        <w:ind w:firstLine="640" w:firstLineChars="200"/>
        <w:jc w:val="both"/>
        <w:rPr>
          <w:rFonts w:hint="eastAsia" w:ascii="黑体" w:hAnsi="黑体" w:eastAsia="黑体" w:cs="黑体"/>
          <w:color w:val="000000"/>
          <w:kern w:val="60"/>
          <w:sz w:val="32"/>
          <w:szCs w:val="32"/>
        </w:rPr>
      </w:pPr>
      <w:r>
        <w:rPr>
          <w:rFonts w:hint="eastAsia" w:ascii="黑体" w:hAnsi="黑体" w:eastAsia="黑体" w:cs="黑体"/>
          <w:color w:val="000000"/>
          <w:kern w:val="60"/>
          <w:sz w:val="32"/>
          <w:szCs w:val="32"/>
        </w:rPr>
        <w:t>三、工作要求</w:t>
      </w:r>
    </w:p>
    <w:p w14:paraId="43B2C053">
      <w:pPr>
        <w:keepNext w:val="0"/>
        <w:keepLines w:val="0"/>
        <w:pageBreakBefore w:val="0"/>
        <w:kinsoku/>
        <w:wordWrap/>
        <w:overflowPunct/>
        <w:topLinePunct w:val="0"/>
        <w:autoSpaceDE/>
        <w:bidi w:val="0"/>
        <w:spacing w:line="580" w:lineRule="exact"/>
        <w:ind w:firstLine="640" w:firstLineChars="200"/>
        <w:jc w:val="both"/>
        <w:rPr>
          <w:rFonts w:hint="eastAsia" w:ascii="仿宋" w:hAnsi="仿宋" w:eastAsia="仿宋" w:cs="仿宋"/>
          <w:color w:val="000000"/>
          <w:spacing w:val="-6"/>
          <w:kern w:val="60"/>
          <w:sz w:val="32"/>
          <w:szCs w:val="32"/>
        </w:rPr>
      </w:pPr>
      <w:r>
        <w:rPr>
          <w:rFonts w:hint="eastAsia" w:ascii="楷体" w:hAnsi="楷体" w:eastAsia="楷体" w:cs="楷体"/>
          <w:b w:val="0"/>
          <w:bCs/>
          <w:color w:val="000000"/>
          <w:kern w:val="60"/>
          <w:sz w:val="32"/>
          <w:szCs w:val="32"/>
        </w:rPr>
        <w:t>（一）加强组织领导。</w:t>
      </w:r>
      <w:r>
        <w:rPr>
          <w:rFonts w:hint="eastAsia" w:ascii="仿宋" w:hAnsi="仿宋" w:eastAsia="仿宋" w:cs="仿宋"/>
          <w:color w:val="000000"/>
          <w:kern w:val="60"/>
          <w:sz w:val="32"/>
          <w:szCs w:val="32"/>
          <w:lang w:eastAsia="zh-CN"/>
        </w:rPr>
        <w:t>局成立由局长任组长、主管领导任副组长、各行业监管股室和农业综合行政执法大队负责同志为成员的领导小组，负责</w:t>
      </w:r>
      <w:r>
        <w:rPr>
          <w:rFonts w:hint="eastAsia" w:ascii="仿宋" w:hAnsi="仿宋" w:eastAsia="仿宋" w:cs="仿宋"/>
          <w:color w:val="000000"/>
          <w:sz w:val="32"/>
          <w:szCs w:val="32"/>
        </w:rPr>
        <w:t>“双随机、一公开”监管</w:t>
      </w:r>
      <w:r>
        <w:rPr>
          <w:rFonts w:hint="eastAsia" w:ascii="仿宋" w:hAnsi="仿宋" w:eastAsia="仿宋" w:cs="仿宋"/>
          <w:color w:val="000000"/>
          <w:sz w:val="32"/>
          <w:szCs w:val="32"/>
          <w:lang w:eastAsia="zh-CN"/>
        </w:rPr>
        <w:t>工作的统一领导和组织协调。各有关单位、股室</w:t>
      </w:r>
      <w:r>
        <w:rPr>
          <w:rFonts w:hint="eastAsia" w:ascii="仿宋" w:hAnsi="仿宋" w:eastAsia="仿宋" w:cs="仿宋"/>
          <w:color w:val="000000"/>
          <w:kern w:val="60"/>
          <w:sz w:val="32"/>
          <w:szCs w:val="32"/>
        </w:rPr>
        <w:t>要充分认识</w:t>
      </w:r>
      <w:r>
        <w:rPr>
          <w:rFonts w:hint="eastAsia" w:ascii="仿宋" w:hAnsi="仿宋" w:eastAsia="仿宋" w:cs="仿宋"/>
          <w:color w:val="000000"/>
          <w:sz w:val="32"/>
          <w:szCs w:val="32"/>
        </w:rPr>
        <w:t>“双随机、一公开”监管</w:t>
      </w:r>
      <w:r>
        <w:rPr>
          <w:rFonts w:hint="eastAsia" w:ascii="仿宋" w:hAnsi="仿宋" w:eastAsia="仿宋" w:cs="仿宋"/>
          <w:color w:val="000000"/>
          <w:kern w:val="60"/>
          <w:sz w:val="32"/>
          <w:szCs w:val="32"/>
        </w:rPr>
        <w:t>对于构建新型监管机制、提升监管效能、优化营商环境的重要作用，进一步细化工作目标和推进举措，确保全年各项工作落到实处、取得实效，为</w:t>
      </w:r>
      <w:r>
        <w:rPr>
          <w:rFonts w:hint="eastAsia" w:ascii="仿宋" w:hAnsi="仿宋" w:eastAsia="仿宋" w:cs="仿宋"/>
          <w:color w:val="000000"/>
          <w:spacing w:val="-6"/>
          <w:kern w:val="60"/>
          <w:sz w:val="32"/>
          <w:szCs w:val="32"/>
        </w:rPr>
        <w:t>我</w:t>
      </w:r>
      <w:r>
        <w:rPr>
          <w:rFonts w:hint="eastAsia" w:ascii="仿宋" w:hAnsi="仿宋" w:eastAsia="仿宋" w:cs="仿宋"/>
          <w:color w:val="000000"/>
          <w:spacing w:val="-6"/>
          <w:kern w:val="60"/>
          <w:sz w:val="32"/>
          <w:szCs w:val="32"/>
          <w:lang w:eastAsia="zh-CN"/>
        </w:rPr>
        <w:t>区</w:t>
      </w:r>
      <w:r>
        <w:rPr>
          <w:rFonts w:hint="eastAsia" w:ascii="仿宋" w:hAnsi="仿宋" w:eastAsia="仿宋" w:cs="仿宋"/>
          <w:color w:val="000000"/>
          <w:spacing w:val="-6"/>
          <w:kern w:val="60"/>
          <w:sz w:val="32"/>
          <w:szCs w:val="32"/>
        </w:rPr>
        <w:t>深化“放管服”改革、优化营商环境做出积极贡献。</w:t>
      </w:r>
    </w:p>
    <w:p w14:paraId="393E9F5A">
      <w:pPr>
        <w:keepNext w:val="0"/>
        <w:keepLines w:val="0"/>
        <w:pageBreakBefore w:val="0"/>
        <w:kinsoku/>
        <w:wordWrap/>
        <w:overflowPunct/>
        <w:topLinePunct w:val="0"/>
        <w:autoSpaceDE/>
        <w:bidi w:val="0"/>
        <w:spacing w:line="580" w:lineRule="exact"/>
        <w:ind w:firstLine="640" w:firstLineChars="200"/>
        <w:jc w:val="both"/>
        <w:rPr>
          <w:rFonts w:hint="eastAsia" w:ascii="仿宋" w:hAnsi="仿宋" w:eastAsia="仿宋" w:cs="仿宋"/>
          <w:color w:val="000000"/>
          <w:kern w:val="60"/>
          <w:sz w:val="32"/>
          <w:szCs w:val="32"/>
        </w:rPr>
      </w:pPr>
      <w:r>
        <w:rPr>
          <w:rFonts w:hint="eastAsia" w:ascii="楷体" w:hAnsi="楷体" w:eastAsia="楷体" w:cs="楷体"/>
          <w:b w:val="0"/>
          <w:bCs/>
          <w:color w:val="000000"/>
          <w:kern w:val="60"/>
          <w:sz w:val="32"/>
          <w:szCs w:val="32"/>
        </w:rPr>
        <w:t>（二）认真履职尽责。</w:t>
      </w:r>
      <w:r>
        <w:rPr>
          <w:rFonts w:hint="eastAsia" w:ascii="仿宋" w:hAnsi="仿宋" w:eastAsia="仿宋" w:cs="仿宋"/>
          <w:color w:val="000000"/>
          <w:kern w:val="60"/>
          <w:sz w:val="32"/>
          <w:szCs w:val="32"/>
          <w:lang w:eastAsia="zh-CN"/>
        </w:rPr>
        <w:t>各有关单位、股室</w:t>
      </w:r>
      <w:r>
        <w:rPr>
          <w:rFonts w:hint="eastAsia" w:ascii="仿宋" w:hAnsi="仿宋" w:eastAsia="仿宋" w:cs="仿宋"/>
          <w:color w:val="000000"/>
          <w:kern w:val="60"/>
          <w:sz w:val="32"/>
          <w:szCs w:val="32"/>
        </w:rPr>
        <w:t>要进一步强化履职尽责意识，认真落实主体责任，按照同级政府和上级主管部门的要求，积极开展双随机监管各项工作。实施随机抽查检查时，要严格履行法定职责，不得妨碍检查对象正常生产经营活动，不得谋取私利，对监管工作人员的失职渎职和违法违纪行为，依法依纪严肃处理。</w:t>
      </w:r>
    </w:p>
    <w:p w14:paraId="57BA7F96">
      <w:pPr>
        <w:keepNext w:val="0"/>
        <w:keepLines w:val="0"/>
        <w:pageBreakBefore w:val="0"/>
        <w:kinsoku/>
        <w:wordWrap/>
        <w:overflowPunct/>
        <w:topLinePunct w:val="0"/>
        <w:autoSpaceDE/>
        <w:bidi w:val="0"/>
        <w:spacing w:line="580" w:lineRule="exact"/>
        <w:ind w:firstLine="640" w:firstLineChars="200"/>
        <w:jc w:val="both"/>
        <w:rPr>
          <w:rFonts w:hint="eastAsia" w:ascii="仿宋" w:hAnsi="仿宋" w:eastAsia="仿宋" w:cs="仿宋"/>
          <w:sz w:val="32"/>
          <w:szCs w:val="32"/>
        </w:rPr>
      </w:pPr>
      <w:r>
        <w:rPr>
          <w:rFonts w:hint="eastAsia" w:ascii="楷体" w:hAnsi="楷体" w:eastAsia="楷体" w:cs="楷体"/>
          <w:b w:val="0"/>
          <w:bCs/>
          <w:color w:val="000000"/>
          <w:kern w:val="60"/>
          <w:sz w:val="32"/>
          <w:szCs w:val="32"/>
        </w:rPr>
        <w:t>（三）及时报送信息。</w:t>
      </w:r>
      <w:bookmarkStart w:id="0" w:name="_Hlk128493637"/>
      <w:r>
        <w:rPr>
          <w:rFonts w:hint="eastAsia" w:ascii="仿宋" w:hAnsi="仿宋" w:eastAsia="仿宋" w:cs="仿宋"/>
          <w:bCs/>
          <w:color w:val="000000"/>
          <w:kern w:val="60"/>
          <w:sz w:val="32"/>
          <w:szCs w:val="32"/>
          <w:lang w:eastAsia="zh-CN"/>
        </w:rPr>
        <w:t>各</w:t>
      </w:r>
      <w:r>
        <w:rPr>
          <w:rFonts w:hint="eastAsia" w:ascii="仿宋" w:hAnsi="仿宋" w:eastAsia="仿宋" w:cs="仿宋"/>
          <w:bCs/>
          <w:color w:val="000000"/>
          <w:kern w:val="60"/>
          <w:sz w:val="32"/>
          <w:szCs w:val="32"/>
        </w:rPr>
        <w:t>有关单位</w:t>
      </w:r>
      <w:bookmarkEnd w:id="0"/>
      <w:r>
        <w:rPr>
          <w:rFonts w:hint="eastAsia" w:ascii="仿宋" w:hAnsi="仿宋" w:eastAsia="仿宋" w:cs="仿宋"/>
          <w:bCs/>
          <w:color w:val="000000"/>
          <w:kern w:val="60"/>
          <w:sz w:val="32"/>
          <w:szCs w:val="32"/>
          <w:lang w:eastAsia="zh-CN"/>
        </w:rPr>
        <w:t>、股室</w:t>
      </w:r>
      <w:r>
        <w:rPr>
          <w:rFonts w:hint="eastAsia" w:ascii="仿宋" w:hAnsi="仿宋" w:eastAsia="仿宋" w:cs="仿宋"/>
          <w:bCs/>
          <w:color w:val="000000"/>
          <w:kern w:val="60"/>
          <w:sz w:val="32"/>
          <w:szCs w:val="32"/>
        </w:rPr>
        <w:t>要</w:t>
      </w:r>
      <w:r>
        <w:rPr>
          <w:rFonts w:hint="eastAsia" w:ascii="仿宋" w:hAnsi="仿宋" w:eastAsia="仿宋" w:cs="仿宋"/>
          <w:bCs/>
          <w:color w:val="000000"/>
          <w:kern w:val="60"/>
          <w:sz w:val="32"/>
          <w:szCs w:val="32"/>
          <w:lang w:eastAsia="zh-CN"/>
        </w:rPr>
        <w:t>按照领导小组的统一安排</w:t>
      </w:r>
      <w:r>
        <w:rPr>
          <w:rFonts w:hint="eastAsia" w:ascii="仿宋" w:hAnsi="仿宋" w:eastAsia="仿宋" w:cs="仿宋"/>
          <w:bCs/>
          <w:color w:val="000000"/>
          <w:kern w:val="60"/>
          <w:sz w:val="32"/>
          <w:szCs w:val="32"/>
        </w:rPr>
        <w:t>认真</w:t>
      </w:r>
      <w:r>
        <w:rPr>
          <w:rFonts w:hint="eastAsia" w:ascii="仿宋" w:hAnsi="仿宋" w:eastAsia="仿宋" w:cs="仿宋"/>
          <w:bCs/>
          <w:color w:val="000000"/>
          <w:kern w:val="60"/>
          <w:sz w:val="32"/>
          <w:szCs w:val="32"/>
          <w:lang w:eastAsia="zh-CN"/>
        </w:rPr>
        <w:t>做好双随机抽查实地核查等相关工作，并将</w:t>
      </w:r>
      <w:r>
        <w:rPr>
          <w:rFonts w:hint="eastAsia" w:ascii="仿宋" w:hAnsi="仿宋" w:eastAsia="仿宋" w:cs="仿宋"/>
          <w:sz w:val="32"/>
          <w:szCs w:val="32"/>
        </w:rPr>
        <w:t>实地核查记录表、抽查结果公示表及后续处理等双随机工作相关资料及时</w:t>
      </w:r>
      <w:r>
        <w:rPr>
          <w:rFonts w:hint="eastAsia" w:ascii="仿宋" w:hAnsi="仿宋" w:eastAsia="仿宋" w:cs="仿宋"/>
          <w:sz w:val="32"/>
          <w:szCs w:val="32"/>
          <w:lang w:eastAsia="zh-CN"/>
        </w:rPr>
        <w:t>报局法制股</w:t>
      </w:r>
      <w:r>
        <w:rPr>
          <w:rFonts w:hint="eastAsia" w:ascii="仿宋" w:hAnsi="仿宋" w:eastAsia="仿宋" w:cs="仿宋"/>
          <w:sz w:val="32"/>
          <w:szCs w:val="32"/>
        </w:rPr>
        <w:t>归集成档，</w:t>
      </w:r>
      <w:r>
        <w:rPr>
          <w:rFonts w:hint="eastAsia" w:ascii="仿宋" w:hAnsi="仿宋" w:eastAsia="仿宋" w:cs="仿宋"/>
          <w:sz w:val="32"/>
          <w:szCs w:val="32"/>
          <w:lang w:eastAsia="zh-CN"/>
        </w:rPr>
        <w:t>法制股按照要求及时报送月报等相关信息</w:t>
      </w:r>
      <w:r>
        <w:rPr>
          <w:rFonts w:hint="eastAsia" w:ascii="仿宋" w:hAnsi="仿宋" w:eastAsia="仿宋" w:cs="仿宋"/>
          <w:sz w:val="32"/>
          <w:szCs w:val="32"/>
        </w:rPr>
        <w:t>。</w:t>
      </w:r>
    </w:p>
    <w:p w14:paraId="58DA85B4">
      <w:pPr>
        <w:pStyle w:val="2"/>
        <w:ind w:left="0" w:leftChars="0" w:firstLine="640" w:firstLineChars="200"/>
        <w:rPr>
          <w:rFonts w:hint="eastAsia" w:ascii="仿宋" w:hAnsi="仿宋" w:eastAsia="仿宋" w:cs="仿宋"/>
          <w:sz w:val="32"/>
          <w:szCs w:val="32"/>
          <w:lang w:eastAsia="zh-CN"/>
        </w:rPr>
        <w:sectPr>
          <w:footerReference r:id="rId3" w:type="default"/>
          <w:pgSz w:w="11906" w:h="16838"/>
          <w:pgMar w:top="1440" w:right="1800" w:bottom="1440" w:left="1800" w:header="851" w:footer="992" w:gutter="0"/>
          <w:cols w:space="425" w:num="1"/>
          <w:docGrid w:type="lines" w:linePitch="312" w:charSpace="0"/>
        </w:sectPr>
      </w:pPr>
      <w:r>
        <w:rPr>
          <w:rFonts w:hint="eastAsia" w:ascii="仿宋" w:hAnsi="仿宋" w:eastAsia="仿宋" w:cs="仿宋"/>
          <w:sz w:val="32"/>
          <w:szCs w:val="32"/>
          <w:lang w:eastAsia="zh-CN"/>
        </w:rPr>
        <w:t>附件：石家庄市藁城区农业农村局“双随机、一公开”监管工作领导小组</w:t>
      </w:r>
    </w:p>
    <w:p w14:paraId="11A991EA">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center"/>
        <w:textAlignment w:val="auto"/>
        <w:rPr>
          <w:rFonts w:hint="eastAsia" w:ascii="宋体" w:hAnsi="宋体" w:eastAsia="宋体" w:cs="宋体"/>
          <w:color w:val="333333"/>
          <w:sz w:val="44"/>
          <w:szCs w:val="44"/>
          <w:shd w:val="clear" w:color="auto" w:fill="FFFFFF"/>
        </w:rPr>
      </w:pPr>
    </w:p>
    <w:p w14:paraId="310CED5D">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center"/>
        <w:textAlignment w:val="auto"/>
        <w:rPr>
          <w:rFonts w:hint="eastAsia" w:ascii="宋体" w:hAnsi="宋体" w:eastAsia="宋体" w:cs="宋体"/>
          <w:color w:val="333333"/>
          <w:sz w:val="44"/>
          <w:szCs w:val="44"/>
          <w:shd w:val="clear" w:color="auto" w:fill="FFFFFF"/>
        </w:rPr>
      </w:pPr>
      <w:r>
        <w:rPr>
          <w:rFonts w:hint="eastAsia" w:ascii="宋体" w:hAnsi="宋体" w:eastAsia="宋体" w:cs="宋体"/>
          <w:color w:val="333333"/>
          <w:sz w:val="44"/>
          <w:szCs w:val="44"/>
          <w:shd w:val="clear" w:color="auto" w:fill="FFFFFF"/>
        </w:rPr>
        <w:t>石家庄市</w:t>
      </w:r>
      <w:r>
        <w:rPr>
          <w:rFonts w:hint="eastAsia" w:ascii="宋体" w:hAnsi="宋体" w:eastAsia="宋体" w:cs="宋体"/>
          <w:color w:val="333333"/>
          <w:sz w:val="44"/>
          <w:szCs w:val="44"/>
          <w:shd w:val="clear" w:color="auto" w:fill="FFFFFF"/>
          <w:lang w:eastAsia="zh-CN"/>
        </w:rPr>
        <w:t>藁城区</w:t>
      </w:r>
      <w:r>
        <w:rPr>
          <w:rFonts w:hint="eastAsia" w:ascii="宋体" w:hAnsi="宋体" w:eastAsia="宋体" w:cs="宋体"/>
          <w:color w:val="333333"/>
          <w:sz w:val="44"/>
          <w:szCs w:val="44"/>
          <w:shd w:val="clear" w:color="auto" w:fill="FFFFFF"/>
        </w:rPr>
        <w:t>农业农村局</w:t>
      </w:r>
    </w:p>
    <w:p w14:paraId="1326A818">
      <w:pPr>
        <w:pStyle w:val="12"/>
        <w:keepNext w:val="0"/>
        <w:keepLines w:val="0"/>
        <w:pageBreakBefore w:val="0"/>
        <w:widowControl/>
        <w:shd w:val="clear" w:color="auto" w:fill="FFFFFF"/>
        <w:kinsoku/>
        <w:wordWrap/>
        <w:overflowPunct/>
        <w:topLinePunct w:val="0"/>
        <w:autoSpaceDE/>
        <w:bidi w:val="0"/>
        <w:adjustRightInd/>
        <w:snapToGrid/>
        <w:spacing w:before="0" w:beforeAutospacing="0" w:after="0" w:afterAutospacing="0" w:line="580" w:lineRule="exact"/>
        <w:jc w:val="center"/>
        <w:textAlignment w:val="auto"/>
        <w:rPr>
          <w:rFonts w:hint="eastAsia" w:ascii="宋体" w:hAnsi="宋体" w:eastAsia="宋体" w:cs="宋体"/>
          <w:color w:val="333333"/>
          <w:sz w:val="44"/>
          <w:szCs w:val="44"/>
          <w:shd w:val="clear" w:color="auto" w:fill="FFFFFF"/>
          <w:lang w:eastAsia="zh-CN"/>
        </w:rPr>
      </w:pPr>
      <w:r>
        <w:rPr>
          <w:rFonts w:hint="eastAsia" w:ascii="宋体" w:hAnsi="宋体" w:eastAsia="宋体" w:cs="宋体"/>
          <w:color w:val="333333"/>
          <w:sz w:val="44"/>
          <w:szCs w:val="44"/>
          <w:shd w:val="clear" w:color="auto" w:fill="FFFFFF"/>
        </w:rPr>
        <w:t>“双随机、一公</w:t>
      </w:r>
      <w:r>
        <w:rPr>
          <w:rFonts w:hint="eastAsia" w:ascii="宋体" w:hAnsi="宋体" w:eastAsia="宋体" w:cs="宋体"/>
          <w:color w:val="333333"/>
          <w:sz w:val="44"/>
          <w:szCs w:val="44"/>
          <w:shd w:val="clear" w:color="auto" w:fill="FFFFFF"/>
          <w:lang w:eastAsia="zh-CN"/>
        </w:rPr>
        <w:t>开</w:t>
      </w:r>
      <w:r>
        <w:rPr>
          <w:rFonts w:hint="eastAsia" w:ascii="宋体" w:hAnsi="宋体" w:eastAsia="宋体" w:cs="宋体"/>
          <w:color w:val="333333"/>
          <w:sz w:val="44"/>
          <w:szCs w:val="44"/>
          <w:shd w:val="clear" w:color="auto" w:fill="FFFFFF"/>
        </w:rPr>
        <w:t>”监管工作</w:t>
      </w:r>
      <w:r>
        <w:rPr>
          <w:rFonts w:hint="eastAsia" w:ascii="宋体" w:hAnsi="宋体" w:eastAsia="宋体" w:cs="宋体"/>
          <w:color w:val="333333"/>
          <w:sz w:val="44"/>
          <w:szCs w:val="44"/>
          <w:shd w:val="clear" w:color="auto" w:fill="FFFFFF"/>
          <w:lang w:eastAsia="zh-CN"/>
        </w:rPr>
        <w:t>领导小组</w:t>
      </w:r>
    </w:p>
    <w:p w14:paraId="3B60BA94"/>
    <w:p w14:paraId="5CEAC154">
      <w:pPr>
        <w:pStyle w:val="2"/>
        <w:ind w:left="0" w:leftChars="0" w:firstLine="0" w:firstLineChars="0"/>
        <w:rPr>
          <w:rFonts w:hint="default"/>
          <w:lang w:val="en-US" w:eastAsia="zh-CN"/>
        </w:rPr>
      </w:pPr>
      <w:r>
        <w:rPr>
          <w:rFonts w:hint="eastAsia"/>
          <w:lang w:eastAsia="zh-CN"/>
        </w:rPr>
        <w:t>组</w:t>
      </w:r>
      <w:r>
        <w:rPr>
          <w:rFonts w:hint="eastAsia"/>
          <w:lang w:val="en-US" w:eastAsia="zh-CN"/>
        </w:rPr>
        <w:t xml:space="preserve">  </w:t>
      </w:r>
      <w:r>
        <w:rPr>
          <w:rFonts w:hint="eastAsia"/>
          <w:lang w:eastAsia="zh-CN"/>
        </w:rPr>
        <w:t>长：张书清</w:t>
      </w:r>
      <w:r>
        <w:rPr>
          <w:rFonts w:hint="eastAsia"/>
          <w:lang w:val="en-US" w:eastAsia="zh-CN"/>
        </w:rPr>
        <w:t xml:space="preserve">   区农业农村局党组书记、局长</w:t>
      </w:r>
    </w:p>
    <w:p w14:paraId="56725205">
      <w:pPr>
        <w:pStyle w:val="2"/>
        <w:ind w:left="0" w:leftChars="0" w:firstLine="0" w:firstLineChars="0"/>
        <w:rPr>
          <w:rFonts w:hint="eastAsia"/>
          <w:lang w:val="en-US" w:eastAsia="zh-CN"/>
        </w:rPr>
      </w:pPr>
      <w:r>
        <w:rPr>
          <w:rFonts w:hint="eastAsia"/>
          <w:lang w:eastAsia="zh-CN"/>
        </w:rPr>
        <w:t>副组长：赵洪秋</w:t>
      </w:r>
      <w:r>
        <w:rPr>
          <w:rFonts w:hint="eastAsia"/>
          <w:lang w:val="en-US" w:eastAsia="zh-CN"/>
        </w:rPr>
        <w:t xml:space="preserve">   区畜牧工作总站站长</w:t>
      </w:r>
    </w:p>
    <w:p w14:paraId="0D8DC009">
      <w:pPr>
        <w:pStyle w:val="2"/>
        <w:ind w:left="0" w:leftChars="0" w:firstLine="0" w:firstLineChars="0"/>
        <w:rPr>
          <w:rFonts w:hint="eastAsia"/>
          <w:lang w:val="en-US" w:eastAsia="zh-CN"/>
        </w:rPr>
      </w:pPr>
      <w:r>
        <w:rPr>
          <w:rFonts w:hint="eastAsia"/>
          <w:lang w:val="en-US" w:eastAsia="zh-CN"/>
        </w:rPr>
        <w:t>成  员：</w:t>
      </w:r>
      <w:r>
        <w:rPr>
          <w:rFonts w:hint="eastAsia"/>
          <w:lang w:eastAsia="zh-CN"/>
        </w:rPr>
        <w:t>高建峰</w:t>
      </w:r>
      <w:r>
        <w:rPr>
          <w:rFonts w:hint="eastAsia"/>
          <w:lang w:val="en-US" w:eastAsia="zh-CN"/>
        </w:rPr>
        <w:t xml:space="preserve">   区农业综合行政执法大队负责人</w:t>
      </w:r>
    </w:p>
    <w:p w14:paraId="7CF1762E">
      <w:pPr>
        <w:pStyle w:val="2"/>
        <w:rPr>
          <w:rFonts w:hint="eastAsia"/>
          <w:lang w:val="en-US" w:eastAsia="zh-CN"/>
        </w:rPr>
      </w:pPr>
      <w:r>
        <w:rPr>
          <w:rFonts w:hint="eastAsia"/>
          <w:lang w:val="en-US" w:eastAsia="zh-CN"/>
        </w:rPr>
        <w:t>何晓中   区动物卫生监督所所长</w:t>
      </w:r>
    </w:p>
    <w:p w14:paraId="7FC784D7">
      <w:pPr>
        <w:pStyle w:val="2"/>
        <w:ind w:left="0" w:leftChars="0" w:firstLine="1280" w:firstLineChars="400"/>
        <w:rPr>
          <w:rFonts w:hint="eastAsia"/>
          <w:lang w:val="en-US" w:eastAsia="zh-CN"/>
        </w:rPr>
      </w:pPr>
      <w:r>
        <w:rPr>
          <w:rFonts w:hint="eastAsia"/>
          <w:lang w:val="en-US" w:eastAsia="zh-CN"/>
        </w:rPr>
        <w:t xml:space="preserve">丁根治   </w:t>
      </w:r>
      <w:r>
        <w:rPr>
          <w:rFonts w:hint="eastAsia"/>
          <w:w w:val="100"/>
          <w:lang w:val="en-US" w:eastAsia="zh-CN"/>
        </w:rPr>
        <w:t>区畜牧工作总站兽药饲料管理办公室主任</w:t>
      </w:r>
    </w:p>
    <w:p w14:paraId="0984A358">
      <w:pPr>
        <w:pStyle w:val="2"/>
        <w:rPr>
          <w:rFonts w:hint="default"/>
          <w:lang w:val="en-US" w:eastAsia="zh-CN"/>
        </w:rPr>
      </w:pPr>
      <w:r>
        <w:rPr>
          <w:rFonts w:hint="eastAsia"/>
          <w:lang w:val="en-US" w:eastAsia="zh-CN"/>
        </w:rPr>
        <w:t>候  杰   区畜禽屠宰管理办公室主任</w:t>
      </w:r>
    </w:p>
    <w:p w14:paraId="0CFC6E20">
      <w:pPr>
        <w:pStyle w:val="2"/>
        <w:ind w:left="0" w:leftChars="0" w:firstLine="1280" w:firstLineChars="400"/>
        <w:rPr>
          <w:rFonts w:hint="eastAsia"/>
          <w:lang w:val="en-US" w:eastAsia="zh-CN"/>
        </w:rPr>
      </w:pPr>
      <w:r>
        <w:rPr>
          <w:rFonts w:hint="eastAsia"/>
          <w:lang w:val="en-US" w:eastAsia="zh-CN"/>
        </w:rPr>
        <w:t>张建设   区畜牧工作总站生产科科长</w:t>
      </w:r>
    </w:p>
    <w:p w14:paraId="22DFCAA3">
      <w:pPr>
        <w:pStyle w:val="2"/>
        <w:ind w:left="0" w:leftChars="0" w:firstLine="1280" w:firstLineChars="400"/>
        <w:rPr>
          <w:rFonts w:hint="default"/>
          <w:lang w:val="en-US" w:eastAsia="zh-CN"/>
        </w:rPr>
      </w:pPr>
      <w:r>
        <w:rPr>
          <w:rFonts w:hint="eastAsia"/>
          <w:lang w:val="en-US" w:eastAsia="zh-CN"/>
        </w:rPr>
        <w:t>张月华   区农业农村局法制股负责人</w:t>
      </w:r>
    </w:p>
    <w:p w14:paraId="573BF174">
      <w:pPr>
        <w:pStyle w:val="2"/>
        <w:ind w:left="0" w:leftChars="0" w:firstLine="640" w:firstLineChars="200"/>
        <w:rPr>
          <w:rFonts w:hint="default"/>
          <w:lang w:val="en-US" w:eastAsia="zh-CN"/>
        </w:rPr>
      </w:pPr>
      <w:r>
        <w:rPr>
          <w:rFonts w:hint="eastAsia"/>
          <w:lang w:val="en-US" w:eastAsia="zh-CN"/>
        </w:rPr>
        <w:t>领导小组下设办公室，办公室主任由赵洪秋同志兼任，负责“双随机、一公开”监管日常工作的组织协调。</w:t>
      </w:r>
    </w:p>
    <w:p w14:paraId="5B64B9B9">
      <w:pPr>
        <w:pStyle w:val="2"/>
        <w:ind w:left="0" w:leftChars="0" w:firstLine="0" w:firstLineChars="0"/>
      </w:pPr>
    </w:p>
    <w:p w14:paraId="4FE5B57B">
      <w:pPr>
        <w:pStyle w:val="2"/>
      </w:pPr>
    </w:p>
    <w:p w14:paraId="7A5A8640">
      <w:pPr>
        <w:pStyle w:val="2"/>
      </w:pPr>
    </w:p>
    <w:p w14:paraId="0ED13A89">
      <w:pPr>
        <w:pStyle w:val="2"/>
        <w:ind w:left="0" w:leftChars="0" w:firstLine="0" w:firstLineChars="0"/>
        <w:rPr>
          <w:rFonts w:hint="eastAsia" w:ascii="仿宋" w:hAnsi="仿宋" w:eastAsia="仿宋" w:cs="仿宋"/>
          <w:sz w:val="32"/>
          <w:szCs w:val="32"/>
          <w:lang w:val="en-US" w:eastAsia="zh-CN"/>
        </w:rPr>
      </w:pPr>
    </w:p>
    <w:sectPr>
      <w:pgSz w:w="11906" w:h="16838"/>
      <w:pgMar w:top="1440" w:right="1689" w:bottom="1440" w:left="1689"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1"/>
    <w:family w:val="auto"/>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9A065">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893C67">
                          <w:pPr>
                            <w:pStyle w:val="9"/>
                            <w:rPr>
                              <w:rFonts w:hint="eastAsia" w:eastAsia="仿宋"/>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4C893C67">
                    <w:pPr>
                      <w:pStyle w:val="9"/>
                      <w:rPr>
                        <w:rFonts w:hint="eastAsia" w:eastAsia="仿宋"/>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E5ZGU5MjExMWNiNWEwNzM2OWRmMmYwMTFiZWU3YjQifQ=="/>
  </w:docVars>
  <w:rsids>
    <w:rsidRoot w:val="380647ED"/>
    <w:rsid w:val="1021389E"/>
    <w:rsid w:val="10A50CAA"/>
    <w:rsid w:val="161175A6"/>
    <w:rsid w:val="25DA5DF0"/>
    <w:rsid w:val="380647ED"/>
    <w:rsid w:val="380D6333"/>
    <w:rsid w:val="46CF34BA"/>
    <w:rsid w:val="582F59F0"/>
    <w:rsid w:val="7EE034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uiPriority w:val="0"/>
    <w:pPr>
      <w:widowControl w:val="0"/>
      <w:jc w:val="both"/>
    </w:pPr>
    <w:rPr>
      <w:rFonts w:ascii="Times New Roman" w:hAnsi="Times New Roman" w:eastAsia="仿宋_GB2312" w:cs="Times New Roman"/>
      <w:kern w:val="2"/>
      <w:sz w:val="32"/>
      <w:szCs w:val="22"/>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afterLines="0" w:afterAutospacing="0"/>
      <w:ind w:left="420" w:leftChars="200"/>
    </w:pPr>
  </w:style>
  <w:style w:type="paragraph" w:styleId="4">
    <w:name w:val="Body Text"/>
    <w:basedOn w:val="1"/>
    <w:next w:val="5"/>
    <w:qFormat/>
    <w:uiPriority w:val="0"/>
    <w:rPr>
      <w:rFonts w:eastAsia="仿宋_GB2312"/>
      <w:sz w:val="32"/>
    </w:rPr>
  </w:style>
  <w:style w:type="paragraph" w:customStyle="1" w:styleId="5">
    <w:name w:val="正文部分 Char Char Char"/>
    <w:basedOn w:val="4"/>
    <w:next w:val="6"/>
    <w:qFormat/>
    <w:uiPriority w:val="0"/>
    <w:pPr>
      <w:adjustRightInd w:val="0"/>
      <w:snapToGrid w:val="0"/>
      <w:spacing w:line="460" w:lineRule="exact"/>
      <w:textAlignment w:val="baseline"/>
    </w:pPr>
    <w:rPr>
      <w:rFonts w:hAnsi="Calibri"/>
      <w:sz w:val="24"/>
    </w:rPr>
  </w:style>
  <w:style w:type="paragraph" w:customStyle="1" w:styleId="6">
    <w:name w:val="章标题"/>
    <w:basedOn w:val="7"/>
    <w:qFormat/>
    <w:uiPriority w:val="0"/>
    <w:pPr>
      <w:spacing w:line="360" w:lineRule="auto"/>
    </w:pPr>
  </w:style>
  <w:style w:type="paragraph" w:styleId="7">
    <w:name w:val="Title"/>
    <w:basedOn w:val="1"/>
    <w:next w:val="1"/>
    <w:uiPriority w:val="0"/>
    <w:pPr>
      <w:spacing w:before="240" w:beforeLines="0" w:after="60" w:afterLines="0"/>
      <w:jc w:val="center"/>
      <w:outlineLvl w:val="0"/>
    </w:pPr>
    <w:rPr>
      <w:rFonts w:ascii="Cambria" w:hAnsi="Cambria"/>
      <w:b/>
      <w:bCs/>
      <w:kern w:val="0"/>
      <w:sz w:val="32"/>
      <w:szCs w:val="32"/>
    </w:rPr>
  </w:style>
  <w:style w:type="paragraph" w:styleId="8">
    <w:name w:val="Plain Text"/>
    <w:basedOn w:val="1"/>
    <w:qFormat/>
    <w:uiPriority w:val="0"/>
    <w:rPr>
      <w:rFonts w:ascii="宋体" w:hAnsi="Courier New" w:cs="Courier New"/>
      <w:szCs w:val="21"/>
    </w:rPr>
  </w:style>
  <w:style w:type="paragraph" w:styleId="9">
    <w:name w:val="footer"/>
    <w:basedOn w:val="1"/>
    <w:qFormat/>
    <w:uiPriority w:val="0"/>
    <w:pPr>
      <w:tabs>
        <w:tab w:val="center" w:pos="4153"/>
        <w:tab w:val="right" w:pos="8306"/>
      </w:tabs>
      <w:snapToGrid w:val="0"/>
      <w:jc w:val="left"/>
    </w:pPr>
    <w:rPr>
      <w:sz w:val="18"/>
      <w:szCs w:val="18"/>
    </w:rPr>
  </w:style>
  <w:style w:type="paragraph" w:customStyle="1" w:styleId="12">
    <w:name w:val="普通(网站)1"/>
    <w:basedOn w:val="1"/>
    <w:qFormat/>
    <w:uiPriority w:val="0"/>
    <w:pPr>
      <w:spacing w:before="100" w:beforeAutospacing="1" w:after="100" w:afterAutospacing="1"/>
      <w:jc w:val="left"/>
    </w:pPr>
    <w:rPr>
      <w:rFonts w:ascii="Times New Roman" w:hAnsi="Times New Roman" w:eastAsia="仿宋_GB2312" w:cs="Times New Roman"/>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2469</Words>
  <Characters>2493</Characters>
  <Lines>0</Lines>
  <Paragraphs>0</Paragraphs>
  <TotalTime>10</TotalTime>
  <ScaleCrop>false</ScaleCrop>
  <LinksUpToDate>false</LinksUpToDate>
  <CharactersWithSpaces>2523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2023-05-17T07:57:00Z</dcterms:created>
  <dc:creator>Administrator</dc:creator>
  <cp:lastModifiedBy>99708</cp:lastModifiedBy>
  <cp:lastPrinted>2023-05-23T00:45:00Z</cp:lastPrinted>
  <dcterms:modified xsi:type="dcterms:W3CDTF">2024-12-18T09:01:23Z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06703630EDE346DEBF28B9F6EF610E8F_12</vt:lpwstr>
  </property>
</Properties>
</file>