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val="en-US" w:eastAsia="zh-CN"/>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_Toc18376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_Toc18376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_Toc6252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_Toc6252 \h </w:instrText>
      </w:r>
      <w:r>
        <w:fldChar w:fldCharType="separate"/>
      </w:r>
      <w:r>
        <w:t>4</w:t>
      </w:r>
      <w:r>
        <w:fldChar w:fldCharType="end"/>
      </w:r>
      <w:r>
        <w:fldChar w:fldCharType="end"/>
      </w:r>
    </w:p>
    <w:p>
      <w:pPr>
        <w:pStyle w:val="4"/>
        <w:tabs>
          <w:tab w:val="right" w:leader="dot" w:pos="14800"/>
        </w:tabs>
      </w:pPr>
      <w:r>
        <w:fldChar w:fldCharType="begin"/>
      </w:r>
      <w:r>
        <w:instrText xml:space="preserve"> HYPERLINK \l _Toc28379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_Toc28379 \h </w:instrText>
      </w:r>
      <w:r>
        <w:fldChar w:fldCharType="separate"/>
      </w:r>
      <w:r>
        <w:t>7</w:t>
      </w:r>
      <w:r>
        <w:fldChar w:fldCharType="end"/>
      </w:r>
      <w:r>
        <w:fldChar w:fldCharType="end"/>
      </w:r>
    </w:p>
    <w:p>
      <w:pPr>
        <w:pStyle w:val="4"/>
        <w:tabs>
          <w:tab w:val="right" w:leader="dot" w:pos="14800"/>
        </w:tabs>
      </w:pPr>
      <w:r>
        <w:fldChar w:fldCharType="begin"/>
      </w:r>
      <w:r>
        <w:instrText xml:space="preserve"> HYPERLINK \l _Toc23341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_Toc23341 \h </w:instrText>
      </w:r>
      <w:r>
        <w:fldChar w:fldCharType="separate"/>
      </w:r>
      <w:r>
        <w:t>9</w:t>
      </w:r>
      <w:r>
        <w:fldChar w:fldCharType="end"/>
      </w:r>
      <w:r>
        <w:fldChar w:fldCharType="end"/>
      </w:r>
    </w:p>
    <w:p>
      <w:pPr>
        <w:pStyle w:val="4"/>
        <w:tabs>
          <w:tab w:val="right" w:leader="dot" w:pos="14800"/>
        </w:tabs>
      </w:pPr>
      <w:r>
        <w:fldChar w:fldCharType="begin"/>
      </w:r>
      <w:r>
        <w:instrText xml:space="preserve"> HYPERLINK \l _Toc11589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_Toc11589 \h </w:instrText>
      </w:r>
      <w:r>
        <w:fldChar w:fldCharType="separate"/>
      </w:r>
      <w:r>
        <w:t>12</w:t>
      </w:r>
      <w:r>
        <w:fldChar w:fldCharType="end"/>
      </w:r>
      <w:r>
        <w:fldChar w:fldCharType="end"/>
      </w:r>
    </w:p>
    <w:p>
      <w:pPr>
        <w:pStyle w:val="4"/>
        <w:tabs>
          <w:tab w:val="right" w:leader="dot" w:pos="14800"/>
        </w:tabs>
      </w:pPr>
      <w:r>
        <w:fldChar w:fldCharType="begin"/>
      </w:r>
      <w:r>
        <w:instrText xml:space="preserve"> HYPERLINK \l _Toc4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_Toc4 \h </w:instrText>
      </w:r>
      <w:r>
        <w:fldChar w:fldCharType="separate"/>
      </w:r>
      <w:r>
        <w:t>14</w:t>
      </w:r>
      <w:r>
        <w:fldChar w:fldCharType="end"/>
      </w:r>
      <w:r>
        <w:fldChar w:fldCharType="end"/>
      </w:r>
    </w:p>
    <w:p>
      <w:pPr>
        <w:pStyle w:val="4"/>
        <w:tabs>
          <w:tab w:val="right" w:leader="dot" w:pos="14800"/>
        </w:tabs>
      </w:pPr>
      <w:r>
        <w:fldChar w:fldCharType="begin"/>
      </w:r>
      <w:r>
        <w:instrText xml:space="preserve"> HYPERLINK \l _Toc16932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val="en-US"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_Toc16932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_Toc19551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_Toc19551 \h </w:instrText>
      </w:r>
      <w:r>
        <w:fldChar w:fldCharType="separate"/>
      </w:r>
      <w:r>
        <w:t>17</w:t>
      </w:r>
      <w:r>
        <w:fldChar w:fldCharType="end"/>
      </w:r>
      <w:r>
        <w:fldChar w:fldCharType="end"/>
      </w:r>
    </w:p>
    <w:p>
      <w:pPr>
        <w:pStyle w:val="4"/>
        <w:tabs>
          <w:tab w:val="right" w:leader="dot" w:pos="14800"/>
        </w:tabs>
      </w:pPr>
      <w:r>
        <w:fldChar w:fldCharType="begin"/>
      </w:r>
      <w:r>
        <w:instrText xml:space="preserve"> HYPERLINK \l _Toc31947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_Toc31947 \h </w:instrText>
      </w:r>
      <w:r>
        <w:fldChar w:fldCharType="separate"/>
      </w:r>
      <w:r>
        <w:t>18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_Toc20533 </w:instrText>
      </w:r>
      <w:r>
        <w:fldChar w:fldCharType="separate"/>
      </w:r>
      <w:r>
        <w:rPr>
          <w:rFonts w:ascii="黑体" w:hAnsi="黑体" w:eastAsia="黑体" w:cs="黑体"/>
        </w:rPr>
        <w:t>一、部门职责及机构设置情况</w:t>
      </w:r>
      <w:r>
        <w:tab/>
      </w:r>
      <w:r>
        <w:fldChar w:fldCharType="begin"/>
      </w:r>
      <w:r>
        <w:instrText xml:space="preserve"> PAGEREF _Toc20533 \h </w:instrText>
      </w:r>
      <w:r>
        <w:fldChar w:fldCharType="separate"/>
      </w:r>
      <w:r>
        <w:t>19</w:t>
      </w:r>
      <w:r>
        <w:fldChar w:fldCharType="end"/>
      </w:r>
      <w:r>
        <w:fldChar w:fldCharType="end"/>
      </w:r>
    </w:p>
    <w:p>
      <w:pPr>
        <w:pStyle w:val="2"/>
        <w:tabs>
          <w:tab w:val="right" w:leader="dot" w:pos="14800"/>
        </w:tabs>
      </w:pPr>
      <w:r>
        <w:fldChar w:fldCharType="begin"/>
      </w:r>
      <w:r>
        <w:instrText xml:space="preserve"> HYPERLINK \l _Toc19678 </w:instrText>
      </w:r>
      <w:r>
        <w:fldChar w:fldCharType="separate"/>
      </w:r>
      <w:r>
        <w:rPr>
          <w:rFonts w:ascii="黑体" w:hAnsi="黑体" w:eastAsia="黑体" w:cs="黑体"/>
        </w:rPr>
        <w:t>二、部门预算安排的总体情况</w:t>
      </w:r>
      <w:r>
        <w:tab/>
      </w:r>
      <w:r>
        <w:fldChar w:fldCharType="begin"/>
      </w:r>
      <w:r>
        <w:instrText xml:space="preserve"> PAGEREF _Toc19678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_Toc17248 </w:instrText>
      </w:r>
      <w:r>
        <w:fldChar w:fldCharType="separate"/>
      </w:r>
      <w:r>
        <w:rPr>
          <w:rFonts w:ascii="黑体" w:hAnsi="黑体" w:eastAsia="黑体" w:cs="黑体"/>
        </w:rPr>
        <w:t>三、机关运行经费安排情况</w:t>
      </w:r>
      <w:r>
        <w:tab/>
      </w:r>
      <w:r>
        <w:fldChar w:fldCharType="begin"/>
      </w:r>
      <w:r>
        <w:instrText xml:space="preserve"> PAGEREF _Toc17248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_Toc14038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_Toc14038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_Toc16948 </w:instrText>
      </w:r>
      <w:r>
        <w:fldChar w:fldCharType="separate"/>
      </w:r>
      <w:r>
        <w:rPr>
          <w:rFonts w:ascii="黑体" w:hAnsi="黑体" w:eastAsia="黑体" w:cs="黑体"/>
        </w:rPr>
        <w:t>五、预算绩效信息</w:t>
      </w:r>
      <w:r>
        <w:tab/>
      </w:r>
      <w:r>
        <w:fldChar w:fldCharType="begin"/>
      </w:r>
      <w:r>
        <w:instrText xml:space="preserve"> PAGEREF _Toc16948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_Toc28363 </w:instrText>
      </w:r>
      <w:r>
        <w:fldChar w:fldCharType="separate"/>
      </w:r>
      <w:r>
        <w:rPr>
          <w:rFonts w:ascii="黑体" w:hAnsi="黑体" w:eastAsia="黑体" w:cs="黑体"/>
        </w:rPr>
        <w:t>六、政府采购预算情况</w:t>
      </w:r>
      <w:r>
        <w:tab/>
      </w:r>
      <w:r>
        <w:fldChar w:fldCharType="begin"/>
      </w:r>
      <w:r>
        <w:instrText xml:space="preserve"> PAGEREF _Toc28363 \h </w:instrText>
      </w:r>
      <w:r>
        <w:fldChar w:fldCharType="separate"/>
      </w:r>
      <w:r>
        <w:t>39</w:t>
      </w:r>
      <w:r>
        <w:fldChar w:fldCharType="end"/>
      </w:r>
      <w:r>
        <w:fldChar w:fldCharType="end"/>
      </w:r>
    </w:p>
    <w:p>
      <w:pPr>
        <w:pStyle w:val="2"/>
        <w:tabs>
          <w:tab w:val="right" w:leader="dot" w:pos="14800"/>
        </w:tabs>
      </w:pPr>
      <w:r>
        <w:fldChar w:fldCharType="begin"/>
      </w:r>
      <w:r>
        <w:instrText xml:space="preserve"> HYPERLINK \l _Toc15648 </w:instrText>
      </w:r>
      <w:r>
        <w:fldChar w:fldCharType="separate"/>
      </w:r>
      <w:r>
        <w:rPr>
          <w:rFonts w:ascii="黑体" w:hAnsi="黑体" w:eastAsia="黑体" w:cs="黑体"/>
        </w:rPr>
        <w:t>七、国有资产信息</w:t>
      </w:r>
      <w:r>
        <w:tab/>
      </w:r>
      <w:r>
        <w:fldChar w:fldCharType="begin"/>
      </w:r>
      <w:r>
        <w:instrText xml:space="preserve"> PAGEREF _Toc15648 \h </w:instrText>
      </w:r>
      <w:r>
        <w:fldChar w:fldCharType="separate"/>
      </w:r>
      <w:r>
        <w:t>40</w:t>
      </w:r>
      <w:r>
        <w:fldChar w:fldCharType="end"/>
      </w:r>
      <w:r>
        <w:fldChar w:fldCharType="end"/>
      </w:r>
    </w:p>
    <w:p>
      <w:pPr>
        <w:pStyle w:val="2"/>
        <w:tabs>
          <w:tab w:val="right" w:leader="dot" w:pos="14800"/>
        </w:tabs>
      </w:pPr>
      <w:r>
        <w:fldChar w:fldCharType="begin"/>
      </w:r>
      <w:r>
        <w:instrText xml:space="preserve"> HYPERLINK \l _Toc21829 </w:instrText>
      </w:r>
      <w:r>
        <w:fldChar w:fldCharType="separate"/>
      </w:r>
      <w:r>
        <w:rPr>
          <w:rFonts w:ascii="黑体" w:hAnsi="黑体" w:eastAsia="黑体" w:cs="黑体"/>
        </w:rPr>
        <w:t>八、名词解释</w:t>
      </w:r>
      <w:r>
        <w:tab/>
      </w:r>
      <w:r>
        <w:fldChar w:fldCharType="begin"/>
      </w:r>
      <w:r>
        <w:instrText xml:space="preserve"> PAGEREF _Toc21829 \h </w:instrText>
      </w:r>
      <w:r>
        <w:fldChar w:fldCharType="separate"/>
      </w:r>
      <w:r>
        <w:t>41</w:t>
      </w:r>
      <w:r>
        <w:fldChar w:fldCharType="end"/>
      </w:r>
      <w:r>
        <w:fldChar w:fldCharType="end"/>
      </w:r>
    </w:p>
    <w:p>
      <w:pPr>
        <w:pStyle w:val="2"/>
        <w:tabs>
          <w:tab w:val="right" w:leader="dot" w:pos="14800"/>
        </w:tabs>
      </w:pPr>
      <w:r>
        <w:fldChar w:fldCharType="begin"/>
      </w:r>
      <w:r>
        <w:instrText xml:space="preserve"> HYPERLINK \l _Toc17688 </w:instrText>
      </w:r>
      <w:r>
        <w:fldChar w:fldCharType="separate"/>
      </w:r>
      <w:r>
        <w:rPr>
          <w:rFonts w:ascii="黑体" w:hAnsi="黑体" w:eastAsia="黑体" w:cs="黑体"/>
        </w:rPr>
        <w:t>九、其他需要说明的事项</w:t>
      </w:r>
      <w:r>
        <w:tab/>
      </w:r>
      <w:r>
        <w:fldChar w:fldCharType="begin"/>
      </w:r>
      <w:r>
        <w:instrText xml:space="preserve"> PAGEREF _Toc17688 \h </w:instrText>
      </w:r>
      <w:r>
        <w:fldChar w:fldCharType="separate"/>
      </w:r>
      <w:r>
        <w:t>42</w:t>
      </w:r>
      <w:r>
        <w:fldChar w:fldCharType="end"/>
      </w:r>
      <w:r>
        <w:fldChar w:fldCharType="end"/>
      </w:r>
    </w:p>
    <w:p>
      <w:pPr>
        <w:jc w:val="center"/>
        <w:outlineLvl w:val="0"/>
      </w:pPr>
      <w:r>
        <w:fldChar w:fldCharType="end"/>
      </w:r>
    </w:p>
    <w:p>
      <w:pPr>
        <w:jc w:val="both"/>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0" w:name="_Toc18376"/>
      <w:r>
        <w:rPr>
          <w:rFonts w:ascii="方正小标宋_GBK" w:hAnsi="方正小标宋_GBK" w:eastAsia="方正小标宋_GBK" w:cs="方正小标宋_GBK"/>
          <w:color w:val="000000"/>
          <w:sz w:val="36"/>
        </w:rPr>
        <w:t>部门预算收支总表</w:t>
      </w:r>
      <w:bookmarkEnd w:id="0"/>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t>一、一般公共预算拨款收入</w:t>
            </w:r>
          </w:p>
        </w:tc>
        <w:tc>
          <w:tcPr>
            <w:tcW w:w="2126" w:type="dxa"/>
            <w:vAlign w:val="center"/>
          </w:tcPr>
          <w:p>
            <w:pPr>
              <w:pStyle w:val="13"/>
            </w:pPr>
            <w:r>
              <w:t>1580.86</w:t>
            </w:r>
          </w:p>
        </w:tc>
        <w:tc>
          <w:tcPr>
            <w:tcW w:w="4535" w:type="dxa"/>
            <w:vAlign w:val="center"/>
          </w:tcPr>
          <w:p>
            <w:pPr>
              <w:pStyle w:val="12"/>
            </w:pPr>
            <w:r>
              <w:t>一、一般公共服务支出</w:t>
            </w:r>
          </w:p>
        </w:tc>
        <w:tc>
          <w:tcPr>
            <w:tcW w:w="2126" w:type="dxa"/>
            <w:vAlign w:val="center"/>
          </w:tcPr>
          <w:p>
            <w:pPr>
              <w:pStyle w:val="13"/>
            </w:pPr>
            <w:r>
              <w:t>1225.77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r>
              <w:t>26.37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4"/>
            </w:pPr>
            <w:r>
              <w:t>本年收入合计</w:t>
            </w:r>
          </w:p>
        </w:tc>
        <w:tc>
          <w:tcPr>
            <w:tcW w:w="2126" w:type="dxa"/>
            <w:vAlign w:val="center"/>
          </w:tcPr>
          <w:p>
            <w:pPr>
              <w:pStyle w:val="15"/>
            </w:pPr>
            <w:r>
              <w:t>1580.86</w:t>
            </w:r>
          </w:p>
        </w:tc>
        <w:tc>
          <w:tcPr>
            <w:tcW w:w="4535" w:type="dxa"/>
            <w:vAlign w:val="center"/>
          </w:tcPr>
          <w:p>
            <w:pPr>
              <w:pStyle w:val="14"/>
            </w:pPr>
            <w:r>
              <w:t>本年支出合计</w:t>
            </w:r>
          </w:p>
        </w:tc>
        <w:tc>
          <w:tcPr>
            <w:tcW w:w="2126" w:type="dxa"/>
            <w:vAlign w:val="center"/>
          </w:tcPr>
          <w:p>
            <w:pPr>
              <w:pStyle w:val="15"/>
            </w:pPr>
            <w:r>
              <w:t>1594.95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2"/>
            </w:pPr>
            <w:r>
              <w:t>上年结转结余</w:t>
            </w:r>
          </w:p>
        </w:tc>
        <w:tc>
          <w:tcPr>
            <w:tcW w:w="2126" w:type="dxa"/>
            <w:vAlign w:val="center"/>
          </w:tcPr>
          <w:p>
            <w:pPr>
              <w:pStyle w:val="13"/>
            </w:pPr>
            <w:r>
              <w:t>14.09</w:t>
            </w: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6" w:type="dxa"/>
            <w:vAlign w:val="center"/>
          </w:tcPr>
          <w:p>
            <w:pPr>
              <w:pStyle w:val="14"/>
            </w:pPr>
            <w:r>
              <w:t>收入总计</w:t>
            </w:r>
          </w:p>
        </w:tc>
        <w:tc>
          <w:tcPr>
            <w:tcW w:w="2126" w:type="dxa"/>
            <w:vAlign w:val="center"/>
          </w:tcPr>
          <w:p>
            <w:pPr>
              <w:pStyle w:val="15"/>
            </w:pPr>
            <w:r>
              <w:t>1594.95</w:t>
            </w:r>
          </w:p>
        </w:tc>
        <w:tc>
          <w:tcPr>
            <w:tcW w:w="4535" w:type="dxa"/>
            <w:vAlign w:val="center"/>
          </w:tcPr>
          <w:p>
            <w:pPr>
              <w:pStyle w:val="14"/>
            </w:pPr>
            <w:r>
              <w:t>支出总计</w:t>
            </w:r>
          </w:p>
        </w:tc>
        <w:tc>
          <w:tcPr>
            <w:tcW w:w="2126" w:type="dxa"/>
            <w:vAlign w:val="center"/>
          </w:tcPr>
          <w:p>
            <w:pPr>
              <w:pStyle w:val="15"/>
            </w:pPr>
            <w:r>
              <w:t>1594.95</w:t>
            </w:r>
          </w:p>
        </w:tc>
      </w:tr>
    </w:tbl>
    <w:p>
      <w:pPr>
        <w:sectPr>
          <w:pgSz w:w="16840" w:h="11900" w:orient="landscape"/>
          <w:pgMar w:top="1361" w:right="1020" w:bottom="1134" w:left="1020" w:header="720" w:footer="720" w:gutter="0"/>
          <w:cols w:space="720" w:num="1"/>
        </w:sectPr>
      </w:pPr>
    </w:p>
    <w:p>
      <w:pPr>
        <w:jc w:val="center"/>
        <w:outlineLvl w:val="1"/>
      </w:pPr>
      <w:bookmarkStart w:id="1" w:name="_Toc625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1594.95</w:t>
            </w:r>
          </w:p>
        </w:tc>
        <w:tc>
          <w:tcPr>
            <w:tcW w:w="1134" w:type="dxa"/>
            <w:vAlign w:val="center"/>
          </w:tcPr>
          <w:p>
            <w:pPr>
              <w:pStyle w:val="15"/>
            </w:pPr>
            <w:r>
              <w:t>1580.86</w:t>
            </w:r>
          </w:p>
        </w:tc>
        <w:tc>
          <w:tcPr>
            <w:tcW w:w="1134" w:type="dxa"/>
            <w:vAlign w:val="center"/>
          </w:tcPr>
          <w:p>
            <w:pPr>
              <w:pStyle w:val="15"/>
            </w:pPr>
            <w:r>
              <w:t>1580.86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1225.77</w:t>
            </w:r>
          </w:p>
        </w:tc>
        <w:tc>
          <w:tcPr>
            <w:tcW w:w="1134" w:type="dxa"/>
            <w:vAlign w:val="center"/>
          </w:tcPr>
          <w:p>
            <w:pPr>
              <w:pStyle w:val="13"/>
            </w:pPr>
            <w:r>
              <w:t>1225.77</w:t>
            </w:r>
          </w:p>
        </w:tc>
        <w:tc>
          <w:tcPr>
            <w:tcW w:w="1134" w:type="dxa"/>
            <w:vAlign w:val="center"/>
          </w:tcPr>
          <w:p>
            <w:pPr>
              <w:pStyle w:val="13"/>
            </w:pPr>
            <w:r>
              <w:t>1225.77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3"/>
            </w:pPr>
            <w:r>
              <w:t>1225.77</w:t>
            </w:r>
          </w:p>
        </w:tc>
        <w:tc>
          <w:tcPr>
            <w:tcW w:w="1134" w:type="dxa"/>
            <w:vAlign w:val="center"/>
          </w:tcPr>
          <w:p>
            <w:pPr>
              <w:pStyle w:val="13"/>
            </w:pPr>
            <w:r>
              <w:t>1225.77</w:t>
            </w:r>
          </w:p>
        </w:tc>
        <w:tc>
          <w:tcPr>
            <w:tcW w:w="1134" w:type="dxa"/>
            <w:vAlign w:val="center"/>
          </w:tcPr>
          <w:p>
            <w:pPr>
              <w:pStyle w:val="13"/>
            </w:pPr>
            <w:r>
              <w:t>1225.77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3"/>
            </w:pPr>
            <w:r>
              <w:t>1123.27</w:t>
            </w:r>
          </w:p>
        </w:tc>
        <w:tc>
          <w:tcPr>
            <w:tcW w:w="1134" w:type="dxa"/>
            <w:vAlign w:val="center"/>
          </w:tcPr>
          <w:p>
            <w:pPr>
              <w:pStyle w:val="13"/>
            </w:pPr>
            <w:r>
              <w:t>1123.27</w:t>
            </w:r>
          </w:p>
        </w:tc>
        <w:tc>
          <w:tcPr>
            <w:tcW w:w="1134" w:type="dxa"/>
            <w:vAlign w:val="center"/>
          </w:tcPr>
          <w:p>
            <w:pPr>
              <w:pStyle w:val="13"/>
            </w:pPr>
            <w:r>
              <w:t>1123.27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2010303</w:t>
            </w:r>
          </w:p>
        </w:tc>
        <w:tc>
          <w:tcPr>
            <w:tcW w:w="1559" w:type="dxa"/>
            <w:vAlign w:val="center"/>
          </w:tcPr>
          <w:p>
            <w:pPr>
              <w:pStyle w:val="12"/>
            </w:pPr>
            <w:r>
              <w:t>机关服务</w:t>
            </w:r>
          </w:p>
        </w:tc>
        <w:tc>
          <w:tcPr>
            <w:tcW w:w="1134" w:type="dxa"/>
            <w:vAlign w:val="center"/>
          </w:tcPr>
          <w:p>
            <w:pPr>
              <w:pStyle w:val="13"/>
            </w:pPr>
            <w:r>
              <w:t>102.50</w:t>
            </w:r>
          </w:p>
        </w:tc>
        <w:tc>
          <w:tcPr>
            <w:tcW w:w="1134" w:type="dxa"/>
            <w:vAlign w:val="center"/>
          </w:tcPr>
          <w:p>
            <w:pPr>
              <w:pStyle w:val="13"/>
            </w:pPr>
            <w:r>
              <w:t>102.50</w:t>
            </w:r>
          </w:p>
        </w:tc>
        <w:tc>
          <w:tcPr>
            <w:tcW w:w="1134" w:type="dxa"/>
            <w:vAlign w:val="center"/>
          </w:tcPr>
          <w:p>
            <w:pPr>
              <w:pStyle w:val="13"/>
            </w:pPr>
            <w:r>
              <w:t>102.50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6.31</w:t>
            </w:r>
          </w:p>
        </w:tc>
        <w:tc>
          <w:tcPr>
            <w:tcW w:w="1134" w:type="dxa"/>
            <w:vAlign w:val="center"/>
          </w:tcPr>
          <w:p>
            <w:pPr>
              <w:pStyle w:val="13"/>
            </w:pPr>
            <w:r>
              <w:t>6.31</w:t>
            </w:r>
          </w:p>
        </w:tc>
        <w:tc>
          <w:tcPr>
            <w:tcW w:w="1134" w:type="dxa"/>
            <w:vAlign w:val="center"/>
          </w:tcPr>
          <w:p>
            <w:pPr>
              <w:pStyle w:val="13"/>
            </w:pPr>
            <w:r>
              <w:t>6.31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3"/>
            </w:pPr>
            <w:r>
              <w:t>6.31</w:t>
            </w:r>
          </w:p>
        </w:tc>
        <w:tc>
          <w:tcPr>
            <w:tcW w:w="1134" w:type="dxa"/>
            <w:vAlign w:val="center"/>
          </w:tcPr>
          <w:p>
            <w:pPr>
              <w:pStyle w:val="13"/>
            </w:pPr>
            <w:r>
              <w:t>6.31</w:t>
            </w:r>
          </w:p>
        </w:tc>
        <w:tc>
          <w:tcPr>
            <w:tcW w:w="1134" w:type="dxa"/>
            <w:vAlign w:val="center"/>
          </w:tcPr>
          <w:p>
            <w:pPr>
              <w:pStyle w:val="13"/>
            </w:pPr>
            <w:r>
              <w:t>6.31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2080806</w:t>
            </w:r>
          </w:p>
        </w:tc>
        <w:tc>
          <w:tcPr>
            <w:tcW w:w="1559" w:type="dxa"/>
            <w:vAlign w:val="center"/>
          </w:tcPr>
          <w:p>
            <w:pPr>
              <w:pStyle w:val="12"/>
            </w:pPr>
            <w:r>
              <w:t>农村籍退役士兵老年生活补助</w:t>
            </w:r>
          </w:p>
        </w:tc>
        <w:tc>
          <w:tcPr>
            <w:tcW w:w="1134" w:type="dxa"/>
            <w:vAlign w:val="center"/>
          </w:tcPr>
          <w:p>
            <w:pPr>
              <w:pStyle w:val="13"/>
            </w:pPr>
            <w:r>
              <w:t>6.31</w:t>
            </w:r>
          </w:p>
        </w:tc>
        <w:tc>
          <w:tcPr>
            <w:tcW w:w="1134" w:type="dxa"/>
            <w:vAlign w:val="center"/>
          </w:tcPr>
          <w:p>
            <w:pPr>
              <w:pStyle w:val="13"/>
            </w:pPr>
            <w:r>
              <w:t>6.31</w:t>
            </w:r>
          </w:p>
        </w:tc>
        <w:tc>
          <w:tcPr>
            <w:tcW w:w="1134" w:type="dxa"/>
            <w:vAlign w:val="center"/>
          </w:tcPr>
          <w:p>
            <w:pPr>
              <w:pStyle w:val="13"/>
            </w:pPr>
            <w:r>
              <w:t>6.31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r>
              <w:t>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3"/>
            </w:pPr>
            <w:r>
              <w:t>26.37</w:t>
            </w:r>
          </w:p>
        </w:tc>
        <w:tc>
          <w:tcPr>
            <w:tcW w:w="1134" w:type="dxa"/>
            <w:vAlign w:val="center"/>
          </w:tcPr>
          <w:p>
            <w:pPr>
              <w:pStyle w:val="13"/>
            </w:pPr>
            <w:r>
              <w:t>12.28</w:t>
            </w:r>
          </w:p>
        </w:tc>
        <w:tc>
          <w:tcPr>
            <w:tcW w:w="1134" w:type="dxa"/>
            <w:vAlign w:val="center"/>
          </w:tcPr>
          <w:p>
            <w:pPr>
              <w:pStyle w:val="13"/>
            </w:pPr>
            <w:r>
              <w:t>12.28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3"/>
            </w:pPr>
            <w:r>
              <w:t>14.09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3"/>
            </w:pPr>
            <w:r>
              <w:t>14.09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3"/>
            </w:pPr>
            <w:r>
              <w:t>12.28</w:t>
            </w:r>
          </w:p>
        </w:tc>
        <w:tc>
          <w:tcPr>
            <w:tcW w:w="1134" w:type="dxa"/>
            <w:vAlign w:val="center"/>
          </w:tcPr>
          <w:p>
            <w:pPr>
              <w:pStyle w:val="13"/>
            </w:pPr>
            <w:r>
              <w:t>12.28</w:t>
            </w:r>
          </w:p>
        </w:tc>
        <w:tc>
          <w:tcPr>
            <w:tcW w:w="1134" w:type="dxa"/>
            <w:vAlign w:val="center"/>
          </w:tcPr>
          <w:p>
            <w:pPr>
              <w:pStyle w:val="13"/>
            </w:pPr>
            <w:r>
              <w:t>12.28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3"/>
            </w:pPr>
            <w:r>
              <w:t>12.28</w:t>
            </w:r>
          </w:p>
        </w:tc>
        <w:tc>
          <w:tcPr>
            <w:tcW w:w="1134" w:type="dxa"/>
            <w:vAlign w:val="center"/>
          </w:tcPr>
          <w:p>
            <w:pPr>
              <w:pStyle w:val="13"/>
            </w:pPr>
            <w:r>
              <w:t>12.28</w:t>
            </w:r>
          </w:p>
        </w:tc>
        <w:tc>
          <w:tcPr>
            <w:tcW w:w="1134" w:type="dxa"/>
            <w:vAlign w:val="center"/>
          </w:tcPr>
          <w:p>
            <w:pPr>
              <w:pStyle w:val="13"/>
            </w:pPr>
            <w:r>
              <w:t>12.28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r>
              <w:t>300.00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28379"/>
      <w:r>
        <w:rPr>
          <w:rFonts w:ascii="方正小标宋_GBK" w:hAnsi="方正小标宋_GBK" w:eastAsia="方正小标宋_GBK" w:cs="方正小标宋_GBK"/>
          <w:color w:val="000000"/>
          <w:sz w:val="36"/>
        </w:rPr>
        <w:t>部门预算支出总表</w:t>
      </w:r>
      <w:bookmarkEnd w:id="2"/>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1594.95</w:t>
            </w:r>
          </w:p>
        </w:tc>
        <w:tc>
          <w:tcPr>
            <w:tcW w:w="1361" w:type="dxa"/>
            <w:vAlign w:val="center"/>
          </w:tcPr>
          <w:p>
            <w:pPr>
              <w:pStyle w:val="15"/>
            </w:pPr>
            <w:r>
              <w:t>1123.27</w:t>
            </w:r>
          </w:p>
        </w:tc>
        <w:tc>
          <w:tcPr>
            <w:tcW w:w="1361" w:type="dxa"/>
            <w:vAlign w:val="center"/>
          </w:tcPr>
          <w:p>
            <w:pPr>
              <w:pStyle w:val="15"/>
            </w:pPr>
            <w:r>
              <w:t>471.68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3"/>
            </w:pPr>
            <w:r>
              <w:t>1225.77</w:t>
            </w:r>
          </w:p>
        </w:tc>
        <w:tc>
          <w:tcPr>
            <w:tcW w:w="1361" w:type="dxa"/>
            <w:vAlign w:val="center"/>
          </w:tcPr>
          <w:p>
            <w:pPr>
              <w:pStyle w:val="13"/>
            </w:pPr>
            <w:r>
              <w:t>1123.27</w:t>
            </w:r>
          </w:p>
        </w:tc>
        <w:tc>
          <w:tcPr>
            <w:tcW w:w="1361" w:type="dxa"/>
            <w:vAlign w:val="center"/>
          </w:tcPr>
          <w:p>
            <w:pPr>
              <w:pStyle w:val="13"/>
            </w:pPr>
            <w:r>
              <w:t>102.50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20103</w:t>
            </w:r>
          </w:p>
        </w:tc>
        <w:tc>
          <w:tcPr>
            <w:tcW w:w="4536" w:type="dxa"/>
            <w:vAlign w:val="center"/>
          </w:tcPr>
          <w:p>
            <w:pPr>
              <w:pStyle w:val="12"/>
            </w:pPr>
            <w:r>
              <w:t>政府办公厅（室）及相关机构事务</w:t>
            </w:r>
          </w:p>
        </w:tc>
        <w:tc>
          <w:tcPr>
            <w:tcW w:w="1361" w:type="dxa"/>
            <w:vAlign w:val="center"/>
          </w:tcPr>
          <w:p>
            <w:pPr>
              <w:pStyle w:val="13"/>
            </w:pPr>
            <w:r>
              <w:t>1225.77</w:t>
            </w:r>
          </w:p>
        </w:tc>
        <w:tc>
          <w:tcPr>
            <w:tcW w:w="1361" w:type="dxa"/>
            <w:vAlign w:val="center"/>
          </w:tcPr>
          <w:p>
            <w:pPr>
              <w:pStyle w:val="13"/>
            </w:pPr>
            <w:r>
              <w:t>1123.27</w:t>
            </w:r>
          </w:p>
        </w:tc>
        <w:tc>
          <w:tcPr>
            <w:tcW w:w="1361" w:type="dxa"/>
            <w:vAlign w:val="center"/>
          </w:tcPr>
          <w:p>
            <w:pPr>
              <w:pStyle w:val="13"/>
            </w:pPr>
            <w:r>
              <w:t>102.50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2010301</w:t>
            </w:r>
          </w:p>
        </w:tc>
        <w:tc>
          <w:tcPr>
            <w:tcW w:w="4536" w:type="dxa"/>
            <w:vAlign w:val="center"/>
          </w:tcPr>
          <w:p>
            <w:pPr>
              <w:pStyle w:val="12"/>
            </w:pPr>
            <w:r>
              <w:t>行政运行</w:t>
            </w:r>
          </w:p>
        </w:tc>
        <w:tc>
          <w:tcPr>
            <w:tcW w:w="1361" w:type="dxa"/>
            <w:vAlign w:val="center"/>
          </w:tcPr>
          <w:p>
            <w:pPr>
              <w:pStyle w:val="13"/>
            </w:pPr>
            <w:r>
              <w:t>1123.27</w:t>
            </w:r>
          </w:p>
        </w:tc>
        <w:tc>
          <w:tcPr>
            <w:tcW w:w="1361" w:type="dxa"/>
            <w:vAlign w:val="center"/>
          </w:tcPr>
          <w:p>
            <w:pPr>
              <w:pStyle w:val="13"/>
            </w:pPr>
            <w:r>
              <w:t>1123.27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2010303</w:t>
            </w:r>
          </w:p>
        </w:tc>
        <w:tc>
          <w:tcPr>
            <w:tcW w:w="4536" w:type="dxa"/>
            <w:vAlign w:val="center"/>
          </w:tcPr>
          <w:p>
            <w:pPr>
              <w:pStyle w:val="12"/>
            </w:pPr>
            <w:r>
              <w:t>机关服务</w:t>
            </w:r>
          </w:p>
        </w:tc>
        <w:tc>
          <w:tcPr>
            <w:tcW w:w="1361" w:type="dxa"/>
            <w:vAlign w:val="center"/>
          </w:tcPr>
          <w:p>
            <w:pPr>
              <w:pStyle w:val="13"/>
            </w:pPr>
            <w:r>
              <w:t>102.50</w:t>
            </w:r>
          </w:p>
        </w:tc>
        <w:tc>
          <w:tcPr>
            <w:tcW w:w="1361" w:type="dxa"/>
            <w:vAlign w:val="center"/>
          </w:tcPr>
          <w:p>
            <w:pPr>
              <w:pStyle w:val="13"/>
            </w:pPr>
          </w:p>
        </w:tc>
        <w:tc>
          <w:tcPr>
            <w:tcW w:w="1361" w:type="dxa"/>
            <w:vAlign w:val="center"/>
          </w:tcPr>
          <w:p>
            <w:pPr>
              <w:pStyle w:val="13"/>
            </w:pPr>
            <w:r>
              <w:t>102.50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205</w:t>
            </w:r>
          </w:p>
        </w:tc>
        <w:tc>
          <w:tcPr>
            <w:tcW w:w="4536" w:type="dxa"/>
            <w:vAlign w:val="center"/>
          </w:tcPr>
          <w:p>
            <w:pPr>
              <w:pStyle w:val="12"/>
            </w:pPr>
            <w:r>
              <w:t>教育支出</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20502</w:t>
            </w:r>
          </w:p>
        </w:tc>
        <w:tc>
          <w:tcPr>
            <w:tcW w:w="4536" w:type="dxa"/>
            <w:vAlign w:val="center"/>
          </w:tcPr>
          <w:p>
            <w:pPr>
              <w:pStyle w:val="12"/>
            </w:pPr>
            <w:r>
              <w:t>普通教育</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2050202</w:t>
            </w:r>
          </w:p>
        </w:tc>
        <w:tc>
          <w:tcPr>
            <w:tcW w:w="4536" w:type="dxa"/>
            <w:vAlign w:val="center"/>
          </w:tcPr>
          <w:p>
            <w:pPr>
              <w:pStyle w:val="12"/>
            </w:pPr>
            <w:r>
              <w:t>小学教育</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207</w:t>
            </w:r>
          </w:p>
        </w:tc>
        <w:tc>
          <w:tcPr>
            <w:tcW w:w="4536" w:type="dxa"/>
            <w:vAlign w:val="center"/>
          </w:tcPr>
          <w:p>
            <w:pPr>
              <w:pStyle w:val="12"/>
            </w:pPr>
            <w:r>
              <w:t>文化旅游体育与传媒支出</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20701</w:t>
            </w:r>
          </w:p>
        </w:tc>
        <w:tc>
          <w:tcPr>
            <w:tcW w:w="4536" w:type="dxa"/>
            <w:vAlign w:val="center"/>
          </w:tcPr>
          <w:p>
            <w:pPr>
              <w:pStyle w:val="12"/>
            </w:pPr>
            <w:r>
              <w:t>文化和旅游</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2070109</w:t>
            </w:r>
          </w:p>
        </w:tc>
        <w:tc>
          <w:tcPr>
            <w:tcW w:w="4536" w:type="dxa"/>
            <w:vAlign w:val="center"/>
          </w:tcPr>
          <w:p>
            <w:pPr>
              <w:pStyle w:val="12"/>
            </w:pPr>
            <w:r>
              <w:t>群众文化</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3"/>
            </w:pPr>
            <w:r>
              <w:t>6.31</w:t>
            </w:r>
          </w:p>
        </w:tc>
        <w:tc>
          <w:tcPr>
            <w:tcW w:w="1361" w:type="dxa"/>
            <w:vAlign w:val="center"/>
          </w:tcPr>
          <w:p>
            <w:pPr>
              <w:pStyle w:val="13"/>
            </w:pPr>
          </w:p>
        </w:tc>
        <w:tc>
          <w:tcPr>
            <w:tcW w:w="1361" w:type="dxa"/>
            <w:vAlign w:val="center"/>
          </w:tcPr>
          <w:p>
            <w:pPr>
              <w:pStyle w:val="13"/>
            </w:pPr>
            <w:r>
              <w:t>6.31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20808</w:t>
            </w:r>
          </w:p>
        </w:tc>
        <w:tc>
          <w:tcPr>
            <w:tcW w:w="4536" w:type="dxa"/>
            <w:vAlign w:val="center"/>
          </w:tcPr>
          <w:p>
            <w:pPr>
              <w:pStyle w:val="12"/>
            </w:pPr>
            <w:r>
              <w:t>抚恤</w:t>
            </w:r>
          </w:p>
        </w:tc>
        <w:tc>
          <w:tcPr>
            <w:tcW w:w="1361" w:type="dxa"/>
            <w:vAlign w:val="center"/>
          </w:tcPr>
          <w:p>
            <w:pPr>
              <w:pStyle w:val="13"/>
            </w:pPr>
            <w:r>
              <w:t>6.31</w:t>
            </w:r>
          </w:p>
        </w:tc>
        <w:tc>
          <w:tcPr>
            <w:tcW w:w="1361" w:type="dxa"/>
            <w:vAlign w:val="center"/>
          </w:tcPr>
          <w:p>
            <w:pPr>
              <w:pStyle w:val="13"/>
            </w:pPr>
          </w:p>
        </w:tc>
        <w:tc>
          <w:tcPr>
            <w:tcW w:w="1361" w:type="dxa"/>
            <w:vAlign w:val="center"/>
          </w:tcPr>
          <w:p>
            <w:pPr>
              <w:pStyle w:val="13"/>
            </w:pPr>
            <w:r>
              <w:t>6.31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2080806</w:t>
            </w:r>
          </w:p>
        </w:tc>
        <w:tc>
          <w:tcPr>
            <w:tcW w:w="4536" w:type="dxa"/>
            <w:vAlign w:val="center"/>
          </w:tcPr>
          <w:p>
            <w:pPr>
              <w:pStyle w:val="12"/>
            </w:pPr>
            <w:r>
              <w:t>农村籍退役士兵老年生活补助</w:t>
            </w:r>
          </w:p>
        </w:tc>
        <w:tc>
          <w:tcPr>
            <w:tcW w:w="1361" w:type="dxa"/>
            <w:vAlign w:val="center"/>
          </w:tcPr>
          <w:p>
            <w:pPr>
              <w:pStyle w:val="13"/>
            </w:pPr>
            <w:r>
              <w:t>6.31</w:t>
            </w:r>
          </w:p>
        </w:tc>
        <w:tc>
          <w:tcPr>
            <w:tcW w:w="1361" w:type="dxa"/>
            <w:vAlign w:val="center"/>
          </w:tcPr>
          <w:p>
            <w:pPr>
              <w:pStyle w:val="13"/>
            </w:pPr>
          </w:p>
        </w:tc>
        <w:tc>
          <w:tcPr>
            <w:tcW w:w="1361" w:type="dxa"/>
            <w:vAlign w:val="center"/>
          </w:tcPr>
          <w:p>
            <w:pPr>
              <w:pStyle w:val="13"/>
            </w:pPr>
            <w:r>
              <w:t>6.31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21007</w:t>
            </w:r>
          </w:p>
        </w:tc>
        <w:tc>
          <w:tcPr>
            <w:tcW w:w="4536" w:type="dxa"/>
            <w:vAlign w:val="center"/>
          </w:tcPr>
          <w:p>
            <w:pPr>
              <w:pStyle w:val="12"/>
            </w:pPr>
            <w:r>
              <w:t>计划生育事务</w:t>
            </w: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2100799</w:t>
            </w:r>
          </w:p>
        </w:tc>
        <w:tc>
          <w:tcPr>
            <w:tcW w:w="4536" w:type="dxa"/>
            <w:vAlign w:val="center"/>
          </w:tcPr>
          <w:p>
            <w:pPr>
              <w:pStyle w:val="12"/>
            </w:pPr>
            <w:r>
              <w:t>其他计划生育事务支出</w:t>
            </w: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r>
              <w:t>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3"/>
            </w:pPr>
            <w:r>
              <w:t>26.37</w:t>
            </w:r>
          </w:p>
        </w:tc>
        <w:tc>
          <w:tcPr>
            <w:tcW w:w="1361" w:type="dxa"/>
            <w:vAlign w:val="center"/>
          </w:tcPr>
          <w:p>
            <w:pPr>
              <w:pStyle w:val="13"/>
            </w:pPr>
          </w:p>
        </w:tc>
        <w:tc>
          <w:tcPr>
            <w:tcW w:w="1361" w:type="dxa"/>
            <w:vAlign w:val="center"/>
          </w:tcPr>
          <w:p>
            <w:pPr>
              <w:pStyle w:val="13"/>
            </w:pPr>
            <w:r>
              <w:t>26.37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2"/>
            </w:pPr>
            <w:r>
              <w:t>21203</w:t>
            </w:r>
          </w:p>
        </w:tc>
        <w:tc>
          <w:tcPr>
            <w:tcW w:w="4536" w:type="dxa"/>
            <w:vAlign w:val="center"/>
          </w:tcPr>
          <w:p>
            <w:pPr>
              <w:pStyle w:val="12"/>
            </w:pPr>
            <w:r>
              <w:t>城乡社区公共设施</w:t>
            </w:r>
          </w:p>
        </w:tc>
        <w:tc>
          <w:tcPr>
            <w:tcW w:w="1361" w:type="dxa"/>
            <w:vAlign w:val="center"/>
          </w:tcPr>
          <w:p>
            <w:pPr>
              <w:pStyle w:val="13"/>
            </w:pPr>
            <w:r>
              <w:t>14.09</w:t>
            </w:r>
          </w:p>
        </w:tc>
        <w:tc>
          <w:tcPr>
            <w:tcW w:w="1361" w:type="dxa"/>
            <w:vAlign w:val="center"/>
          </w:tcPr>
          <w:p>
            <w:pPr>
              <w:pStyle w:val="13"/>
            </w:pPr>
          </w:p>
        </w:tc>
        <w:tc>
          <w:tcPr>
            <w:tcW w:w="1361" w:type="dxa"/>
            <w:vAlign w:val="center"/>
          </w:tcPr>
          <w:p>
            <w:pPr>
              <w:pStyle w:val="13"/>
            </w:pPr>
            <w:r>
              <w:t>14.09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2"/>
            </w:pPr>
            <w:r>
              <w:t>2120399</w:t>
            </w:r>
          </w:p>
        </w:tc>
        <w:tc>
          <w:tcPr>
            <w:tcW w:w="4536" w:type="dxa"/>
            <w:vAlign w:val="center"/>
          </w:tcPr>
          <w:p>
            <w:pPr>
              <w:pStyle w:val="12"/>
            </w:pPr>
            <w:r>
              <w:t>其他城乡社区公共设施支出</w:t>
            </w:r>
          </w:p>
        </w:tc>
        <w:tc>
          <w:tcPr>
            <w:tcW w:w="1361" w:type="dxa"/>
            <w:vAlign w:val="center"/>
          </w:tcPr>
          <w:p>
            <w:pPr>
              <w:pStyle w:val="13"/>
            </w:pPr>
            <w:r>
              <w:t>14.09</w:t>
            </w:r>
          </w:p>
        </w:tc>
        <w:tc>
          <w:tcPr>
            <w:tcW w:w="1361" w:type="dxa"/>
            <w:vAlign w:val="center"/>
          </w:tcPr>
          <w:p>
            <w:pPr>
              <w:pStyle w:val="13"/>
            </w:pPr>
          </w:p>
        </w:tc>
        <w:tc>
          <w:tcPr>
            <w:tcW w:w="1361" w:type="dxa"/>
            <w:vAlign w:val="center"/>
          </w:tcPr>
          <w:p>
            <w:pPr>
              <w:pStyle w:val="13"/>
            </w:pPr>
            <w:r>
              <w:t>14.09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2"/>
            </w:pPr>
            <w:r>
              <w:t>21205</w:t>
            </w:r>
          </w:p>
        </w:tc>
        <w:tc>
          <w:tcPr>
            <w:tcW w:w="4536" w:type="dxa"/>
            <w:vAlign w:val="center"/>
          </w:tcPr>
          <w:p>
            <w:pPr>
              <w:pStyle w:val="12"/>
            </w:pPr>
            <w:r>
              <w:t>城乡社区环境卫生</w:t>
            </w:r>
          </w:p>
        </w:tc>
        <w:tc>
          <w:tcPr>
            <w:tcW w:w="1361" w:type="dxa"/>
            <w:vAlign w:val="center"/>
          </w:tcPr>
          <w:p>
            <w:pPr>
              <w:pStyle w:val="13"/>
            </w:pPr>
            <w:r>
              <w:t>12.28</w:t>
            </w:r>
          </w:p>
        </w:tc>
        <w:tc>
          <w:tcPr>
            <w:tcW w:w="1361" w:type="dxa"/>
            <w:vAlign w:val="center"/>
          </w:tcPr>
          <w:p>
            <w:pPr>
              <w:pStyle w:val="13"/>
            </w:pPr>
          </w:p>
        </w:tc>
        <w:tc>
          <w:tcPr>
            <w:tcW w:w="1361" w:type="dxa"/>
            <w:vAlign w:val="center"/>
          </w:tcPr>
          <w:p>
            <w:pPr>
              <w:pStyle w:val="13"/>
            </w:pPr>
            <w:r>
              <w:t>12.28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2"/>
            </w:pPr>
            <w:r>
              <w:t>2120501</w:t>
            </w:r>
          </w:p>
        </w:tc>
        <w:tc>
          <w:tcPr>
            <w:tcW w:w="4536" w:type="dxa"/>
            <w:vAlign w:val="center"/>
          </w:tcPr>
          <w:p>
            <w:pPr>
              <w:pStyle w:val="12"/>
            </w:pPr>
            <w:r>
              <w:t>城乡社区环境卫生</w:t>
            </w:r>
          </w:p>
        </w:tc>
        <w:tc>
          <w:tcPr>
            <w:tcW w:w="1361" w:type="dxa"/>
            <w:vAlign w:val="center"/>
          </w:tcPr>
          <w:p>
            <w:pPr>
              <w:pStyle w:val="13"/>
            </w:pPr>
            <w:r>
              <w:t>12.28</w:t>
            </w:r>
          </w:p>
        </w:tc>
        <w:tc>
          <w:tcPr>
            <w:tcW w:w="1361" w:type="dxa"/>
            <w:vAlign w:val="center"/>
          </w:tcPr>
          <w:p>
            <w:pPr>
              <w:pStyle w:val="13"/>
            </w:pPr>
          </w:p>
        </w:tc>
        <w:tc>
          <w:tcPr>
            <w:tcW w:w="1361" w:type="dxa"/>
            <w:vAlign w:val="center"/>
          </w:tcPr>
          <w:p>
            <w:pPr>
              <w:pStyle w:val="13"/>
            </w:pPr>
            <w:r>
              <w:t>12.28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2"/>
            </w:pPr>
            <w:r>
              <w:t>213</w:t>
            </w:r>
          </w:p>
        </w:tc>
        <w:tc>
          <w:tcPr>
            <w:tcW w:w="4536" w:type="dxa"/>
            <w:vAlign w:val="center"/>
          </w:tcPr>
          <w:p>
            <w:pPr>
              <w:pStyle w:val="12"/>
            </w:pPr>
            <w:r>
              <w:t>农林水支出</w:t>
            </w: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2"/>
            </w:pPr>
            <w:r>
              <w:t>21307</w:t>
            </w:r>
          </w:p>
        </w:tc>
        <w:tc>
          <w:tcPr>
            <w:tcW w:w="4536" w:type="dxa"/>
            <w:vAlign w:val="center"/>
          </w:tcPr>
          <w:p>
            <w:pPr>
              <w:pStyle w:val="12"/>
            </w:pPr>
            <w:r>
              <w:t>农村综合改革</w:t>
            </w: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2"/>
            </w:pPr>
            <w:r>
              <w:t>2130799</w:t>
            </w:r>
          </w:p>
        </w:tc>
        <w:tc>
          <w:tcPr>
            <w:tcW w:w="4536" w:type="dxa"/>
            <w:vAlign w:val="center"/>
          </w:tcPr>
          <w:p>
            <w:pPr>
              <w:pStyle w:val="12"/>
            </w:pPr>
            <w:r>
              <w:t>其他农村综合改革支出</w:t>
            </w: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r>
              <w:t>300.00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23341"/>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1580.86</w:t>
            </w:r>
          </w:p>
        </w:tc>
        <w:tc>
          <w:tcPr>
            <w:tcW w:w="3402" w:type="dxa"/>
            <w:vAlign w:val="center"/>
          </w:tcPr>
          <w:p>
            <w:pPr>
              <w:pStyle w:val="12"/>
            </w:pPr>
            <w:r>
              <w:t>一、一般公共服务支出</w:t>
            </w:r>
          </w:p>
        </w:tc>
        <w:tc>
          <w:tcPr>
            <w:tcW w:w="1474" w:type="dxa"/>
            <w:vAlign w:val="center"/>
          </w:tcPr>
          <w:p>
            <w:pPr>
              <w:pStyle w:val="13"/>
            </w:pPr>
            <w:r>
              <w:t>1225.77</w:t>
            </w:r>
          </w:p>
        </w:tc>
        <w:tc>
          <w:tcPr>
            <w:tcW w:w="1474" w:type="dxa"/>
            <w:vAlign w:val="center"/>
          </w:tcPr>
          <w:p>
            <w:pPr>
              <w:pStyle w:val="13"/>
            </w:pPr>
            <w:r>
              <w:t>1225.77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r>
              <w:t>17.00</w:t>
            </w:r>
          </w:p>
        </w:tc>
        <w:tc>
          <w:tcPr>
            <w:tcW w:w="1474" w:type="dxa"/>
            <w:vAlign w:val="center"/>
          </w:tcPr>
          <w:p>
            <w:pPr>
              <w:pStyle w:val="13"/>
            </w:pPr>
            <w:r>
              <w:t>17.00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r>
              <w:t>14.00</w:t>
            </w:r>
          </w:p>
        </w:tc>
        <w:tc>
          <w:tcPr>
            <w:tcW w:w="1474" w:type="dxa"/>
            <w:vAlign w:val="center"/>
          </w:tcPr>
          <w:p>
            <w:pPr>
              <w:pStyle w:val="13"/>
            </w:pPr>
            <w:r>
              <w:t>14.00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6.31</w:t>
            </w:r>
          </w:p>
        </w:tc>
        <w:tc>
          <w:tcPr>
            <w:tcW w:w="1474" w:type="dxa"/>
            <w:vAlign w:val="center"/>
          </w:tcPr>
          <w:p>
            <w:pPr>
              <w:pStyle w:val="13"/>
            </w:pPr>
            <w:r>
              <w:t>6.31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5.50</w:t>
            </w:r>
          </w:p>
        </w:tc>
        <w:tc>
          <w:tcPr>
            <w:tcW w:w="1474" w:type="dxa"/>
            <w:vAlign w:val="center"/>
          </w:tcPr>
          <w:p>
            <w:pPr>
              <w:pStyle w:val="13"/>
            </w:pPr>
            <w:r>
              <w:t>5.50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r>
              <w:t>26.37</w:t>
            </w:r>
          </w:p>
        </w:tc>
        <w:tc>
          <w:tcPr>
            <w:tcW w:w="1474" w:type="dxa"/>
            <w:vAlign w:val="center"/>
          </w:tcPr>
          <w:p>
            <w:pPr>
              <w:pStyle w:val="13"/>
            </w:pPr>
            <w:r>
              <w:t>26.37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r>
              <w:t>300.00</w:t>
            </w:r>
          </w:p>
        </w:tc>
        <w:tc>
          <w:tcPr>
            <w:tcW w:w="1474" w:type="dxa"/>
            <w:vAlign w:val="center"/>
          </w:tcPr>
          <w:p>
            <w:pPr>
              <w:pStyle w:val="13"/>
            </w:pPr>
            <w:r>
              <w:t>300.00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1580.86</w:t>
            </w:r>
          </w:p>
        </w:tc>
        <w:tc>
          <w:tcPr>
            <w:tcW w:w="3402" w:type="dxa"/>
            <w:vAlign w:val="center"/>
          </w:tcPr>
          <w:p>
            <w:pPr>
              <w:pStyle w:val="14"/>
            </w:pPr>
            <w:r>
              <w:t>本年支出合计</w:t>
            </w:r>
          </w:p>
        </w:tc>
        <w:tc>
          <w:tcPr>
            <w:tcW w:w="1474" w:type="dxa"/>
            <w:vAlign w:val="center"/>
          </w:tcPr>
          <w:p>
            <w:pPr>
              <w:pStyle w:val="15"/>
            </w:pPr>
            <w:r>
              <w:t>1594.95</w:t>
            </w:r>
          </w:p>
        </w:tc>
        <w:tc>
          <w:tcPr>
            <w:tcW w:w="1474" w:type="dxa"/>
            <w:vAlign w:val="center"/>
          </w:tcPr>
          <w:p>
            <w:pPr>
              <w:pStyle w:val="15"/>
            </w:pPr>
            <w:r>
              <w:t>1594.95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r>
              <w:t>14.09</w:t>
            </w: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r>
              <w:t>14.09</w:t>
            </w: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1594.95</w:t>
            </w:r>
          </w:p>
        </w:tc>
        <w:tc>
          <w:tcPr>
            <w:tcW w:w="3402" w:type="dxa"/>
            <w:vAlign w:val="center"/>
          </w:tcPr>
          <w:p>
            <w:pPr>
              <w:pStyle w:val="14"/>
            </w:pPr>
            <w:r>
              <w:t>支出总计</w:t>
            </w:r>
          </w:p>
        </w:tc>
        <w:tc>
          <w:tcPr>
            <w:tcW w:w="1474" w:type="dxa"/>
            <w:vAlign w:val="center"/>
          </w:tcPr>
          <w:p>
            <w:pPr>
              <w:pStyle w:val="15"/>
            </w:pPr>
            <w:r>
              <w:t>1594.95</w:t>
            </w:r>
          </w:p>
        </w:tc>
        <w:tc>
          <w:tcPr>
            <w:tcW w:w="1474" w:type="dxa"/>
            <w:vAlign w:val="center"/>
          </w:tcPr>
          <w:p>
            <w:pPr>
              <w:pStyle w:val="15"/>
            </w:pPr>
            <w:r>
              <w:t>1594.95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11589"/>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1594.95</w:t>
            </w:r>
          </w:p>
        </w:tc>
        <w:tc>
          <w:tcPr>
            <w:tcW w:w="2551" w:type="dxa"/>
            <w:vAlign w:val="center"/>
          </w:tcPr>
          <w:p>
            <w:pPr>
              <w:pStyle w:val="15"/>
            </w:pPr>
            <w:r>
              <w:t>1123.27</w:t>
            </w:r>
          </w:p>
        </w:tc>
        <w:tc>
          <w:tcPr>
            <w:tcW w:w="2551" w:type="dxa"/>
            <w:vAlign w:val="center"/>
          </w:tcPr>
          <w:p>
            <w:pPr>
              <w:pStyle w:val="15"/>
            </w:pPr>
            <w:r>
              <w:t>471.68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1225.77</w:t>
            </w:r>
          </w:p>
        </w:tc>
        <w:tc>
          <w:tcPr>
            <w:tcW w:w="2551" w:type="dxa"/>
            <w:vAlign w:val="center"/>
          </w:tcPr>
          <w:p>
            <w:pPr>
              <w:pStyle w:val="13"/>
            </w:pPr>
            <w:r>
              <w:t>1123.27</w:t>
            </w:r>
          </w:p>
        </w:tc>
        <w:tc>
          <w:tcPr>
            <w:tcW w:w="2551" w:type="dxa"/>
            <w:vAlign w:val="center"/>
          </w:tcPr>
          <w:p>
            <w:pPr>
              <w:pStyle w:val="13"/>
            </w:pPr>
            <w:r>
              <w:t>102.50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3"/>
            </w:pPr>
            <w:r>
              <w:t>1225.77</w:t>
            </w:r>
          </w:p>
        </w:tc>
        <w:tc>
          <w:tcPr>
            <w:tcW w:w="2551" w:type="dxa"/>
            <w:vAlign w:val="center"/>
          </w:tcPr>
          <w:p>
            <w:pPr>
              <w:pStyle w:val="13"/>
            </w:pPr>
            <w:r>
              <w:t>1123.27</w:t>
            </w:r>
          </w:p>
        </w:tc>
        <w:tc>
          <w:tcPr>
            <w:tcW w:w="2551" w:type="dxa"/>
            <w:vAlign w:val="center"/>
          </w:tcPr>
          <w:p>
            <w:pPr>
              <w:pStyle w:val="13"/>
            </w:pPr>
            <w:r>
              <w:t>102.50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3"/>
            </w:pPr>
            <w:r>
              <w:t>1123.27</w:t>
            </w:r>
          </w:p>
        </w:tc>
        <w:tc>
          <w:tcPr>
            <w:tcW w:w="2551" w:type="dxa"/>
            <w:vAlign w:val="center"/>
          </w:tcPr>
          <w:p>
            <w:pPr>
              <w:pStyle w:val="13"/>
            </w:pPr>
            <w:r>
              <w:t>1123.27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2010303</w:t>
            </w:r>
          </w:p>
        </w:tc>
        <w:tc>
          <w:tcPr>
            <w:tcW w:w="4535" w:type="dxa"/>
            <w:vAlign w:val="center"/>
          </w:tcPr>
          <w:p>
            <w:pPr>
              <w:pStyle w:val="12"/>
            </w:pPr>
            <w:r>
              <w:t>机关服务</w:t>
            </w:r>
          </w:p>
        </w:tc>
        <w:tc>
          <w:tcPr>
            <w:tcW w:w="2551" w:type="dxa"/>
            <w:vAlign w:val="center"/>
          </w:tcPr>
          <w:p>
            <w:pPr>
              <w:pStyle w:val="13"/>
            </w:pPr>
            <w:r>
              <w:t>102.50</w:t>
            </w:r>
          </w:p>
        </w:tc>
        <w:tc>
          <w:tcPr>
            <w:tcW w:w="2551" w:type="dxa"/>
            <w:vAlign w:val="center"/>
          </w:tcPr>
          <w:p>
            <w:pPr>
              <w:pStyle w:val="13"/>
            </w:pPr>
          </w:p>
        </w:tc>
        <w:tc>
          <w:tcPr>
            <w:tcW w:w="2551" w:type="dxa"/>
            <w:vAlign w:val="center"/>
          </w:tcPr>
          <w:p>
            <w:pPr>
              <w:pStyle w:val="13"/>
            </w:pPr>
            <w:r>
              <w:t>102.50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6.31</w:t>
            </w:r>
          </w:p>
        </w:tc>
        <w:tc>
          <w:tcPr>
            <w:tcW w:w="2551" w:type="dxa"/>
            <w:vAlign w:val="center"/>
          </w:tcPr>
          <w:p>
            <w:pPr>
              <w:pStyle w:val="13"/>
            </w:pPr>
          </w:p>
        </w:tc>
        <w:tc>
          <w:tcPr>
            <w:tcW w:w="2551" w:type="dxa"/>
            <w:vAlign w:val="center"/>
          </w:tcPr>
          <w:p>
            <w:pPr>
              <w:pStyle w:val="13"/>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3"/>
            </w:pPr>
            <w:r>
              <w:t>6.31</w:t>
            </w:r>
          </w:p>
        </w:tc>
        <w:tc>
          <w:tcPr>
            <w:tcW w:w="2551" w:type="dxa"/>
            <w:vAlign w:val="center"/>
          </w:tcPr>
          <w:p>
            <w:pPr>
              <w:pStyle w:val="13"/>
            </w:pPr>
          </w:p>
        </w:tc>
        <w:tc>
          <w:tcPr>
            <w:tcW w:w="2551" w:type="dxa"/>
            <w:vAlign w:val="center"/>
          </w:tcPr>
          <w:p>
            <w:pPr>
              <w:pStyle w:val="13"/>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2080806</w:t>
            </w:r>
          </w:p>
        </w:tc>
        <w:tc>
          <w:tcPr>
            <w:tcW w:w="4535" w:type="dxa"/>
            <w:vAlign w:val="center"/>
          </w:tcPr>
          <w:p>
            <w:pPr>
              <w:pStyle w:val="12"/>
            </w:pPr>
            <w:r>
              <w:t>农村籍退役士兵老年生活补助</w:t>
            </w:r>
          </w:p>
        </w:tc>
        <w:tc>
          <w:tcPr>
            <w:tcW w:w="2551" w:type="dxa"/>
            <w:vAlign w:val="center"/>
          </w:tcPr>
          <w:p>
            <w:pPr>
              <w:pStyle w:val="13"/>
            </w:pPr>
            <w:r>
              <w:t>6.31</w:t>
            </w:r>
          </w:p>
        </w:tc>
        <w:tc>
          <w:tcPr>
            <w:tcW w:w="2551" w:type="dxa"/>
            <w:vAlign w:val="center"/>
          </w:tcPr>
          <w:p>
            <w:pPr>
              <w:pStyle w:val="13"/>
            </w:pPr>
          </w:p>
        </w:tc>
        <w:tc>
          <w:tcPr>
            <w:tcW w:w="2551" w:type="dxa"/>
            <w:vAlign w:val="center"/>
          </w:tcPr>
          <w:p>
            <w:pPr>
              <w:pStyle w:val="13"/>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5.50</w:t>
            </w:r>
          </w:p>
        </w:tc>
        <w:tc>
          <w:tcPr>
            <w:tcW w:w="2551" w:type="dxa"/>
            <w:vAlign w:val="center"/>
          </w:tcPr>
          <w:p>
            <w:pPr>
              <w:pStyle w:val="13"/>
            </w:pPr>
          </w:p>
        </w:tc>
        <w:tc>
          <w:tcPr>
            <w:tcW w:w="2551"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3"/>
            </w:pPr>
            <w:r>
              <w:t>5.50</w:t>
            </w:r>
          </w:p>
        </w:tc>
        <w:tc>
          <w:tcPr>
            <w:tcW w:w="2551" w:type="dxa"/>
            <w:vAlign w:val="center"/>
          </w:tcPr>
          <w:p>
            <w:pPr>
              <w:pStyle w:val="13"/>
            </w:pPr>
          </w:p>
        </w:tc>
        <w:tc>
          <w:tcPr>
            <w:tcW w:w="2551"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3"/>
            </w:pPr>
            <w:r>
              <w:t>5.50</w:t>
            </w:r>
          </w:p>
        </w:tc>
        <w:tc>
          <w:tcPr>
            <w:tcW w:w="2551" w:type="dxa"/>
            <w:vAlign w:val="center"/>
          </w:tcPr>
          <w:p>
            <w:pPr>
              <w:pStyle w:val="13"/>
            </w:pPr>
          </w:p>
        </w:tc>
        <w:tc>
          <w:tcPr>
            <w:tcW w:w="2551"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3"/>
            </w:pPr>
            <w:r>
              <w:t>26.37</w:t>
            </w:r>
          </w:p>
        </w:tc>
        <w:tc>
          <w:tcPr>
            <w:tcW w:w="2551" w:type="dxa"/>
            <w:vAlign w:val="center"/>
          </w:tcPr>
          <w:p>
            <w:pPr>
              <w:pStyle w:val="13"/>
            </w:pPr>
          </w:p>
        </w:tc>
        <w:tc>
          <w:tcPr>
            <w:tcW w:w="2551" w:type="dxa"/>
            <w:vAlign w:val="center"/>
          </w:tcPr>
          <w:p>
            <w:pPr>
              <w:pStyle w:val="13"/>
            </w:pPr>
            <w:r>
              <w:t>26.37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3"/>
            </w:pPr>
            <w:r>
              <w:t>14.09</w:t>
            </w:r>
          </w:p>
        </w:tc>
        <w:tc>
          <w:tcPr>
            <w:tcW w:w="2551" w:type="dxa"/>
            <w:vAlign w:val="center"/>
          </w:tcPr>
          <w:p>
            <w:pPr>
              <w:pStyle w:val="13"/>
            </w:pPr>
          </w:p>
        </w:tc>
        <w:tc>
          <w:tcPr>
            <w:tcW w:w="2551" w:type="dxa"/>
            <w:vAlign w:val="center"/>
          </w:tcPr>
          <w:p>
            <w:pPr>
              <w:pStyle w:val="13"/>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3"/>
            </w:pPr>
            <w:r>
              <w:t>14.09</w:t>
            </w:r>
          </w:p>
        </w:tc>
        <w:tc>
          <w:tcPr>
            <w:tcW w:w="2551" w:type="dxa"/>
            <w:vAlign w:val="center"/>
          </w:tcPr>
          <w:p>
            <w:pPr>
              <w:pStyle w:val="13"/>
            </w:pPr>
          </w:p>
        </w:tc>
        <w:tc>
          <w:tcPr>
            <w:tcW w:w="2551" w:type="dxa"/>
            <w:vAlign w:val="center"/>
          </w:tcPr>
          <w:p>
            <w:pPr>
              <w:pStyle w:val="13"/>
            </w:pPr>
            <w:r>
              <w:t>14.09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3"/>
            </w:pPr>
            <w:r>
              <w:t>12.28</w:t>
            </w:r>
          </w:p>
        </w:tc>
        <w:tc>
          <w:tcPr>
            <w:tcW w:w="2551" w:type="dxa"/>
            <w:vAlign w:val="center"/>
          </w:tcPr>
          <w:p>
            <w:pPr>
              <w:pStyle w:val="13"/>
            </w:pPr>
          </w:p>
        </w:tc>
        <w:tc>
          <w:tcPr>
            <w:tcW w:w="2551" w:type="dxa"/>
            <w:vAlign w:val="center"/>
          </w:tcPr>
          <w:p>
            <w:pPr>
              <w:pStyle w:val="13"/>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3"/>
            </w:pPr>
            <w:r>
              <w:t>12.28</w:t>
            </w:r>
          </w:p>
        </w:tc>
        <w:tc>
          <w:tcPr>
            <w:tcW w:w="2551" w:type="dxa"/>
            <w:vAlign w:val="center"/>
          </w:tcPr>
          <w:p>
            <w:pPr>
              <w:pStyle w:val="13"/>
            </w:pPr>
          </w:p>
        </w:tc>
        <w:tc>
          <w:tcPr>
            <w:tcW w:w="2551" w:type="dxa"/>
            <w:vAlign w:val="center"/>
          </w:tcPr>
          <w:p>
            <w:pPr>
              <w:pStyle w:val="13"/>
            </w:pPr>
            <w:r>
              <w:t>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3"/>
            </w:pPr>
            <w:r>
              <w:t>300.00</w:t>
            </w:r>
          </w:p>
        </w:tc>
        <w:tc>
          <w:tcPr>
            <w:tcW w:w="2551" w:type="dxa"/>
            <w:vAlign w:val="center"/>
          </w:tcPr>
          <w:p>
            <w:pPr>
              <w:pStyle w:val="13"/>
            </w:pPr>
          </w:p>
        </w:tc>
        <w:tc>
          <w:tcPr>
            <w:tcW w:w="2551"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3"/>
            </w:pPr>
            <w:r>
              <w:t>300.00</w:t>
            </w:r>
          </w:p>
        </w:tc>
        <w:tc>
          <w:tcPr>
            <w:tcW w:w="2551" w:type="dxa"/>
            <w:vAlign w:val="center"/>
          </w:tcPr>
          <w:p>
            <w:pPr>
              <w:pStyle w:val="13"/>
            </w:pPr>
          </w:p>
        </w:tc>
        <w:tc>
          <w:tcPr>
            <w:tcW w:w="2551"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3"/>
            </w:pPr>
            <w:r>
              <w:t>300.00</w:t>
            </w:r>
          </w:p>
        </w:tc>
        <w:tc>
          <w:tcPr>
            <w:tcW w:w="2551" w:type="dxa"/>
            <w:vAlign w:val="center"/>
          </w:tcPr>
          <w:p>
            <w:pPr>
              <w:pStyle w:val="13"/>
            </w:pPr>
          </w:p>
        </w:tc>
        <w:tc>
          <w:tcPr>
            <w:tcW w:w="2551" w:type="dxa"/>
            <w:vAlign w:val="center"/>
          </w:tcPr>
          <w:p>
            <w:pPr>
              <w:pStyle w:val="13"/>
            </w:pPr>
            <w:r>
              <w:t>300.00</w:t>
            </w:r>
          </w:p>
        </w:tc>
      </w:tr>
    </w:tbl>
    <w:p>
      <w:pPr>
        <w:sectPr>
          <w:pgSz w:w="16840" w:h="11900" w:orient="landscape"/>
          <w:pgMar w:top="1361" w:right="1020" w:bottom="1134" w:left="1020" w:header="720" w:footer="720" w:gutter="0"/>
          <w:cols w:space="720" w:num="1"/>
        </w:sectPr>
      </w:pPr>
    </w:p>
    <w:p>
      <w:pPr>
        <w:jc w:val="center"/>
        <w:outlineLvl w:val="1"/>
      </w:pPr>
      <w:bookmarkStart w:id="5" w:name="_Toc4"/>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1123.27</w:t>
            </w:r>
          </w:p>
        </w:tc>
        <w:tc>
          <w:tcPr>
            <w:tcW w:w="2551" w:type="dxa"/>
            <w:vAlign w:val="center"/>
          </w:tcPr>
          <w:p>
            <w:pPr>
              <w:pStyle w:val="15"/>
            </w:pPr>
            <w:r>
              <w:t>969.38</w:t>
            </w:r>
          </w:p>
        </w:tc>
        <w:tc>
          <w:tcPr>
            <w:tcW w:w="2552" w:type="dxa"/>
            <w:vAlign w:val="center"/>
          </w:tcPr>
          <w:p>
            <w:pPr>
              <w:pStyle w:val="15"/>
            </w:pPr>
            <w:r>
              <w:t>153.89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875.45</w:t>
            </w:r>
          </w:p>
        </w:tc>
        <w:tc>
          <w:tcPr>
            <w:tcW w:w="2551" w:type="dxa"/>
            <w:vAlign w:val="center"/>
          </w:tcPr>
          <w:p>
            <w:pPr>
              <w:pStyle w:val="13"/>
            </w:pPr>
            <w:r>
              <w:t>875.45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178.14</w:t>
            </w:r>
          </w:p>
        </w:tc>
        <w:tc>
          <w:tcPr>
            <w:tcW w:w="2551" w:type="dxa"/>
            <w:vAlign w:val="center"/>
          </w:tcPr>
          <w:p>
            <w:pPr>
              <w:pStyle w:val="13"/>
            </w:pPr>
            <w:r>
              <w:t>178.14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232.34</w:t>
            </w:r>
          </w:p>
        </w:tc>
        <w:tc>
          <w:tcPr>
            <w:tcW w:w="2551" w:type="dxa"/>
            <w:vAlign w:val="center"/>
          </w:tcPr>
          <w:p>
            <w:pPr>
              <w:pStyle w:val="13"/>
            </w:pPr>
            <w:r>
              <w:t>232.34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8.42</w:t>
            </w:r>
          </w:p>
        </w:tc>
        <w:tc>
          <w:tcPr>
            <w:tcW w:w="2551" w:type="dxa"/>
            <w:vAlign w:val="center"/>
          </w:tcPr>
          <w:p>
            <w:pPr>
              <w:pStyle w:val="13"/>
            </w:pPr>
            <w:r>
              <w:t>8.42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187.18</w:t>
            </w:r>
          </w:p>
        </w:tc>
        <w:tc>
          <w:tcPr>
            <w:tcW w:w="2551" w:type="dxa"/>
            <w:vAlign w:val="center"/>
          </w:tcPr>
          <w:p>
            <w:pPr>
              <w:pStyle w:val="13"/>
            </w:pPr>
            <w:r>
              <w:t>187.18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95.43</w:t>
            </w:r>
          </w:p>
        </w:tc>
        <w:tc>
          <w:tcPr>
            <w:tcW w:w="2551" w:type="dxa"/>
            <w:vAlign w:val="center"/>
          </w:tcPr>
          <w:p>
            <w:pPr>
              <w:pStyle w:val="13"/>
            </w:pPr>
            <w:r>
              <w:t>95.43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30.58</w:t>
            </w:r>
          </w:p>
        </w:tc>
        <w:tc>
          <w:tcPr>
            <w:tcW w:w="2551" w:type="dxa"/>
            <w:vAlign w:val="center"/>
          </w:tcPr>
          <w:p>
            <w:pPr>
              <w:pStyle w:val="13"/>
            </w:pPr>
            <w:r>
              <w:t>30.58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23.67</w:t>
            </w:r>
          </w:p>
        </w:tc>
        <w:tc>
          <w:tcPr>
            <w:tcW w:w="2551" w:type="dxa"/>
            <w:vAlign w:val="center"/>
          </w:tcPr>
          <w:p>
            <w:pPr>
              <w:pStyle w:val="13"/>
            </w:pPr>
            <w:r>
              <w:t>23.67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36.15</w:t>
            </w:r>
          </w:p>
        </w:tc>
        <w:tc>
          <w:tcPr>
            <w:tcW w:w="2551" w:type="dxa"/>
            <w:vAlign w:val="center"/>
          </w:tcPr>
          <w:p>
            <w:pPr>
              <w:pStyle w:val="13"/>
            </w:pPr>
            <w:r>
              <w:t>36.15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71.57</w:t>
            </w:r>
          </w:p>
        </w:tc>
        <w:tc>
          <w:tcPr>
            <w:tcW w:w="2551" w:type="dxa"/>
            <w:vAlign w:val="center"/>
          </w:tcPr>
          <w:p>
            <w:pPr>
              <w:pStyle w:val="13"/>
            </w:pPr>
            <w:r>
              <w:t>71.57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3"/>
            </w:pPr>
            <w:r>
              <w:t>11.99</w:t>
            </w:r>
          </w:p>
        </w:tc>
        <w:tc>
          <w:tcPr>
            <w:tcW w:w="2551" w:type="dxa"/>
            <w:vAlign w:val="center"/>
          </w:tcPr>
          <w:p>
            <w:pPr>
              <w:pStyle w:val="13"/>
            </w:pPr>
            <w:r>
              <w:t>11.99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151.89</w:t>
            </w:r>
          </w:p>
        </w:tc>
        <w:tc>
          <w:tcPr>
            <w:tcW w:w="2551" w:type="dxa"/>
            <w:vAlign w:val="center"/>
          </w:tcPr>
          <w:p>
            <w:pPr>
              <w:pStyle w:val="13"/>
            </w:pPr>
          </w:p>
        </w:tc>
        <w:tc>
          <w:tcPr>
            <w:tcW w:w="2552" w:type="dxa"/>
            <w:vAlign w:val="center"/>
          </w:tcPr>
          <w:p>
            <w:pPr>
              <w:pStyle w:val="13"/>
            </w:pPr>
            <w:r>
              <w:t>151.89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15.00</w:t>
            </w:r>
          </w:p>
        </w:tc>
        <w:tc>
          <w:tcPr>
            <w:tcW w:w="2551" w:type="dxa"/>
            <w:vAlign w:val="center"/>
          </w:tcPr>
          <w:p>
            <w:pPr>
              <w:pStyle w:val="13"/>
            </w:pPr>
          </w:p>
        </w:tc>
        <w:tc>
          <w:tcPr>
            <w:tcW w:w="2552"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3"/>
            </w:pPr>
            <w:r>
              <w:t>5.30</w:t>
            </w:r>
          </w:p>
        </w:tc>
        <w:tc>
          <w:tcPr>
            <w:tcW w:w="2551" w:type="dxa"/>
            <w:vAlign w:val="center"/>
          </w:tcPr>
          <w:p>
            <w:pPr>
              <w:pStyle w:val="13"/>
            </w:pPr>
          </w:p>
        </w:tc>
        <w:tc>
          <w:tcPr>
            <w:tcW w:w="2552" w:type="dxa"/>
            <w:vAlign w:val="center"/>
          </w:tcPr>
          <w:p>
            <w:pPr>
              <w:pStyle w:val="13"/>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30203</w:t>
            </w:r>
          </w:p>
        </w:tc>
        <w:tc>
          <w:tcPr>
            <w:tcW w:w="4535" w:type="dxa"/>
            <w:vAlign w:val="center"/>
          </w:tcPr>
          <w:p>
            <w:pPr>
              <w:pStyle w:val="12"/>
            </w:pPr>
            <w:r>
              <w:t>咨询费</w:t>
            </w:r>
          </w:p>
        </w:tc>
        <w:tc>
          <w:tcPr>
            <w:tcW w:w="2551" w:type="dxa"/>
            <w:vAlign w:val="center"/>
          </w:tcPr>
          <w:p>
            <w:pPr>
              <w:pStyle w:val="13"/>
            </w:pPr>
            <w:r>
              <w:t>1.50</w:t>
            </w:r>
          </w:p>
        </w:tc>
        <w:tc>
          <w:tcPr>
            <w:tcW w:w="2551" w:type="dxa"/>
            <w:vAlign w:val="center"/>
          </w:tcPr>
          <w:p>
            <w:pPr>
              <w:pStyle w:val="13"/>
            </w:pPr>
          </w:p>
        </w:tc>
        <w:tc>
          <w:tcPr>
            <w:tcW w:w="2552"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3"/>
            </w:pPr>
            <w:r>
              <w:t>20.00</w:t>
            </w:r>
          </w:p>
        </w:tc>
        <w:tc>
          <w:tcPr>
            <w:tcW w:w="2551" w:type="dxa"/>
            <w:vAlign w:val="center"/>
          </w:tcPr>
          <w:p>
            <w:pPr>
              <w:pStyle w:val="13"/>
            </w:pPr>
          </w:p>
        </w:tc>
        <w:tc>
          <w:tcPr>
            <w:tcW w:w="2552"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22.24</w:t>
            </w:r>
          </w:p>
        </w:tc>
        <w:tc>
          <w:tcPr>
            <w:tcW w:w="2551" w:type="dxa"/>
            <w:vAlign w:val="center"/>
          </w:tcPr>
          <w:p>
            <w:pPr>
              <w:pStyle w:val="13"/>
            </w:pPr>
          </w:p>
        </w:tc>
        <w:tc>
          <w:tcPr>
            <w:tcW w:w="2552" w:type="dxa"/>
            <w:vAlign w:val="center"/>
          </w:tcPr>
          <w:p>
            <w:pPr>
              <w:pStyle w:val="13"/>
            </w:pPr>
            <w:r>
              <w:t>22.24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3"/>
            </w:pPr>
            <w:r>
              <w:t>10.00</w:t>
            </w:r>
          </w:p>
        </w:tc>
        <w:tc>
          <w:tcPr>
            <w:tcW w:w="2551" w:type="dxa"/>
            <w:vAlign w:val="center"/>
          </w:tcPr>
          <w:p>
            <w:pPr>
              <w:pStyle w:val="13"/>
            </w:pPr>
          </w:p>
        </w:tc>
        <w:tc>
          <w:tcPr>
            <w:tcW w:w="2552"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3"/>
            </w:pPr>
            <w:r>
              <w:t>5.00</w:t>
            </w:r>
          </w:p>
        </w:tc>
        <w:tc>
          <w:tcPr>
            <w:tcW w:w="2551" w:type="dxa"/>
            <w:vAlign w:val="center"/>
          </w:tcPr>
          <w:p>
            <w:pPr>
              <w:pStyle w:val="13"/>
            </w:pPr>
          </w:p>
        </w:tc>
        <w:tc>
          <w:tcPr>
            <w:tcW w:w="2552"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3"/>
            </w:pPr>
            <w:r>
              <w:t>3.00</w:t>
            </w:r>
          </w:p>
        </w:tc>
        <w:tc>
          <w:tcPr>
            <w:tcW w:w="2551" w:type="dxa"/>
            <w:vAlign w:val="center"/>
          </w:tcPr>
          <w:p>
            <w:pPr>
              <w:pStyle w:val="13"/>
            </w:pPr>
          </w:p>
        </w:tc>
        <w:tc>
          <w:tcPr>
            <w:tcW w:w="2552"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3"/>
            </w:pPr>
            <w:r>
              <w:t>4.00</w:t>
            </w:r>
          </w:p>
        </w:tc>
        <w:tc>
          <w:tcPr>
            <w:tcW w:w="2551" w:type="dxa"/>
            <w:vAlign w:val="center"/>
          </w:tcPr>
          <w:p>
            <w:pPr>
              <w:pStyle w:val="13"/>
            </w:pPr>
          </w:p>
        </w:tc>
        <w:tc>
          <w:tcPr>
            <w:tcW w:w="2552"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2"/>
            </w:pPr>
            <w:r>
              <w:t>30225</w:t>
            </w:r>
          </w:p>
        </w:tc>
        <w:tc>
          <w:tcPr>
            <w:tcW w:w="4535" w:type="dxa"/>
            <w:vAlign w:val="center"/>
          </w:tcPr>
          <w:p>
            <w:pPr>
              <w:pStyle w:val="12"/>
            </w:pPr>
            <w:r>
              <w:t>专用燃料费</w:t>
            </w:r>
          </w:p>
        </w:tc>
        <w:tc>
          <w:tcPr>
            <w:tcW w:w="2551" w:type="dxa"/>
            <w:vAlign w:val="center"/>
          </w:tcPr>
          <w:p>
            <w:pPr>
              <w:pStyle w:val="13"/>
            </w:pPr>
            <w:r>
              <w:t>1.00</w:t>
            </w:r>
          </w:p>
        </w:tc>
        <w:tc>
          <w:tcPr>
            <w:tcW w:w="2551" w:type="dxa"/>
            <w:vAlign w:val="center"/>
          </w:tcPr>
          <w:p>
            <w:pPr>
              <w:pStyle w:val="13"/>
            </w:pPr>
          </w:p>
        </w:tc>
        <w:tc>
          <w:tcPr>
            <w:tcW w:w="2552"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3"/>
            </w:pPr>
            <w:r>
              <w:t>18.00</w:t>
            </w:r>
          </w:p>
        </w:tc>
        <w:tc>
          <w:tcPr>
            <w:tcW w:w="2551" w:type="dxa"/>
            <w:vAlign w:val="center"/>
          </w:tcPr>
          <w:p>
            <w:pPr>
              <w:pStyle w:val="13"/>
            </w:pPr>
          </w:p>
        </w:tc>
        <w:tc>
          <w:tcPr>
            <w:tcW w:w="2552"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5.44</w:t>
            </w:r>
          </w:p>
        </w:tc>
        <w:tc>
          <w:tcPr>
            <w:tcW w:w="2551" w:type="dxa"/>
            <w:vAlign w:val="center"/>
          </w:tcPr>
          <w:p>
            <w:pPr>
              <w:pStyle w:val="13"/>
            </w:pPr>
          </w:p>
        </w:tc>
        <w:tc>
          <w:tcPr>
            <w:tcW w:w="2552" w:type="dxa"/>
            <w:vAlign w:val="center"/>
          </w:tcPr>
          <w:p>
            <w:pPr>
              <w:pStyle w:val="13"/>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4.45</w:t>
            </w:r>
          </w:p>
        </w:tc>
        <w:tc>
          <w:tcPr>
            <w:tcW w:w="2551" w:type="dxa"/>
            <w:vAlign w:val="center"/>
          </w:tcPr>
          <w:p>
            <w:pPr>
              <w:pStyle w:val="13"/>
            </w:pPr>
          </w:p>
        </w:tc>
        <w:tc>
          <w:tcPr>
            <w:tcW w:w="2552" w:type="dxa"/>
            <w:vAlign w:val="center"/>
          </w:tcPr>
          <w:p>
            <w:pPr>
              <w:pStyle w:val="13"/>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4.40</w:t>
            </w:r>
          </w:p>
        </w:tc>
        <w:tc>
          <w:tcPr>
            <w:tcW w:w="2551" w:type="dxa"/>
            <w:vAlign w:val="center"/>
          </w:tcPr>
          <w:p>
            <w:pPr>
              <w:pStyle w:val="13"/>
            </w:pPr>
          </w:p>
        </w:tc>
        <w:tc>
          <w:tcPr>
            <w:tcW w:w="2552"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27.12</w:t>
            </w:r>
          </w:p>
        </w:tc>
        <w:tc>
          <w:tcPr>
            <w:tcW w:w="2551" w:type="dxa"/>
            <w:vAlign w:val="center"/>
          </w:tcPr>
          <w:p>
            <w:pPr>
              <w:pStyle w:val="13"/>
            </w:pPr>
          </w:p>
        </w:tc>
        <w:tc>
          <w:tcPr>
            <w:tcW w:w="2552" w:type="dxa"/>
            <w:vAlign w:val="center"/>
          </w:tcPr>
          <w:p>
            <w:pPr>
              <w:pStyle w:val="13"/>
            </w:pPr>
            <w:r>
              <w:t>27.12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5.44</w:t>
            </w:r>
          </w:p>
        </w:tc>
        <w:tc>
          <w:tcPr>
            <w:tcW w:w="2551" w:type="dxa"/>
            <w:vAlign w:val="center"/>
          </w:tcPr>
          <w:p>
            <w:pPr>
              <w:pStyle w:val="13"/>
            </w:pPr>
          </w:p>
        </w:tc>
        <w:tc>
          <w:tcPr>
            <w:tcW w:w="2552" w:type="dxa"/>
            <w:vAlign w:val="center"/>
          </w:tcPr>
          <w:p>
            <w:pPr>
              <w:pStyle w:val="13"/>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93.92</w:t>
            </w:r>
          </w:p>
        </w:tc>
        <w:tc>
          <w:tcPr>
            <w:tcW w:w="2551" w:type="dxa"/>
            <w:vAlign w:val="center"/>
          </w:tcPr>
          <w:p>
            <w:pPr>
              <w:pStyle w:val="13"/>
            </w:pPr>
            <w:r>
              <w:t>93.92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87.80</w:t>
            </w:r>
          </w:p>
        </w:tc>
        <w:tc>
          <w:tcPr>
            <w:tcW w:w="2551" w:type="dxa"/>
            <w:vAlign w:val="center"/>
          </w:tcPr>
          <w:p>
            <w:pPr>
              <w:pStyle w:val="13"/>
            </w:pPr>
            <w:r>
              <w:t>87.80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3"/>
            </w:pPr>
            <w:r>
              <w:t>6.10</w:t>
            </w:r>
          </w:p>
        </w:tc>
        <w:tc>
          <w:tcPr>
            <w:tcW w:w="2551" w:type="dxa"/>
            <w:vAlign w:val="center"/>
          </w:tcPr>
          <w:p>
            <w:pPr>
              <w:pStyle w:val="13"/>
            </w:pPr>
            <w:r>
              <w:t>6.10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3"/>
            </w:pPr>
            <w:r>
              <w:t>0.02</w:t>
            </w:r>
          </w:p>
        </w:tc>
        <w:tc>
          <w:tcPr>
            <w:tcW w:w="2551" w:type="dxa"/>
            <w:vAlign w:val="center"/>
          </w:tcPr>
          <w:p>
            <w:pPr>
              <w:pStyle w:val="13"/>
            </w:pPr>
            <w:r>
              <w:t>0.02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3"/>
            </w:pPr>
            <w:r>
              <w:t>2.00</w:t>
            </w:r>
          </w:p>
        </w:tc>
        <w:tc>
          <w:tcPr>
            <w:tcW w:w="2551" w:type="dxa"/>
            <w:vAlign w:val="center"/>
          </w:tcPr>
          <w:p>
            <w:pPr>
              <w:pStyle w:val="13"/>
            </w:pPr>
          </w:p>
        </w:tc>
        <w:tc>
          <w:tcPr>
            <w:tcW w:w="2552"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3"/>
            </w:pPr>
            <w:r>
              <w:t>2.00</w:t>
            </w:r>
          </w:p>
        </w:tc>
        <w:tc>
          <w:tcPr>
            <w:tcW w:w="2551" w:type="dxa"/>
            <w:vAlign w:val="center"/>
          </w:tcPr>
          <w:p>
            <w:pPr>
              <w:pStyle w:val="13"/>
            </w:pPr>
          </w:p>
        </w:tc>
        <w:tc>
          <w:tcPr>
            <w:tcW w:w="2552" w:type="dxa"/>
            <w:vAlign w:val="center"/>
          </w:tcPr>
          <w:p>
            <w:pPr>
              <w:pStyle w:val="13"/>
            </w:pPr>
            <w:r>
              <w:t>2.00</w:t>
            </w:r>
          </w:p>
        </w:tc>
      </w:tr>
    </w:tbl>
    <w:p>
      <w:pPr>
        <w:sectPr>
          <w:pgSz w:w="16840" w:h="11900" w:orient="landscape"/>
          <w:pgMar w:top="1361" w:right="1020" w:bottom="1134" w:left="1020" w:header="720" w:footer="720" w:gutter="0"/>
          <w:cols w:space="720" w:num="1"/>
        </w:sectPr>
      </w:pPr>
    </w:p>
    <w:p>
      <w:pPr>
        <w:jc w:val="center"/>
        <w:outlineLvl w:val="1"/>
      </w:pPr>
      <w:bookmarkStart w:id="6" w:name="_Toc16932"/>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bookmarkStart w:id="18" w:name="_GoBack"/>
      <w:bookmarkEnd w:id="18"/>
    </w:p>
    <w:p>
      <w:pPr>
        <w:jc w:val="center"/>
        <w:outlineLvl w:val="1"/>
      </w:pPr>
      <w:bookmarkStart w:id="7" w:name="_Toc19551"/>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31947"/>
      <w:r>
        <w:rPr>
          <w:rFonts w:ascii="方正小标宋_GBK" w:hAnsi="方正小标宋_GBK" w:eastAsia="方正小标宋_GBK" w:cs="方正小标宋_GBK"/>
          <w:color w:val="000000"/>
          <w:sz w:val="36"/>
        </w:rPr>
        <w:t>部门预算财政拨款“三公”经费支出表</w:t>
      </w:r>
      <w:bookmarkEnd w:id="8"/>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合计</w:t>
            </w:r>
          </w:p>
        </w:tc>
        <w:tc>
          <w:tcPr>
            <w:tcW w:w="2382" w:type="dxa"/>
            <w:vAlign w:val="center"/>
          </w:tcPr>
          <w:p>
            <w:pPr>
              <w:pStyle w:val="15"/>
              <w:rPr>
                <w:lang w:eastAsia="zh-CN"/>
              </w:rPr>
            </w:pPr>
            <w:r>
              <w:rPr>
                <w:rFonts w:hint="eastAsia"/>
                <w:lang w:eastAsia="zh-CN"/>
              </w:rPr>
              <w:t>4.4</w:t>
            </w:r>
          </w:p>
        </w:tc>
        <w:tc>
          <w:tcPr>
            <w:tcW w:w="2381" w:type="dxa"/>
            <w:vAlign w:val="center"/>
          </w:tcPr>
          <w:p>
            <w:pPr>
              <w:pStyle w:val="15"/>
              <w:rPr>
                <w:lang w:eastAsia="zh-CN"/>
              </w:rPr>
            </w:pPr>
            <w:r>
              <w:rPr>
                <w:rFonts w:hint="eastAsia"/>
                <w:lang w:eastAsia="zh-CN"/>
              </w:rPr>
              <w:t>4.4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“三公”经费小计</w:t>
            </w:r>
          </w:p>
        </w:tc>
        <w:tc>
          <w:tcPr>
            <w:tcW w:w="2382" w:type="dxa"/>
            <w:vAlign w:val="center"/>
          </w:tcPr>
          <w:p>
            <w:pPr>
              <w:pStyle w:val="13"/>
              <w:rPr>
                <w:lang w:eastAsia="zh-CN"/>
              </w:rPr>
            </w:pPr>
            <w:r>
              <w:rPr>
                <w:rFonts w:hint="eastAsia"/>
                <w:lang w:eastAsia="zh-CN"/>
              </w:rPr>
              <w:t>4.4</w:t>
            </w:r>
          </w:p>
        </w:tc>
        <w:tc>
          <w:tcPr>
            <w:tcW w:w="2381" w:type="dxa"/>
            <w:vAlign w:val="center"/>
          </w:tcPr>
          <w:p>
            <w:pPr>
              <w:pStyle w:val="13"/>
              <w:rPr>
                <w:lang w:eastAsia="zh-CN"/>
              </w:rPr>
            </w:pPr>
            <w:r>
              <w:rPr>
                <w:rFonts w:hint="eastAsia"/>
                <w:lang w:eastAsia="zh-CN"/>
              </w:rPr>
              <w:t>4.4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一、因公出国（境）费</w:t>
            </w:r>
          </w:p>
        </w:tc>
        <w:tc>
          <w:tcPr>
            <w:tcW w:w="2382" w:type="dxa"/>
            <w:vAlign w:val="center"/>
          </w:tcPr>
          <w:p>
            <w:pPr>
              <w:pStyle w:val="13"/>
              <w:rPr>
                <w:lang w:eastAsia="zh-CN"/>
              </w:rPr>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二、公务用车购置及运维费</w:t>
            </w:r>
          </w:p>
        </w:tc>
        <w:tc>
          <w:tcPr>
            <w:tcW w:w="2382" w:type="dxa"/>
            <w:vAlign w:val="center"/>
          </w:tcPr>
          <w:p>
            <w:pPr>
              <w:pStyle w:val="13"/>
              <w:rPr>
                <w:lang w:eastAsia="zh-CN"/>
              </w:rPr>
            </w:pPr>
            <w:r>
              <w:rPr>
                <w:rFonts w:hint="eastAsia"/>
                <w:lang w:eastAsia="zh-CN"/>
              </w:rPr>
              <w:t>4.4</w:t>
            </w:r>
          </w:p>
        </w:tc>
        <w:tc>
          <w:tcPr>
            <w:tcW w:w="2381" w:type="dxa"/>
            <w:vAlign w:val="center"/>
          </w:tcPr>
          <w:p>
            <w:pPr>
              <w:pStyle w:val="13"/>
              <w:rPr>
                <w:lang w:eastAsia="zh-CN"/>
              </w:rPr>
            </w:pPr>
            <w:r>
              <w:rPr>
                <w:rFonts w:hint="eastAsia"/>
                <w:lang w:eastAsia="zh-CN"/>
              </w:rPr>
              <w:t>4.4</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其中：公务用车购置费</w:t>
            </w:r>
          </w:p>
        </w:tc>
        <w:tc>
          <w:tcPr>
            <w:tcW w:w="2382" w:type="dxa"/>
            <w:vAlign w:val="center"/>
          </w:tcPr>
          <w:p>
            <w:pPr>
              <w:pStyle w:val="13"/>
              <w:rPr>
                <w:lang w:eastAsia="zh-CN"/>
              </w:rPr>
            </w:pPr>
            <w:r>
              <w:rPr>
                <w:rFonts w:hint="eastAsia"/>
                <w:lang w:eastAsia="zh-CN"/>
              </w:rPr>
              <w:t>0</w:t>
            </w:r>
          </w:p>
        </w:tc>
        <w:tc>
          <w:tcPr>
            <w:tcW w:w="2381" w:type="dxa"/>
            <w:vAlign w:val="center"/>
          </w:tcPr>
          <w:p>
            <w:pPr>
              <w:pStyle w:val="13"/>
              <w:rPr>
                <w:lang w:eastAsia="zh-CN"/>
              </w:rPr>
            </w:pPr>
            <w:r>
              <w:rPr>
                <w:rFonts w:hint="eastAsia"/>
                <w:lang w:eastAsia="zh-CN"/>
              </w:rPr>
              <w:t>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 xml:space="preserve">          公务用车运行维护费</w:t>
            </w:r>
          </w:p>
        </w:tc>
        <w:tc>
          <w:tcPr>
            <w:tcW w:w="2382" w:type="dxa"/>
            <w:vAlign w:val="center"/>
          </w:tcPr>
          <w:p>
            <w:pPr>
              <w:pStyle w:val="13"/>
            </w:pPr>
            <w:r>
              <w:t>4.40</w:t>
            </w:r>
          </w:p>
        </w:tc>
        <w:tc>
          <w:tcPr>
            <w:tcW w:w="2381" w:type="dxa"/>
            <w:vAlign w:val="center"/>
          </w:tcPr>
          <w:p>
            <w:pPr>
              <w:pStyle w:val="13"/>
            </w:pPr>
            <w:r>
              <w:t>4.40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2"/>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石家庄市藁城区南孟镇人民政府2023年部门预算信息公开情况说明</w:t>
      </w:r>
    </w:p>
    <w:p>
      <w:pPr>
        <w:jc w:val="center"/>
      </w:pPr>
      <w:r>
        <w:rPr>
          <w:rFonts w:ascii="方正小标宋_GBK" w:hAnsi="方正小标宋_GBK" w:eastAsia="方正小标宋_GBK" w:cs="方正小标宋_GBK"/>
          <w:color w:val="000000"/>
          <w:sz w:val="44"/>
        </w:rPr>
        <w:t>石家庄市藁城区南孟镇人民政府2023年部门预算信息公开情况说明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按照《预算法》、《地方预决算公开操作规程》和《关于进一步推进预算公开工作的实施意见》规定，现将石家庄市藁城区南孟镇人民政府2023年部门预算公开如下：</w:t>
      </w:r>
    </w:p>
    <w:p>
      <w:pPr>
        <w:spacing w:before="10" w:after="10" w:line="360" w:lineRule="auto"/>
        <w:ind w:firstLine="640"/>
        <w:outlineLvl w:val="2"/>
      </w:pPr>
      <w:bookmarkStart w:id="9" w:name="_Toc20533"/>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根据《石家庄市藁城区南孟镇人民政府职能配置、内设机构和人员编制规定》， 石家庄市藁城区南孟镇人民政府的主要职责是：</w:t>
      </w:r>
    </w:p>
    <w:p>
      <w:pPr>
        <w:pStyle w:val="17"/>
      </w:pPr>
      <w:r>
        <w:t>(一)</w:t>
      </w:r>
      <w:r>
        <w:tab/>
      </w:r>
      <w:r>
        <w:t>政务管理。依法依规履行机关日常管理职责，依法依规履行机关日常管理职责，确保政府工作正常运行。</w:t>
      </w:r>
    </w:p>
    <w:p>
      <w:pPr>
        <w:pStyle w:val="17"/>
      </w:pPr>
      <w:r>
        <w:t>(二)</w:t>
      </w:r>
      <w:r>
        <w:tab/>
      </w:r>
      <w:r>
        <w:t>应急管理。保证镇政府值班工作，及时报告重要情况，传达和督促落实乡党委、政府领导指示</w:t>
      </w:r>
      <w:r>
        <w:tab/>
      </w:r>
      <w:r>
        <w:t>有效保证镇政府日常应急值守和突发事件应对处置工作；完善应急预案体系建设，确保遇突发事件能够有效应对。</w:t>
      </w:r>
    </w:p>
    <w:p>
      <w:pPr>
        <w:pStyle w:val="17"/>
      </w:pPr>
      <w:r>
        <w:t>(三)</w:t>
      </w:r>
      <w:r>
        <w:tab/>
      </w:r>
      <w:r>
        <w:t>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17"/>
      </w:pPr>
      <w:r>
        <w:t>(四)</w:t>
      </w:r>
      <w:r>
        <w:tab/>
      </w:r>
      <w:r>
        <w:t>推动经济发展，完善基础设施，惠及民生。承担经济发展和民生改善、培育支柱产业，加强基础设施建设和新型农村服务体系建设。落实安全生产责任制，搞好农业新技术示范推广。</w:t>
      </w:r>
    </w:p>
    <w:p>
      <w:pPr>
        <w:pStyle w:val="17"/>
      </w:pPr>
      <w:r>
        <w:t>(五)</w:t>
      </w:r>
      <w:r>
        <w:tab/>
      </w:r>
      <w:r>
        <w:t>加强土地使用管理。管理土地使用情况管理汇报，依法依规管理土地使用，配合上级土地部门对土地使用监督</w:t>
      </w:r>
    </w:p>
    <w:p>
      <w:pPr>
        <w:pStyle w:val="17"/>
      </w:pPr>
      <w:r>
        <w:t>(六)</w:t>
      </w:r>
      <w:r>
        <w:tab/>
      </w:r>
      <w:r>
        <w:t>环境保护与治理。承担环境保护和治理环境污染，积极配合执法部门依法治理大气、水、土地等污染</w:t>
      </w:r>
    </w:p>
    <w:p>
      <w:pPr>
        <w:pStyle w:val="17"/>
      </w:pPr>
      <w:r>
        <w:t>(七)</w:t>
      </w:r>
      <w:r>
        <w:tab/>
      </w:r>
      <w:r>
        <w:t>食品安全管理。配合执法部门依法进行食品安全管理，对辖区内食品药品等进行监管</w:t>
      </w:r>
    </w:p>
    <w:p>
      <w:pPr>
        <w:pStyle w:val="17"/>
      </w:pPr>
      <w:r>
        <w:t>(八)</w:t>
      </w:r>
      <w:r>
        <w:tab/>
      </w:r>
      <w:r>
        <w:t>社会救助政策及管理</w:t>
      </w:r>
      <w:r>
        <w:tab/>
      </w:r>
      <w:r>
        <w:t>承担社会救助体系建设，负责农村居民最低生活保障、五保供养、医疗救助。完善农村社会救助制度，实施分类救助，应保尽保,动态管理。</w:t>
      </w:r>
    </w:p>
    <w:p>
      <w:pPr>
        <w:pStyle w:val="17"/>
      </w:pPr>
      <w:r>
        <w:t>(九)</w:t>
      </w:r>
      <w:r>
        <w:tab/>
      </w:r>
      <w:r>
        <w:t>预算管理。负责镇财政预算管理与执行，保证镇机关正常运转。</w:t>
      </w:r>
    </w:p>
    <w:p>
      <w:pPr>
        <w:pStyle w:val="17"/>
      </w:pPr>
      <w:r>
        <w:t>(十)</w:t>
      </w:r>
      <w:r>
        <w:tab/>
      </w:r>
      <w:r>
        <w:t>财务管理。负责镇机关收支活动，组织实施乡财务核算及监督工作</w:t>
      </w:r>
      <w:r>
        <w:tab/>
      </w:r>
      <w:r>
        <w:t>以收定支，合理安排支出，严防出现资金支出不规范现象发生。</w:t>
      </w:r>
    </w:p>
    <w:p>
      <w:pPr>
        <w:pStyle w:val="17"/>
      </w:pPr>
      <w:r>
        <w:t>(十一)</w:t>
      </w:r>
      <w:r>
        <w:tab/>
      </w:r>
      <w:r>
        <w:t>村财镇代管。负责村级财务核算及监督工作对村级财务进行规范化管理，严防支出票据不规范现象发生。</w:t>
      </w:r>
    </w:p>
    <w:p>
      <w:pPr>
        <w:pStyle w:val="17"/>
      </w:pPr>
      <w:r>
        <w:t>(十二)</w:t>
      </w:r>
      <w:r>
        <w:tab/>
      </w:r>
      <w:r>
        <w:t>涉农资金。负责涉农资金的落实，将各项涉农资金兑付落实，监督管理资金的合理有效使用。</w:t>
      </w:r>
    </w:p>
    <w:p>
      <w:pPr>
        <w:pStyle w:val="17"/>
      </w:pPr>
      <w:r>
        <w:t>(十三)</w:t>
      </w:r>
      <w:r>
        <w:tab/>
      </w:r>
      <w:r>
        <w:t>国有资产管理。负责管理镇国有资产，加强国有资产管理，严防国有资产流失</w:t>
      </w:r>
    </w:p>
    <w:p>
      <w:pPr>
        <w:pStyle w:val="17"/>
      </w:pPr>
      <w:r>
        <w:t>(十四)</w:t>
      </w:r>
      <w:r>
        <w:tab/>
      </w:r>
      <w:r>
        <w:t>债权债务管理。实施债权债务监督管理实施债权债务监督管理，杜绝增加政府债务。</w:t>
      </w:r>
    </w:p>
    <w:p>
      <w:pPr>
        <w:pStyle w:val="17"/>
      </w:pPr>
      <w:r>
        <w:t>(十五)</w:t>
      </w:r>
      <w:r>
        <w:tab/>
      </w:r>
      <w:r>
        <w:t>农村管理。农村村容村貌维护提升、农村卫生长效管理及新农村建设</w:t>
      </w:r>
    </w:p>
    <w:p>
      <w:pPr>
        <w:pStyle w:val="17"/>
      </w:pPr>
      <w:r>
        <w:t>(十六)</w:t>
      </w:r>
      <w:r>
        <w:tab/>
      </w:r>
      <w:r>
        <w:t>政务管理。落实计生相关法律法规，业务宣传工作，加强计生能力建设,落实计划生育一票否决制保障计生事业顺利发展。</w:t>
      </w:r>
    </w:p>
    <w:p>
      <w:pPr>
        <w:pStyle w:val="17"/>
      </w:pPr>
      <w:r>
        <w:t>(十七)</w:t>
      </w:r>
      <w:r>
        <w:tab/>
      </w:r>
      <w:r>
        <w:t>计生服务。开展计划生育各种知识宣传和咨询服务保障计生事业顺利发展。</w:t>
      </w:r>
    </w:p>
    <w:p>
      <w:pPr>
        <w:pStyle w:val="17"/>
      </w:pPr>
      <w:r>
        <w:t>(十八)</w:t>
      </w:r>
      <w:r>
        <w:tab/>
      </w:r>
      <w:r>
        <w:t>社会管理。综合治理调解矛盾纠纷，搞好普法宣传教育，做好社区矫正人员教育管理和刑释人员帮教工作，保持稳定局面，提高干部群众的法律素质。</w:t>
      </w:r>
    </w:p>
    <w:p>
      <w:pPr>
        <w:pStyle w:val="17"/>
      </w:pPr>
      <w:r>
        <w:t>(十九)</w:t>
      </w:r>
      <w:r>
        <w:tab/>
      </w:r>
      <w:r>
        <w:t>美丽乡村建设。抓好环境整治，搞好重点村的垃圾处理、饮水安全、道路硬化和亮化等，改善农村面貌，提高村民生产生活环境质量。</w:t>
      </w:r>
    </w:p>
    <w:p>
      <w:pPr>
        <w:pStyle w:val="17"/>
      </w:pPr>
      <w:r>
        <w:t>(二十)</w:t>
      </w:r>
      <w:r>
        <w:tab/>
      </w:r>
      <w:r>
        <w:t>安全生产。排查企业安全隐患，抓好安监站规范化建设，完善制度，定期开展安全生产整治活动，通过抓安全生产工作，杜绝辖区各类安全生产事故发生，保证群众生命财产安全</w:t>
      </w:r>
    </w:p>
    <w:p>
      <w:pPr>
        <w:pStyle w:val="17"/>
      </w:pPr>
      <w:r>
        <w:t>(二十一)城市建设。配合有关部门做好城建项目、商业项目及工程的占地拆迁、补偿等工作。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石家庄市藁城区南孟镇人民政府本级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outlineLvl w:val="2"/>
      </w:pPr>
      <w:bookmarkStart w:id="10" w:name="_Toc19678"/>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按照预算管理有关规定，目前我省部门预算的编制实行综合预算管理，即全部收入和支出都反映在预算中。石家庄市藁城区南孟镇人民政府机关及所属事业单位的收支包含在部门预算中。</w:t>
      </w:r>
    </w:p>
    <w:p>
      <w:pPr>
        <w:pStyle w:val="18"/>
      </w:pPr>
      <w:r>
        <w:t>1、收入说明</w:t>
      </w:r>
    </w:p>
    <w:p>
      <w:pPr>
        <w:pStyle w:val="18"/>
      </w:pPr>
      <w:r>
        <w:t>反映本部门当年全部收入。2023年预算收入1580.86万元，其中：一般公共预算收入1580.86万元，基金预算收入0万元，财政专户核拨收入0万元，其他来源收入0万元。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部门预算中支出预算的总体情况。2023年部门支出预算为1580.86万元，其中基本支出1123.27万元，包括人员经费969.38万元和日常公用经费153.89万元；项目支出457.59万元，主要是提前下达2023年省级农村综合改革转移支付预算300万；综合公用经费支出91.8万元；2023年农村文化建设资金支出14万元；2023年度学区工会费17万元；2023年政府工会费4万元；原经贸系统关闭企业下放回乡的合同工、副业工涉军人员生活补贴6.31万元；2023年人居环境整治12.28万元；金五线绿化占地补偿支出6.7万元；农村独生子女费5.5万元；其他支出0万元。</w:t>
      </w:r>
    </w:p>
    <w:p>
      <w:pPr>
        <w:pStyle w:val="18"/>
      </w:pPr>
      <w:r>
        <w:t>3、比上年增减情况</w:t>
      </w:r>
    </w:p>
    <w:p>
      <w:pPr>
        <w:pStyle w:val="18"/>
      </w:pPr>
      <w:r>
        <w:t>2023年部门预算收支安排1580.86万元，较2022年减少855.26万元，其中：基本支出增加9.41万元，主要是人员增资；项目支出减少864.67万元，主要是减少征地补偿资金；其他支出无增减变化。</w:t>
      </w:r>
    </w:p>
    <w:p>
      <w:pPr>
        <w:spacing w:before="10" w:after="10" w:line="360" w:lineRule="auto"/>
        <w:ind w:firstLine="640"/>
        <w:outlineLvl w:val="2"/>
      </w:pPr>
      <w:bookmarkStart w:id="11" w:name="_Toc17248"/>
      <w:r>
        <w:rPr>
          <w:rFonts w:ascii="黑体" w:hAnsi="黑体" w:eastAsia="黑体" w:cs="黑体"/>
          <w:color w:val="000000"/>
          <w:sz w:val="32"/>
        </w:rPr>
        <w:t>三、机关运行经费安排情况</w:t>
      </w:r>
      <w:bookmarkEnd w:id="11"/>
    </w:p>
    <w:p>
      <w:pPr>
        <w:pStyle w:val="19"/>
      </w:pPr>
      <w:r>
        <w:t>2023年，我部门机关运行经费共计安排153.89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14038"/>
      <w:r>
        <w:rPr>
          <w:rFonts w:ascii="黑体" w:hAnsi="黑体" w:eastAsia="黑体" w:cs="黑体"/>
          <w:color w:val="000000"/>
          <w:sz w:val="32"/>
        </w:rPr>
        <w:t>四、财政拨款“三公”经费预算情况及增减变化原因</w:t>
      </w:r>
      <w:bookmarkEnd w:id="12"/>
    </w:p>
    <w:p>
      <w:pPr>
        <w:pStyle w:val="20"/>
      </w:pPr>
      <w:r>
        <w:t>2023年，我部门财政拨款“三公”经费预算安排4.4万元，其中：因公出国（境）费0万元，与上年持平，无增减变化；公务用车购置及运维费4.4万元（其中：公务用车购置费0万元，比上年减少10万元，原因是无需购置公车；公务用车运行维护费4.4万元，与上年持平)；公务接待费0万元，与上年持平。“三公”经费与上年相比减少10万元，原因是公车购置费减少10万元。</w:t>
      </w:r>
    </w:p>
    <w:p>
      <w:pPr>
        <w:spacing w:before="10" w:after="10" w:line="360" w:lineRule="auto"/>
        <w:ind w:firstLine="640"/>
        <w:outlineLvl w:val="2"/>
      </w:pPr>
      <w:bookmarkStart w:id="13" w:name="_Toc16948"/>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1"/>
      </w:pPr>
      <w:r>
        <w:t>在工作理念、发展思路、奋斗目标、工作举措上全面对标党的二十大精神，深入贯彻党的十九届七中全会和省委十届三次全会精神，认真贯彻落实区委、区政府工作部署，真正把思想和行动统一到上级部署上来，加强本镇全体民众的政策引导，制定本镇的发展规划，为全镇人民提供公共服务，主动维护社会稳定，积极构建和谐社会。保障便民服务中心、城乡环境综合治理、信访、安全维稳、安全生产等各项工作正常开展，按时兑付村民的地力补偿、五保、低保、民政优抚、扶贫工作领域的各项资金，牢固树立立党为公、执政为民的工作理念，统筹做好稳增长、促改革、调结构、惠民生、防风险各项工作，确保高质量完成全年各项目标任务。</w:t>
      </w:r>
    </w:p>
    <w:p>
      <w:pPr>
        <w:spacing w:line="500" w:lineRule="exact"/>
        <w:ind w:firstLine="560"/>
      </w:pPr>
      <w:r>
        <w:rPr>
          <w:rFonts w:eastAsia="方正仿宋_GBK" w:cs="Times New Roman"/>
          <w:color w:val="000000"/>
          <w:sz w:val="28"/>
        </w:rPr>
        <w:t>（二）分项绩效目标</w:t>
      </w:r>
    </w:p>
    <w:p>
      <w:pPr>
        <w:pStyle w:val="22"/>
      </w:pPr>
      <w:r>
        <w:t>分项绩效目标</w:t>
      </w:r>
    </w:p>
    <w:p>
      <w:pPr>
        <w:pStyle w:val="22"/>
      </w:pPr>
      <w:r>
        <w:t>（一）抓好现代产业发展</w:t>
      </w:r>
    </w:p>
    <w:p>
      <w:pPr>
        <w:pStyle w:val="22"/>
      </w:pPr>
      <w:r>
        <w:t>绩效目标：在现有的基础上，抓好现代产业发展。</w:t>
      </w:r>
      <w:r>
        <w:tab/>
      </w:r>
    </w:p>
    <w:p>
      <w:pPr>
        <w:pStyle w:val="22"/>
      </w:pPr>
      <w:r>
        <w:t>绩效指标：继续加大招商引资力度，抓好两个重点项目：投资5.1亿元的河北鑫铭盛环保科技有限公司年产150万立方米《A级防火保温强力板》项目投资5.7亿元的河北东达仓储服务有限公司智慧物流产业中心项目。</w:t>
      </w:r>
    </w:p>
    <w:p>
      <w:pPr>
        <w:pStyle w:val="22"/>
      </w:pPr>
      <w:r>
        <w:t>（二）实施乡村振兴战略</w:t>
      </w:r>
    </w:p>
    <w:p>
      <w:pPr>
        <w:pStyle w:val="22"/>
      </w:pPr>
      <w:r>
        <w:t>绩效目标：以人居环境整治为抓手，实施乡村振兴战略。</w:t>
      </w:r>
    </w:p>
    <w:p>
      <w:pPr>
        <w:pStyle w:val="22"/>
      </w:pPr>
      <w:r>
        <w:t>绩效指标：继续抓好农村人居环境整治，巩固已有的成果，在打造精细上下功夫，在保持常态化卫生干净整洁上下功夫。继续抓好一事一议财政奖补政策，最大程度促进农村基础设施建设，打通构建镇域环形交通网络。</w:t>
      </w:r>
    </w:p>
    <w:p>
      <w:pPr>
        <w:pStyle w:val="22"/>
      </w:pPr>
      <w:r>
        <w:t>（三）抓环保治理，推动大气质量好转</w:t>
      </w:r>
    </w:p>
    <w:p>
      <w:pPr>
        <w:pStyle w:val="22"/>
      </w:pPr>
      <w:r>
        <w:t>绩效目标：推动大气质量好转。</w:t>
      </w:r>
    </w:p>
    <w:p>
      <w:pPr>
        <w:pStyle w:val="22"/>
      </w:pPr>
      <w:r>
        <w:t>绩效指标：继续抓好环境保护，巩固自2016年“利剑斩污”行动以来的环保成果，打造天更蓝、气更爽、地更绿、水更清。全域禁烧禁炮，散煤动态“清零”，工业源企业严格按照环保要求生产，抓好扬尘污染防治，圆满完成上级下达的环保目标任务。严查乱占耕地建房行为，坚持常态化巡查，抓好国土空间规划工作。</w:t>
      </w:r>
    </w:p>
    <w:p>
      <w:pPr>
        <w:pStyle w:val="22"/>
      </w:pPr>
      <w:r>
        <w:t>（四）心系群众，抓好民生保障及稳定</w:t>
      </w:r>
    </w:p>
    <w:p>
      <w:pPr>
        <w:pStyle w:val="22"/>
      </w:pPr>
      <w:r>
        <w:t>绩效目标：抓好民生保障及稳定。</w:t>
      </w:r>
    </w:p>
    <w:p>
      <w:pPr>
        <w:pStyle w:val="22"/>
      </w:pPr>
      <w:r>
        <w:t>绩效指标：继续抓好安全生产和民生稳定，最大限度保障社会稳定、人民安居乐业。巩固脱贫攻坚成果，积极化解社会矛盾纠纷，切实解决人民群众期盼。</w:t>
      </w:r>
    </w:p>
    <w:p>
      <w:pPr>
        <w:pStyle w:val="22"/>
      </w:pPr>
    </w:p>
    <w:p>
      <w:pPr>
        <w:pStyle w:val="22"/>
      </w:pPr>
      <w:r>
        <w:t>（五）基层治理效能得到新提升。</w:t>
      </w:r>
    </w:p>
    <w:p>
      <w:pPr>
        <w:pStyle w:val="22"/>
      </w:pPr>
      <w:r>
        <w:t>绩效目标：不断健全防范化解重大风险体制机制，着力增强突发公共事件应急能力，不断提升自然灾害防御水平。进一步深化网格化管理机制，加强社会治安综合治理，做好市域社会治理现代化工作，及时解决矛盾纠纷。</w:t>
      </w:r>
    </w:p>
    <w:p>
      <w:pPr>
        <w:pStyle w:val="22"/>
      </w:pPr>
    </w:p>
    <w:p>
      <w:pPr>
        <w:pStyle w:val="22"/>
      </w:pPr>
      <w:r>
        <w:t>绩效指标：争创石家庄市“六无”乡镇。</w:t>
      </w:r>
    </w:p>
    <w:p>
      <w:pPr>
        <w:spacing w:line="500" w:lineRule="exact"/>
        <w:ind w:firstLine="560"/>
      </w:pPr>
      <w:r>
        <w:rPr>
          <w:rFonts w:eastAsia="方正仿宋_GBK" w:cs="Times New Roman"/>
          <w:color w:val="000000"/>
          <w:sz w:val="28"/>
        </w:rPr>
        <w:t>（三）工作保障措施</w:t>
      </w:r>
    </w:p>
    <w:p>
      <w:pPr>
        <w:pStyle w:val="23"/>
      </w:pPr>
      <w:r>
        <w:t>（一）完善制度建设。制定完善预算管理绩效制度、搭建绩效管理运行体系，科学设定绩效指标和目标，从源头上保障绩效管理有效落实，制定资金使用和管理办法，确保资金支出有序进行，为全年预算绩效目标的实现奠定制度基础。</w:t>
      </w:r>
    </w:p>
    <w:p>
      <w:pPr>
        <w:pStyle w:val="23"/>
      </w:pPr>
      <w:r>
        <w:t>（二）优化支出管理。按照“谁花钱、谁负责、谁举证”的原则，明确各线预算绩效管理职责。实现花钱必问效，确保财务与业务工作紧密衔接。</w:t>
      </w:r>
    </w:p>
    <w:p>
      <w:pPr>
        <w:pStyle w:val="23"/>
      </w:pPr>
      <w:r>
        <w:t>（三）加强绩效监控。按财政要求开展绩效运行监控，全程跟踪预算执行进度，对执行过程中发现的问题及时反馈，制定切实可行举措，保障绩效目标按期高质量完成。</w:t>
      </w:r>
    </w:p>
    <w:p>
      <w:pPr>
        <w:pStyle w:val="23"/>
      </w:pPr>
      <w:r>
        <w:t>（四）做好绩效自评。按财政部门要求及时开展上年度部门预算绩效自评和重点评价工作，对评价中发现的问题及时整改，调整优化支出结构，提高财政资金使用效益。</w:t>
      </w:r>
    </w:p>
    <w:p>
      <w:pPr>
        <w:pStyle w:val="23"/>
      </w:pPr>
      <w:r>
        <w:t>（五）规范财务资产管理。完善财务管理制度，严格审批手续，加强固定资产登记、使用和报废处置管理，做到支出合理，物尽其用。</w:t>
      </w:r>
    </w:p>
    <w:p>
      <w:pPr>
        <w:pStyle w:val="23"/>
      </w:pPr>
      <w:r>
        <w:t>　　　（六）加强内部监督。严格落实廉政责任制，扎实推进惩治和预防腐败体系建设；坚持学习宪法、尊崇法治，严格按照法定权限和程序行使权力、履行职责，依法接受法律监督和工作监督，落实重大事项报告、履行职责，依法接受法律监督和工作监督，落实重大事项报告、通报制度，全面推进政务公开，充分保障群众的知情权、参与权，让政府更好的服务人民，让人民更好的监督政府，切实打造法治型政府。</w:t>
      </w:r>
    </w:p>
    <w:p>
      <w:pPr>
        <w:pStyle w:val="23"/>
      </w:pPr>
      <w:r>
        <w:t>　　　（七）加强宣传培训调研等。加强人员培训，提高本部门职工业务素质；加强调研，提出优化财政资金配置、提高资金使用效益的意见意见；加大宣传力度，强化预算绩效管理意识，促进预算绩效管理水平进一步提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560"/>
      </w:pPr>
      <w:r>
        <w:rPr>
          <w:rFonts w:ascii="方正仿宋_GBK" w:hAnsi="方正仿宋_GBK" w:eastAsia="方正仿宋_GBK" w:cs="方正仿宋_GBK"/>
          <w:b/>
          <w:color w:val="000000"/>
          <w:sz w:val="28"/>
        </w:rPr>
        <w:t>1、拨付原经贸系统关闭企业下放回乡的合同工、副业工涉军人员生活补贴绩效目标表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1.按时发放涉军人员生活补贴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生活补贴发放人数</w:t>
            </w:r>
          </w:p>
        </w:tc>
        <w:tc>
          <w:tcPr>
            <w:tcW w:w="2835" w:type="dxa"/>
            <w:vAlign w:val="center"/>
          </w:tcPr>
          <w:p>
            <w:pPr>
              <w:pStyle w:val="12"/>
            </w:pPr>
            <w:r>
              <w:t>生活补贴发放人数</w:t>
            </w:r>
          </w:p>
        </w:tc>
        <w:tc>
          <w:tcPr>
            <w:tcW w:w="2551" w:type="dxa"/>
            <w:vAlign w:val="center"/>
          </w:tcPr>
          <w:p>
            <w:pPr>
              <w:pStyle w:val="12"/>
            </w:pPr>
            <w:r>
              <w:t>26个</w:t>
            </w:r>
          </w:p>
        </w:tc>
        <w:tc>
          <w:tcPr>
            <w:tcW w:w="2268" w:type="dxa"/>
            <w:vAlign w:val="center"/>
          </w:tcPr>
          <w:p>
            <w:pPr>
              <w:pStyle w:val="12"/>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补贴资金到位率</w:t>
            </w:r>
          </w:p>
        </w:tc>
        <w:tc>
          <w:tcPr>
            <w:tcW w:w="2835" w:type="dxa"/>
            <w:vAlign w:val="center"/>
          </w:tcPr>
          <w:p>
            <w:pPr>
              <w:pStyle w:val="12"/>
            </w:pPr>
            <w:r>
              <w:t>补贴资金到位率</w:t>
            </w:r>
          </w:p>
        </w:tc>
        <w:tc>
          <w:tcPr>
            <w:tcW w:w="2551" w:type="dxa"/>
            <w:vAlign w:val="center"/>
          </w:tcPr>
          <w:p>
            <w:pPr>
              <w:pStyle w:val="12"/>
            </w:pPr>
            <w:r>
              <w:t>≥98%</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2835" w:type="dxa"/>
            <w:vAlign w:val="center"/>
          </w:tcPr>
          <w:p>
            <w:pPr>
              <w:pStyle w:val="12"/>
            </w:pPr>
            <w:r>
              <w:t>发放率</w:t>
            </w:r>
          </w:p>
        </w:tc>
        <w:tc>
          <w:tcPr>
            <w:tcW w:w="2551" w:type="dxa"/>
            <w:vAlign w:val="center"/>
          </w:tcPr>
          <w:p>
            <w:pPr>
              <w:pStyle w:val="12"/>
            </w:pPr>
            <w:r>
              <w:t>≥98%</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6.31万元</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2835" w:type="dxa"/>
            <w:vAlign w:val="center"/>
          </w:tcPr>
          <w:p>
            <w:pPr>
              <w:pStyle w:val="12"/>
            </w:pPr>
            <w:r>
              <w:t>受补助人群生活水平提高程度</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2、南孟镇2023年度环保、安全生产等经费（综合公用经费）绩效目标表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1.按照国家法律法规，进行环保、安全生产等工作。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环保治理安全生产监管村个数</w:t>
            </w:r>
          </w:p>
        </w:tc>
        <w:tc>
          <w:tcPr>
            <w:tcW w:w="2835" w:type="dxa"/>
            <w:vAlign w:val="center"/>
          </w:tcPr>
          <w:p>
            <w:pPr>
              <w:pStyle w:val="12"/>
            </w:pPr>
            <w:r>
              <w:t>辖区内环保安全生产监管全覆盖</w:t>
            </w:r>
          </w:p>
        </w:tc>
        <w:tc>
          <w:tcPr>
            <w:tcW w:w="2551" w:type="dxa"/>
            <w:vAlign w:val="center"/>
          </w:tcPr>
          <w:p>
            <w:pPr>
              <w:pStyle w:val="12"/>
            </w:pPr>
            <w:r>
              <w:t>14个</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2835" w:type="dxa"/>
            <w:vAlign w:val="center"/>
          </w:tcPr>
          <w:p>
            <w:pPr>
              <w:pStyle w:val="12"/>
            </w:pPr>
            <w:r>
              <w:t>保障各项工作顺利进行</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保障时间节点</w:t>
            </w:r>
          </w:p>
        </w:tc>
        <w:tc>
          <w:tcPr>
            <w:tcW w:w="2835" w:type="dxa"/>
            <w:vAlign w:val="center"/>
          </w:tcPr>
          <w:p>
            <w:pPr>
              <w:pStyle w:val="12"/>
            </w:pPr>
            <w:r>
              <w:t>按时完成各项工作任务</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编制农村环境治理等经费</w:t>
            </w:r>
          </w:p>
        </w:tc>
        <w:tc>
          <w:tcPr>
            <w:tcW w:w="2835" w:type="dxa"/>
            <w:vAlign w:val="center"/>
          </w:tcPr>
          <w:p>
            <w:pPr>
              <w:pStyle w:val="12"/>
            </w:pPr>
            <w:r>
              <w:t>编制农村环境治理等工作经费标准</w:t>
            </w:r>
          </w:p>
        </w:tc>
        <w:tc>
          <w:tcPr>
            <w:tcW w:w="2551" w:type="dxa"/>
            <w:vAlign w:val="center"/>
          </w:tcPr>
          <w:p>
            <w:pPr>
              <w:pStyle w:val="12"/>
            </w:pPr>
            <w:r>
              <w:t>元/项</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农村生态良好安全生产得到保障</w:t>
            </w:r>
          </w:p>
        </w:tc>
        <w:tc>
          <w:tcPr>
            <w:tcW w:w="2835" w:type="dxa"/>
            <w:vAlign w:val="center"/>
          </w:tcPr>
          <w:p>
            <w:pPr>
              <w:pStyle w:val="12"/>
            </w:pPr>
            <w:r>
              <w:t>环境良好，安全生产保障</w:t>
            </w:r>
          </w:p>
        </w:tc>
        <w:tc>
          <w:tcPr>
            <w:tcW w:w="2551" w:type="dxa"/>
            <w:vAlign w:val="center"/>
          </w:tcPr>
          <w:p>
            <w:pPr>
              <w:pStyle w:val="12"/>
            </w:pPr>
            <w:r>
              <w:t>1年</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群众满意，幸福指数得到提升</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3、南孟镇2023年度机关运转工作经费（综合公用经费）绩效目标表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1.保证机关各项工作正常运转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财政投入资金</w:t>
            </w:r>
          </w:p>
        </w:tc>
        <w:tc>
          <w:tcPr>
            <w:tcW w:w="2835" w:type="dxa"/>
            <w:vAlign w:val="center"/>
          </w:tcPr>
          <w:p>
            <w:pPr>
              <w:pStyle w:val="12"/>
            </w:pPr>
            <w:r>
              <w:t>各项工作需要投入资金数量</w:t>
            </w:r>
          </w:p>
        </w:tc>
        <w:tc>
          <w:tcPr>
            <w:tcW w:w="2551" w:type="dxa"/>
            <w:vAlign w:val="center"/>
          </w:tcPr>
          <w:p>
            <w:pPr>
              <w:pStyle w:val="12"/>
            </w:pPr>
            <w:r>
              <w:t>22.2万元</w:t>
            </w:r>
          </w:p>
        </w:tc>
        <w:tc>
          <w:tcPr>
            <w:tcW w:w="2268" w:type="dxa"/>
            <w:vAlign w:val="center"/>
          </w:tcPr>
          <w:p>
            <w:pPr>
              <w:pStyle w:val="12"/>
            </w:pPr>
            <w:r>
              <w:t>年度工作目标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2835" w:type="dxa"/>
            <w:vAlign w:val="center"/>
          </w:tcPr>
          <w:p>
            <w:pPr>
              <w:pStyle w:val="12"/>
            </w:pPr>
            <w:r>
              <w:t>保障各项工作顺利运行</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各项工作保障时间节点完成</w:t>
            </w:r>
          </w:p>
        </w:tc>
        <w:tc>
          <w:tcPr>
            <w:tcW w:w="2835" w:type="dxa"/>
            <w:vAlign w:val="center"/>
          </w:tcPr>
          <w:p>
            <w:pPr>
              <w:pStyle w:val="12"/>
            </w:pPr>
            <w:r>
              <w:t>按时完成上级安排的各项工作</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编制公用经费标准</w:t>
            </w:r>
          </w:p>
        </w:tc>
        <w:tc>
          <w:tcPr>
            <w:tcW w:w="2835" w:type="dxa"/>
            <w:vAlign w:val="center"/>
          </w:tcPr>
          <w:p>
            <w:pPr>
              <w:pStyle w:val="12"/>
            </w:pPr>
            <w:r>
              <w:t>编制公用经费标准</w:t>
            </w:r>
          </w:p>
        </w:tc>
        <w:tc>
          <w:tcPr>
            <w:tcW w:w="2551" w:type="dxa"/>
            <w:vAlign w:val="center"/>
          </w:tcPr>
          <w:p>
            <w:pPr>
              <w:pStyle w:val="12"/>
            </w:pPr>
            <w:r>
              <w:t>按规定执行</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各项工作顺利开展</w:t>
            </w:r>
          </w:p>
        </w:tc>
        <w:tc>
          <w:tcPr>
            <w:tcW w:w="2835" w:type="dxa"/>
            <w:vAlign w:val="center"/>
          </w:tcPr>
          <w:p>
            <w:pPr>
              <w:pStyle w:val="12"/>
            </w:pPr>
            <w:r>
              <w:t>各项工作统筹兼顾，顺利开展</w:t>
            </w:r>
          </w:p>
        </w:tc>
        <w:tc>
          <w:tcPr>
            <w:tcW w:w="2551" w:type="dxa"/>
            <w:vAlign w:val="center"/>
          </w:tcPr>
          <w:p>
            <w:pPr>
              <w:pStyle w:val="12"/>
            </w:pPr>
            <w:r>
              <w:t>1年</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在编人员满意度</w:t>
            </w:r>
          </w:p>
        </w:tc>
        <w:tc>
          <w:tcPr>
            <w:tcW w:w="2835" w:type="dxa"/>
            <w:vAlign w:val="center"/>
          </w:tcPr>
          <w:p>
            <w:pPr>
              <w:pStyle w:val="12"/>
            </w:pPr>
            <w:r>
              <w:t>按时完成各项工作，上级部门满意群众满意</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4、南孟镇2023年度学区工会费绩效目标表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1.按规定缴纳学区工会费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覆盖率达到工会要求</w:t>
            </w:r>
          </w:p>
        </w:tc>
        <w:tc>
          <w:tcPr>
            <w:tcW w:w="2551" w:type="dxa"/>
            <w:vAlign w:val="center"/>
          </w:tcPr>
          <w:p>
            <w:pPr>
              <w:pStyle w:val="12"/>
            </w:pPr>
            <w:r>
              <w:t>≥80%</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2835" w:type="dxa"/>
            <w:vAlign w:val="center"/>
          </w:tcPr>
          <w:p>
            <w:pPr>
              <w:pStyle w:val="12"/>
            </w:pPr>
            <w:r>
              <w:t>上缴资金占总工会费比例</w:t>
            </w:r>
          </w:p>
        </w:tc>
        <w:tc>
          <w:tcPr>
            <w:tcW w:w="2551" w:type="dxa"/>
            <w:vAlign w:val="center"/>
          </w:tcPr>
          <w:p>
            <w:pPr>
              <w:pStyle w:val="12"/>
            </w:pPr>
            <w:r>
              <w:t>≥100%</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上缴资金及时率</w:t>
            </w:r>
          </w:p>
        </w:tc>
        <w:tc>
          <w:tcPr>
            <w:tcW w:w="2835" w:type="dxa"/>
            <w:vAlign w:val="center"/>
          </w:tcPr>
          <w:p>
            <w:pPr>
              <w:pStyle w:val="12"/>
            </w:pPr>
            <w:r>
              <w:t>某一时期内上缴资金与计划上缴资金的比例</w:t>
            </w:r>
          </w:p>
        </w:tc>
        <w:tc>
          <w:tcPr>
            <w:tcW w:w="2551" w:type="dxa"/>
            <w:vAlign w:val="center"/>
          </w:tcPr>
          <w:p>
            <w:pPr>
              <w:pStyle w:val="12"/>
            </w:pPr>
            <w:r>
              <w:t>≥95%</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编制工会费用的标准</w:t>
            </w:r>
          </w:p>
        </w:tc>
        <w:tc>
          <w:tcPr>
            <w:tcW w:w="2835" w:type="dxa"/>
            <w:vAlign w:val="center"/>
          </w:tcPr>
          <w:p>
            <w:pPr>
              <w:pStyle w:val="12"/>
            </w:pPr>
            <w:r>
              <w:t>编制工会费用标准</w:t>
            </w:r>
          </w:p>
        </w:tc>
        <w:tc>
          <w:tcPr>
            <w:tcW w:w="2551" w:type="dxa"/>
            <w:vAlign w:val="center"/>
          </w:tcPr>
          <w:p>
            <w:pPr>
              <w:pStyle w:val="12"/>
            </w:pPr>
            <w:r>
              <w:t>按规定执行</w:t>
            </w:r>
          </w:p>
          <w:p>
            <w:pPr>
              <w:pStyle w:val="12"/>
            </w:pPr>
          </w:p>
        </w:tc>
        <w:tc>
          <w:tcPr>
            <w:tcW w:w="2268"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可持续影响指标</w:t>
            </w:r>
          </w:p>
        </w:tc>
        <w:tc>
          <w:tcPr>
            <w:tcW w:w="2835" w:type="dxa"/>
            <w:vAlign w:val="center"/>
          </w:tcPr>
          <w:p>
            <w:pPr>
              <w:pStyle w:val="12"/>
            </w:pPr>
            <w:r>
              <w:t>职工幸福指数</w:t>
            </w:r>
          </w:p>
        </w:tc>
        <w:tc>
          <w:tcPr>
            <w:tcW w:w="2835" w:type="dxa"/>
            <w:vAlign w:val="center"/>
          </w:tcPr>
          <w:p>
            <w:pPr>
              <w:pStyle w:val="12"/>
            </w:pPr>
            <w:r>
              <w:t>工会一直为职工提供的服务让职工感受到的幸福指数</w:t>
            </w:r>
          </w:p>
        </w:tc>
        <w:tc>
          <w:tcPr>
            <w:tcW w:w="2551" w:type="dxa"/>
            <w:vAlign w:val="center"/>
          </w:tcPr>
          <w:p>
            <w:pPr>
              <w:pStyle w:val="12"/>
            </w:pPr>
            <w:r>
              <w:t>≥90%</w:t>
            </w:r>
          </w:p>
        </w:tc>
        <w:tc>
          <w:tcPr>
            <w:tcW w:w="2268"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工作活动影响力</w:t>
            </w:r>
          </w:p>
        </w:tc>
        <w:tc>
          <w:tcPr>
            <w:tcW w:w="2835" w:type="dxa"/>
            <w:vAlign w:val="center"/>
          </w:tcPr>
          <w:p>
            <w:pPr>
              <w:pStyle w:val="12"/>
            </w:pPr>
            <w:r>
              <w:t>工会利用工会费举办职工活动，丰富职工业余生活的程度</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工会满意度</w:t>
            </w:r>
          </w:p>
        </w:tc>
        <w:tc>
          <w:tcPr>
            <w:tcW w:w="2835" w:type="dxa"/>
            <w:vAlign w:val="center"/>
          </w:tcPr>
          <w:p>
            <w:pPr>
              <w:pStyle w:val="12"/>
            </w:pPr>
            <w:r>
              <w:t>工会对工会费上缴满意程度</w:t>
            </w:r>
          </w:p>
        </w:tc>
        <w:tc>
          <w:tcPr>
            <w:tcW w:w="2551" w:type="dxa"/>
            <w:vAlign w:val="center"/>
          </w:tcPr>
          <w:p>
            <w:pPr>
              <w:pStyle w:val="12"/>
            </w:pPr>
            <w:r>
              <w:t>≥95%</w:t>
            </w:r>
          </w:p>
        </w:tc>
        <w:tc>
          <w:tcPr>
            <w:tcW w:w="2268" w:type="dxa"/>
            <w:vAlign w:val="center"/>
          </w:tcPr>
          <w:p>
            <w:pPr>
              <w:pStyle w:val="12"/>
            </w:pPr>
            <w:r>
              <w:t>考核结果</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5、南孟镇2023年金五线绿化占地补偿绩效目标表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1.按时发放金五线绿化占地补偿款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占地村庄数</w:t>
            </w:r>
          </w:p>
        </w:tc>
        <w:tc>
          <w:tcPr>
            <w:tcW w:w="2835" w:type="dxa"/>
            <w:vAlign w:val="center"/>
          </w:tcPr>
          <w:p>
            <w:pPr>
              <w:pStyle w:val="12"/>
            </w:pPr>
            <w:r>
              <w:t>涉及到占地的村庄个数</w:t>
            </w:r>
          </w:p>
        </w:tc>
        <w:tc>
          <w:tcPr>
            <w:tcW w:w="2551" w:type="dxa"/>
            <w:vAlign w:val="center"/>
          </w:tcPr>
          <w:p>
            <w:pPr>
              <w:pStyle w:val="12"/>
            </w:pPr>
            <w:r>
              <w:t>9个</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2835" w:type="dxa"/>
            <w:vAlign w:val="center"/>
          </w:tcPr>
          <w:p>
            <w:pPr>
              <w:pStyle w:val="12"/>
            </w:pPr>
            <w:r>
              <w:t>按照要求发放的农户数量占总占地农户数量的比例</w:t>
            </w:r>
          </w:p>
        </w:tc>
        <w:tc>
          <w:tcPr>
            <w:tcW w:w="2551" w:type="dxa"/>
            <w:vAlign w:val="center"/>
          </w:tcPr>
          <w:p>
            <w:pPr>
              <w:pStyle w:val="12"/>
            </w:pPr>
            <w:r>
              <w:t>≥100%</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2835" w:type="dxa"/>
            <w:vAlign w:val="center"/>
          </w:tcPr>
          <w:p>
            <w:pPr>
              <w:pStyle w:val="12"/>
            </w:pPr>
            <w:r>
              <w:t>某一时期内拨付资金与计划拨付资金的比例</w:t>
            </w:r>
          </w:p>
        </w:tc>
        <w:tc>
          <w:tcPr>
            <w:tcW w:w="2551" w:type="dxa"/>
            <w:vAlign w:val="center"/>
          </w:tcPr>
          <w:p>
            <w:pPr>
              <w:pStyle w:val="12"/>
            </w:pPr>
            <w:r>
              <w:t>≥95%</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占地补贴标准</w:t>
            </w:r>
          </w:p>
        </w:tc>
        <w:tc>
          <w:tcPr>
            <w:tcW w:w="2835" w:type="dxa"/>
            <w:vAlign w:val="center"/>
          </w:tcPr>
          <w:p>
            <w:pPr>
              <w:pStyle w:val="12"/>
            </w:pPr>
            <w:r>
              <w:t>占地补贴标准</w:t>
            </w:r>
          </w:p>
        </w:tc>
        <w:tc>
          <w:tcPr>
            <w:tcW w:w="2551" w:type="dxa"/>
            <w:vAlign w:val="center"/>
          </w:tcPr>
          <w:p>
            <w:pPr>
              <w:pStyle w:val="12"/>
            </w:pPr>
            <w:r>
              <w:t>按规定执行</w:t>
            </w:r>
          </w:p>
        </w:tc>
        <w:tc>
          <w:tcPr>
            <w:tcW w:w="2268"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确保社会稳定</w:t>
            </w:r>
          </w:p>
        </w:tc>
        <w:tc>
          <w:tcPr>
            <w:tcW w:w="2835" w:type="dxa"/>
            <w:vAlign w:val="center"/>
          </w:tcPr>
          <w:p>
            <w:pPr>
              <w:pStyle w:val="12"/>
            </w:pPr>
            <w:r>
              <w:t>按时发放补偿资金，避免上访事件发生</w:t>
            </w:r>
          </w:p>
        </w:tc>
        <w:tc>
          <w:tcPr>
            <w:tcW w:w="2551" w:type="dxa"/>
            <w:vAlign w:val="center"/>
          </w:tcPr>
          <w:p>
            <w:pPr>
              <w:pStyle w:val="12"/>
            </w:pPr>
            <w:r>
              <w:t>≥98按时发放补偿资金</w:t>
            </w:r>
          </w:p>
        </w:tc>
        <w:tc>
          <w:tcPr>
            <w:tcW w:w="2268" w:type="dxa"/>
            <w:vAlign w:val="center"/>
          </w:tcPr>
          <w:p>
            <w:pPr>
              <w:pStyle w:val="12"/>
            </w:pPr>
            <w:r>
              <w:t>群众反馈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群众对当年补偿资金发放整体满意度</w:t>
            </w:r>
          </w:p>
        </w:tc>
        <w:tc>
          <w:tcPr>
            <w:tcW w:w="2551" w:type="dxa"/>
            <w:vAlign w:val="center"/>
          </w:tcPr>
          <w:p>
            <w:pPr>
              <w:pStyle w:val="12"/>
            </w:pPr>
            <w:r>
              <w:t>≥98%</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6、南孟镇2023年农村独生子女费绩效目标表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1.按规定发放农村独生子女费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全镇14个村</w:t>
            </w:r>
          </w:p>
        </w:tc>
        <w:tc>
          <w:tcPr>
            <w:tcW w:w="2835" w:type="dxa"/>
            <w:vAlign w:val="center"/>
          </w:tcPr>
          <w:p>
            <w:pPr>
              <w:pStyle w:val="12"/>
            </w:pPr>
            <w:r>
              <w:t>对全镇14个村独生子女户进行奖励</w:t>
            </w:r>
          </w:p>
        </w:tc>
        <w:tc>
          <w:tcPr>
            <w:tcW w:w="2551" w:type="dxa"/>
            <w:vAlign w:val="center"/>
          </w:tcPr>
          <w:p>
            <w:pPr>
              <w:pStyle w:val="12"/>
            </w:pPr>
            <w:r>
              <w:t>14个</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及时足额发放</w:t>
            </w:r>
          </w:p>
        </w:tc>
        <w:tc>
          <w:tcPr>
            <w:tcW w:w="2835" w:type="dxa"/>
            <w:vAlign w:val="center"/>
          </w:tcPr>
          <w:p>
            <w:pPr>
              <w:pStyle w:val="12"/>
            </w:pPr>
            <w:r>
              <w:t>按照要求发放的农户数量占总农户数量的比例</w:t>
            </w:r>
          </w:p>
        </w:tc>
        <w:tc>
          <w:tcPr>
            <w:tcW w:w="2551" w:type="dxa"/>
            <w:vAlign w:val="center"/>
          </w:tcPr>
          <w:p>
            <w:pPr>
              <w:pStyle w:val="12"/>
            </w:pPr>
            <w:r>
              <w:t>100%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及时发放</w:t>
            </w:r>
          </w:p>
        </w:tc>
        <w:tc>
          <w:tcPr>
            <w:tcW w:w="2835" w:type="dxa"/>
            <w:vAlign w:val="center"/>
          </w:tcPr>
          <w:p>
            <w:pPr>
              <w:pStyle w:val="12"/>
            </w:pPr>
            <w:r>
              <w:t>某一时期内拨付资金与计划拨付资金的比例</w:t>
            </w:r>
          </w:p>
        </w:tc>
        <w:tc>
          <w:tcPr>
            <w:tcW w:w="2551" w:type="dxa"/>
            <w:vAlign w:val="center"/>
          </w:tcPr>
          <w:p>
            <w:pPr>
              <w:pStyle w:val="12"/>
            </w:pPr>
            <w:r>
              <w:t>≥95%</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2835" w:type="dxa"/>
            <w:vAlign w:val="center"/>
          </w:tcPr>
          <w:p>
            <w:pPr>
              <w:pStyle w:val="12"/>
            </w:pPr>
            <w:r>
              <w:t>人均发放水平</w:t>
            </w:r>
          </w:p>
        </w:tc>
        <w:tc>
          <w:tcPr>
            <w:tcW w:w="2551" w:type="dxa"/>
            <w:vAlign w:val="center"/>
          </w:tcPr>
          <w:p>
            <w:pPr>
              <w:pStyle w:val="12"/>
            </w:pPr>
            <w:r>
              <w:t>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受益总人数</w:t>
            </w:r>
          </w:p>
        </w:tc>
        <w:tc>
          <w:tcPr>
            <w:tcW w:w="2835" w:type="dxa"/>
            <w:vAlign w:val="center"/>
          </w:tcPr>
          <w:p>
            <w:pPr>
              <w:pStyle w:val="12"/>
            </w:pPr>
            <w:r>
              <w:t>按时发放补助金，避免上访事件发生</w:t>
            </w:r>
          </w:p>
        </w:tc>
        <w:tc>
          <w:tcPr>
            <w:tcW w:w="2551" w:type="dxa"/>
            <w:vAlign w:val="center"/>
          </w:tcPr>
          <w:p>
            <w:pPr>
              <w:pStyle w:val="12"/>
            </w:pPr>
            <w:r>
              <w:t>≥98%</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独生子女户对奖励发放满意度</w:t>
            </w:r>
          </w:p>
        </w:tc>
        <w:tc>
          <w:tcPr>
            <w:tcW w:w="2835" w:type="dxa"/>
            <w:vAlign w:val="center"/>
          </w:tcPr>
          <w:p>
            <w:pPr>
              <w:pStyle w:val="12"/>
            </w:pPr>
            <w:r>
              <w:t>独生子女户对资金发放整体满意度</w:t>
            </w:r>
          </w:p>
        </w:tc>
        <w:tc>
          <w:tcPr>
            <w:tcW w:w="2551" w:type="dxa"/>
            <w:vAlign w:val="center"/>
          </w:tcPr>
          <w:p>
            <w:pPr>
              <w:pStyle w:val="12"/>
            </w:pPr>
            <w:r>
              <w:t>≥98%</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7、南孟镇2023年农村文化建设资金绩效目标表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1.保证南孟镇农村文化工作顺利开展</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农村文化工作覆盖村个数</w:t>
            </w:r>
          </w:p>
        </w:tc>
        <w:tc>
          <w:tcPr>
            <w:tcW w:w="2835" w:type="dxa"/>
            <w:vAlign w:val="center"/>
          </w:tcPr>
          <w:p>
            <w:pPr>
              <w:pStyle w:val="12"/>
            </w:pPr>
            <w:r>
              <w:t>辖区内农村文化工作全覆盖</w:t>
            </w:r>
          </w:p>
        </w:tc>
        <w:tc>
          <w:tcPr>
            <w:tcW w:w="2551" w:type="dxa"/>
            <w:vAlign w:val="center"/>
          </w:tcPr>
          <w:p>
            <w:pPr>
              <w:pStyle w:val="12"/>
            </w:pPr>
            <w:r>
              <w:t>14个</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2835" w:type="dxa"/>
            <w:vAlign w:val="center"/>
          </w:tcPr>
          <w:p>
            <w:pPr>
              <w:pStyle w:val="12"/>
            </w:pPr>
            <w:r>
              <w:t>保障各项工作顺利进行</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保障时间节点</w:t>
            </w:r>
          </w:p>
        </w:tc>
        <w:tc>
          <w:tcPr>
            <w:tcW w:w="2835" w:type="dxa"/>
            <w:vAlign w:val="center"/>
          </w:tcPr>
          <w:p>
            <w:pPr>
              <w:pStyle w:val="12"/>
            </w:pPr>
            <w:r>
              <w:t>按时完成各项工作任务</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编制文化工作开展经费</w:t>
            </w:r>
          </w:p>
        </w:tc>
        <w:tc>
          <w:tcPr>
            <w:tcW w:w="2835" w:type="dxa"/>
            <w:vAlign w:val="center"/>
          </w:tcPr>
          <w:p>
            <w:pPr>
              <w:pStyle w:val="12"/>
            </w:pPr>
            <w:r>
              <w:t>编制农村环境治理等工作经费标准</w:t>
            </w:r>
          </w:p>
        </w:tc>
        <w:tc>
          <w:tcPr>
            <w:tcW w:w="2551" w:type="dxa"/>
            <w:vAlign w:val="center"/>
          </w:tcPr>
          <w:p>
            <w:pPr>
              <w:pStyle w:val="12"/>
            </w:pPr>
            <w:r>
              <w:t>元/项</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农村文化工作开展得到保障</w:t>
            </w:r>
          </w:p>
        </w:tc>
        <w:tc>
          <w:tcPr>
            <w:tcW w:w="2835" w:type="dxa"/>
            <w:vAlign w:val="center"/>
          </w:tcPr>
          <w:p>
            <w:pPr>
              <w:pStyle w:val="12"/>
            </w:pPr>
            <w:r>
              <w:t>文化项目多元化</w:t>
            </w:r>
          </w:p>
        </w:tc>
        <w:tc>
          <w:tcPr>
            <w:tcW w:w="2551" w:type="dxa"/>
            <w:vAlign w:val="center"/>
          </w:tcPr>
          <w:p>
            <w:pPr>
              <w:pStyle w:val="12"/>
            </w:pPr>
            <w:r>
              <w:t>1年</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群众满意，幸福指数得到提升</w:t>
            </w:r>
          </w:p>
        </w:tc>
        <w:tc>
          <w:tcPr>
            <w:tcW w:w="2551" w:type="dxa"/>
            <w:vAlign w:val="center"/>
          </w:tcPr>
          <w:p>
            <w:pPr>
              <w:pStyle w:val="12"/>
            </w:pPr>
            <w:r>
              <w:t>≥95%</w:t>
            </w:r>
          </w:p>
        </w:tc>
        <w:tc>
          <w:tcPr>
            <w:tcW w:w="2268" w:type="dxa"/>
            <w:vAlign w:val="center"/>
          </w:tcPr>
          <w:p>
            <w:pPr>
              <w:pStyle w:val="12"/>
            </w:pPr>
            <w:r>
              <w:t>年度工作目标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8、南孟镇2023年人居环境整治绩效目标表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1.完成全镇人居环境整治工作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人居环境改善覆盖率</w:t>
            </w:r>
          </w:p>
        </w:tc>
        <w:tc>
          <w:tcPr>
            <w:tcW w:w="2551" w:type="dxa"/>
            <w:vAlign w:val="center"/>
          </w:tcPr>
          <w:p>
            <w:pPr>
              <w:pStyle w:val="12"/>
            </w:pPr>
            <w:r>
              <w:t>≥95%</w:t>
            </w:r>
          </w:p>
        </w:tc>
        <w:tc>
          <w:tcPr>
            <w:tcW w:w="2268" w:type="dxa"/>
            <w:vAlign w:val="center"/>
          </w:tcPr>
          <w:p>
            <w:pPr>
              <w:pStyle w:val="12"/>
            </w:pPr>
            <w:r>
              <w:t>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清理垃圾完成质量</w:t>
            </w:r>
          </w:p>
        </w:tc>
        <w:tc>
          <w:tcPr>
            <w:tcW w:w="2835" w:type="dxa"/>
            <w:vAlign w:val="center"/>
          </w:tcPr>
          <w:p>
            <w:pPr>
              <w:pStyle w:val="12"/>
            </w:pPr>
            <w:r>
              <w:t>清理垃圾达标率</w:t>
            </w:r>
          </w:p>
        </w:tc>
        <w:tc>
          <w:tcPr>
            <w:tcW w:w="2551" w:type="dxa"/>
            <w:vAlign w:val="center"/>
          </w:tcPr>
          <w:p>
            <w:pPr>
              <w:pStyle w:val="12"/>
            </w:pPr>
            <w:r>
              <w:t>≥95%</w:t>
            </w:r>
          </w:p>
        </w:tc>
        <w:tc>
          <w:tcPr>
            <w:tcW w:w="2268"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2835" w:type="dxa"/>
            <w:vAlign w:val="center"/>
          </w:tcPr>
          <w:p>
            <w:pPr>
              <w:pStyle w:val="12"/>
            </w:pPr>
            <w:r>
              <w:t>工作完成及时率</w:t>
            </w:r>
          </w:p>
        </w:tc>
        <w:tc>
          <w:tcPr>
            <w:tcW w:w="2551" w:type="dxa"/>
            <w:vAlign w:val="center"/>
          </w:tcPr>
          <w:p>
            <w:pPr>
              <w:pStyle w:val="12"/>
            </w:pPr>
            <w:r>
              <w:t>≥95%</w:t>
            </w:r>
          </w:p>
        </w:tc>
        <w:tc>
          <w:tcPr>
            <w:tcW w:w="2268"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日常工作经费</w:t>
            </w:r>
          </w:p>
        </w:tc>
        <w:tc>
          <w:tcPr>
            <w:tcW w:w="2835" w:type="dxa"/>
            <w:vAlign w:val="center"/>
          </w:tcPr>
          <w:p>
            <w:pPr>
              <w:pStyle w:val="12"/>
            </w:pPr>
            <w:r>
              <w:t>工作完成情况</w:t>
            </w:r>
          </w:p>
        </w:tc>
        <w:tc>
          <w:tcPr>
            <w:tcW w:w="2551" w:type="dxa"/>
            <w:vAlign w:val="center"/>
          </w:tcPr>
          <w:p>
            <w:pPr>
              <w:pStyle w:val="12"/>
            </w:pPr>
            <w:r>
              <w:t>≥95%</w:t>
            </w:r>
          </w:p>
        </w:tc>
        <w:tc>
          <w:tcPr>
            <w:tcW w:w="2268" w:type="dxa"/>
            <w:vAlign w:val="center"/>
          </w:tcPr>
          <w:p>
            <w:pPr>
              <w:pStyle w:val="12"/>
            </w:pPr>
            <w:r>
              <w:t>考核验收表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在全镇生产的重要影响</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9、南孟镇2023年土地执法、信访维稳、武装等工作经费（综合公用经费）绩效目标表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1.按照国家法律法规，进行土地执法、信访维稳、武装等工作。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土地执法等工作监管村个数</w:t>
            </w:r>
          </w:p>
        </w:tc>
        <w:tc>
          <w:tcPr>
            <w:tcW w:w="2835" w:type="dxa"/>
            <w:vAlign w:val="center"/>
          </w:tcPr>
          <w:p>
            <w:pPr>
              <w:pStyle w:val="12"/>
            </w:pPr>
            <w:r>
              <w:t>辖区内全覆盖</w:t>
            </w:r>
          </w:p>
        </w:tc>
        <w:tc>
          <w:tcPr>
            <w:tcW w:w="2551" w:type="dxa"/>
            <w:vAlign w:val="center"/>
          </w:tcPr>
          <w:p>
            <w:pPr>
              <w:pStyle w:val="12"/>
            </w:pPr>
            <w:r>
              <w:t>14个</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2835" w:type="dxa"/>
            <w:vAlign w:val="center"/>
          </w:tcPr>
          <w:p>
            <w:pPr>
              <w:pStyle w:val="12"/>
            </w:pPr>
            <w:r>
              <w:t>保障各项工作顺利进行</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保障时间节点</w:t>
            </w:r>
          </w:p>
        </w:tc>
        <w:tc>
          <w:tcPr>
            <w:tcW w:w="2835" w:type="dxa"/>
            <w:vAlign w:val="center"/>
          </w:tcPr>
          <w:p>
            <w:pPr>
              <w:pStyle w:val="12"/>
            </w:pPr>
            <w:r>
              <w:t>按时完成各项工作任务</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编制土地执法等工作经费</w:t>
            </w:r>
          </w:p>
        </w:tc>
        <w:tc>
          <w:tcPr>
            <w:tcW w:w="2835" w:type="dxa"/>
            <w:vAlign w:val="center"/>
          </w:tcPr>
          <w:p>
            <w:pPr>
              <w:pStyle w:val="12"/>
            </w:pPr>
            <w:r>
              <w:t>编制土地执法等工作经费标准</w:t>
            </w:r>
          </w:p>
        </w:tc>
        <w:tc>
          <w:tcPr>
            <w:tcW w:w="2551" w:type="dxa"/>
            <w:vAlign w:val="center"/>
          </w:tcPr>
          <w:p>
            <w:pPr>
              <w:pStyle w:val="12"/>
            </w:pPr>
            <w:r>
              <w:t>元/项</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农村土地资源利用良好信访武装工作开展顺利</w:t>
            </w:r>
          </w:p>
        </w:tc>
        <w:tc>
          <w:tcPr>
            <w:tcW w:w="2835" w:type="dxa"/>
            <w:vAlign w:val="center"/>
          </w:tcPr>
          <w:p>
            <w:pPr>
              <w:pStyle w:val="12"/>
            </w:pPr>
            <w:r>
              <w:t>土地资源利用良好，社会稳定武装工作顺利开展</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10、南孟镇2023年政府工会费绩效目标表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1.按规定缴纳政府工会费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覆盖率达到工会要求</w:t>
            </w:r>
          </w:p>
        </w:tc>
        <w:tc>
          <w:tcPr>
            <w:tcW w:w="2551" w:type="dxa"/>
            <w:vAlign w:val="center"/>
          </w:tcPr>
          <w:p>
            <w:pPr>
              <w:pStyle w:val="12"/>
            </w:pPr>
            <w:r>
              <w:t>≥80%</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2835" w:type="dxa"/>
            <w:vAlign w:val="center"/>
          </w:tcPr>
          <w:p>
            <w:pPr>
              <w:pStyle w:val="12"/>
            </w:pPr>
            <w:r>
              <w:t>上缴资金占总工会费的比例</w:t>
            </w:r>
          </w:p>
        </w:tc>
        <w:tc>
          <w:tcPr>
            <w:tcW w:w="2551" w:type="dxa"/>
            <w:vAlign w:val="center"/>
          </w:tcPr>
          <w:p>
            <w:pPr>
              <w:pStyle w:val="12"/>
            </w:pPr>
            <w:r>
              <w:t>≥100%</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上缴资金及时率</w:t>
            </w:r>
          </w:p>
        </w:tc>
        <w:tc>
          <w:tcPr>
            <w:tcW w:w="2835" w:type="dxa"/>
            <w:vAlign w:val="center"/>
          </w:tcPr>
          <w:p>
            <w:pPr>
              <w:pStyle w:val="12"/>
            </w:pPr>
            <w:r>
              <w:t>某一时期内上缴资金与计划上缴资金的比例</w:t>
            </w:r>
          </w:p>
        </w:tc>
        <w:tc>
          <w:tcPr>
            <w:tcW w:w="2551" w:type="dxa"/>
            <w:vAlign w:val="center"/>
          </w:tcPr>
          <w:p>
            <w:pPr>
              <w:pStyle w:val="12"/>
            </w:pPr>
            <w:r>
              <w:t>≥95%</w:t>
            </w:r>
          </w:p>
        </w:tc>
        <w:tc>
          <w:tcPr>
            <w:tcW w:w="2268" w:type="dxa"/>
            <w:vAlign w:val="center"/>
          </w:tcPr>
          <w:p>
            <w:pPr>
              <w:pStyle w:val="12"/>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工会缴费标准</w:t>
            </w:r>
          </w:p>
        </w:tc>
        <w:tc>
          <w:tcPr>
            <w:tcW w:w="2835" w:type="dxa"/>
            <w:vAlign w:val="center"/>
          </w:tcPr>
          <w:p>
            <w:pPr>
              <w:pStyle w:val="12"/>
            </w:pPr>
            <w:r>
              <w:t>工会缴费标准</w:t>
            </w:r>
          </w:p>
        </w:tc>
        <w:tc>
          <w:tcPr>
            <w:tcW w:w="2551" w:type="dxa"/>
            <w:vAlign w:val="center"/>
          </w:tcPr>
          <w:p>
            <w:pPr>
              <w:pStyle w:val="12"/>
            </w:pPr>
            <w:r>
              <w:t>按规定执行</w:t>
            </w:r>
          </w:p>
        </w:tc>
        <w:tc>
          <w:tcPr>
            <w:tcW w:w="2268"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职工幸福指数</w:t>
            </w:r>
          </w:p>
        </w:tc>
        <w:tc>
          <w:tcPr>
            <w:tcW w:w="2835" w:type="dxa"/>
            <w:vAlign w:val="center"/>
          </w:tcPr>
          <w:p>
            <w:pPr>
              <w:pStyle w:val="12"/>
            </w:pPr>
            <w:r>
              <w:t>工会一直为职工提供的服务让职工感受到的幸福指数</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工会活动影响力</w:t>
            </w:r>
          </w:p>
        </w:tc>
        <w:tc>
          <w:tcPr>
            <w:tcW w:w="2835" w:type="dxa"/>
            <w:vAlign w:val="center"/>
          </w:tcPr>
          <w:p>
            <w:pPr>
              <w:pStyle w:val="12"/>
            </w:pPr>
            <w:r>
              <w:t>工会利用工会费举办职工活动，丰富职工业余生活的程度</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工会满意度</w:t>
            </w:r>
          </w:p>
        </w:tc>
        <w:tc>
          <w:tcPr>
            <w:tcW w:w="2835" w:type="dxa"/>
            <w:vAlign w:val="center"/>
          </w:tcPr>
          <w:p>
            <w:pPr>
              <w:pStyle w:val="12"/>
            </w:pPr>
            <w:r>
              <w:t>工会对工会费上缴满意程度</w:t>
            </w:r>
          </w:p>
        </w:tc>
        <w:tc>
          <w:tcPr>
            <w:tcW w:w="2551" w:type="dxa"/>
            <w:vAlign w:val="center"/>
          </w:tcPr>
          <w:p>
            <w:pPr>
              <w:pStyle w:val="12"/>
            </w:pPr>
            <w:r>
              <w:t>≥98%</w:t>
            </w:r>
          </w:p>
        </w:tc>
        <w:tc>
          <w:tcPr>
            <w:tcW w:w="2268" w:type="dxa"/>
            <w:vAlign w:val="center"/>
          </w:tcPr>
          <w:p>
            <w:pPr>
              <w:pStyle w:val="12"/>
            </w:pPr>
            <w:r>
              <w:t>考核结果</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11、石财农【2022】81号关于提前下达2023年中央农村综合改革转移支付预算的通知绩效目标表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1.完成藁城特色农产品电商交易中心项目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参加交易电商涉及村数量</w:t>
            </w:r>
          </w:p>
        </w:tc>
        <w:tc>
          <w:tcPr>
            <w:tcW w:w="2835" w:type="dxa"/>
            <w:vAlign w:val="center"/>
          </w:tcPr>
          <w:p>
            <w:pPr>
              <w:pStyle w:val="12"/>
            </w:pPr>
            <w:r>
              <w:t>参加交易电商涉及村数量</w:t>
            </w:r>
          </w:p>
        </w:tc>
        <w:tc>
          <w:tcPr>
            <w:tcW w:w="2551" w:type="dxa"/>
            <w:vAlign w:val="center"/>
          </w:tcPr>
          <w:p>
            <w:pPr>
              <w:pStyle w:val="12"/>
            </w:pPr>
            <w:r>
              <w:t>14个</w:t>
            </w:r>
          </w:p>
        </w:tc>
        <w:tc>
          <w:tcPr>
            <w:tcW w:w="2268" w:type="dxa"/>
            <w:vAlign w:val="center"/>
          </w:tcPr>
          <w:p>
            <w:pPr>
              <w:pStyle w:val="12"/>
            </w:pPr>
            <w:r>
              <w:t>年度工作目标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项目验收合格率</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2835" w:type="dxa"/>
            <w:vAlign w:val="center"/>
          </w:tcPr>
          <w:p>
            <w:pPr>
              <w:pStyle w:val="12"/>
            </w:pPr>
            <w:r>
              <w:t>项目实际成本</w:t>
            </w:r>
          </w:p>
        </w:tc>
        <w:tc>
          <w:tcPr>
            <w:tcW w:w="2551" w:type="dxa"/>
            <w:vAlign w:val="center"/>
          </w:tcPr>
          <w:p>
            <w:pPr>
              <w:pStyle w:val="12"/>
            </w:pPr>
            <w:r>
              <w:t>150万元</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拉动地方经济发展</w:t>
            </w:r>
          </w:p>
        </w:tc>
        <w:tc>
          <w:tcPr>
            <w:tcW w:w="2835" w:type="dxa"/>
            <w:vAlign w:val="center"/>
          </w:tcPr>
          <w:p>
            <w:pPr>
              <w:pStyle w:val="12"/>
            </w:pPr>
            <w:r>
              <w:t>拉动地方经济发展</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2835" w:type="dxa"/>
            <w:vAlign w:val="center"/>
          </w:tcPr>
          <w:p>
            <w:pPr>
              <w:pStyle w:val="12"/>
            </w:pPr>
            <w:r>
              <w:t>群众满意率</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12、石财农【2022】89号关于提前下达2023年省级农村综合改革转移支付预算的通知绩效目标表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1.完成藁城特色农产品电商交易中心项目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参加交易电商涉及村数量</w:t>
            </w:r>
          </w:p>
        </w:tc>
        <w:tc>
          <w:tcPr>
            <w:tcW w:w="2835" w:type="dxa"/>
            <w:vAlign w:val="center"/>
          </w:tcPr>
          <w:p>
            <w:pPr>
              <w:pStyle w:val="12"/>
            </w:pPr>
            <w:r>
              <w:t>参加交易电商涉及村数量</w:t>
            </w:r>
          </w:p>
        </w:tc>
        <w:tc>
          <w:tcPr>
            <w:tcW w:w="2551" w:type="dxa"/>
            <w:vAlign w:val="center"/>
          </w:tcPr>
          <w:p>
            <w:pPr>
              <w:pStyle w:val="12"/>
            </w:pPr>
            <w:r>
              <w:t>14个</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2835" w:type="dxa"/>
            <w:vAlign w:val="center"/>
          </w:tcPr>
          <w:p>
            <w:pPr>
              <w:pStyle w:val="12"/>
            </w:pPr>
            <w:r>
              <w:t>项目验收合格率</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2835" w:type="dxa"/>
            <w:vAlign w:val="center"/>
          </w:tcPr>
          <w:p>
            <w:pPr>
              <w:pStyle w:val="12"/>
            </w:pPr>
            <w:r>
              <w:t>项目实际成本</w:t>
            </w:r>
          </w:p>
        </w:tc>
        <w:tc>
          <w:tcPr>
            <w:tcW w:w="2551" w:type="dxa"/>
            <w:vAlign w:val="center"/>
          </w:tcPr>
          <w:p>
            <w:pPr>
              <w:pStyle w:val="12"/>
            </w:pPr>
            <w:r>
              <w:t>150万元</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拉动地方经济发展</w:t>
            </w:r>
          </w:p>
        </w:tc>
        <w:tc>
          <w:tcPr>
            <w:tcW w:w="2835" w:type="dxa"/>
            <w:vAlign w:val="center"/>
          </w:tcPr>
          <w:p>
            <w:pPr>
              <w:pStyle w:val="12"/>
            </w:pPr>
            <w:r>
              <w:t>拉动地方经济发展</w:t>
            </w:r>
          </w:p>
        </w:tc>
        <w:tc>
          <w:tcPr>
            <w:tcW w:w="2551" w:type="dxa"/>
            <w:vAlign w:val="center"/>
          </w:tcPr>
          <w:p>
            <w:pPr>
              <w:pStyle w:val="12"/>
            </w:pPr>
            <w:r>
              <w:t>≥95%</w:t>
            </w:r>
          </w:p>
        </w:tc>
        <w:tc>
          <w:tcPr>
            <w:tcW w:w="2268"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2835" w:type="dxa"/>
            <w:vAlign w:val="center"/>
          </w:tcPr>
          <w:p>
            <w:pPr>
              <w:pStyle w:val="12"/>
            </w:pPr>
            <w:r>
              <w:t>群众满意率</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13、石财预[2021]39号关于提前下达2022年革命老区转移支付预算的通知绩效目标表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1.保障革命老区村内修路工程资金支出</w:t>
            </w:r>
          </w:p>
          <w:p>
            <w:pPr>
              <w:pStyle w:val="12"/>
            </w:pPr>
            <w:r>
              <w:t>2.保障革命老区村内修路工程资金支出</w:t>
            </w:r>
          </w:p>
          <w:p>
            <w:pPr>
              <w:pStyle w:val="12"/>
            </w:pPr>
            <w:r>
              <w:t>3.保障革命老区村内修路工程资金支出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街道面积</w:t>
            </w:r>
          </w:p>
        </w:tc>
        <w:tc>
          <w:tcPr>
            <w:tcW w:w="2835" w:type="dxa"/>
            <w:vAlign w:val="center"/>
          </w:tcPr>
          <w:p>
            <w:pPr>
              <w:pStyle w:val="12"/>
            </w:pPr>
            <w:r>
              <w:t>整修街道面积</w:t>
            </w:r>
          </w:p>
        </w:tc>
        <w:tc>
          <w:tcPr>
            <w:tcW w:w="2551" w:type="dxa"/>
            <w:vAlign w:val="center"/>
          </w:tcPr>
          <w:p>
            <w:pPr>
              <w:pStyle w:val="12"/>
            </w:pPr>
            <w:r>
              <w:t>3000平方米</w:t>
            </w:r>
          </w:p>
        </w:tc>
        <w:tc>
          <w:tcPr>
            <w:tcW w:w="2268" w:type="dxa"/>
            <w:vAlign w:val="center"/>
          </w:tcPr>
          <w:p>
            <w:pPr>
              <w:pStyle w:val="12"/>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沥青铺油</w:t>
            </w:r>
          </w:p>
        </w:tc>
        <w:tc>
          <w:tcPr>
            <w:tcW w:w="2835" w:type="dxa"/>
            <w:vAlign w:val="center"/>
          </w:tcPr>
          <w:p>
            <w:pPr>
              <w:pStyle w:val="12"/>
            </w:pPr>
            <w:r>
              <w:t>刨铣路面、沥青铺油</w:t>
            </w:r>
          </w:p>
        </w:tc>
        <w:tc>
          <w:tcPr>
            <w:tcW w:w="2551" w:type="dxa"/>
            <w:vAlign w:val="center"/>
          </w:tcPr>
          <w:p>
            <w:pPr>
              <w:pStyle w:val="12"/>
            </w:pPr>
            <w:r>
              <w:t>4公分</w:t>
            </w:r>
          </w:p>
        </w:tc>
        <w:tc>
          <w:tcPr>
            <w:tcW w:w="2268" w:type="dxa"/>
            <w:vAlign w:val="center"/>
          </w:tcPr>
          <w:p>
            <w:pPr>
              <w:pStyle w:val="12"/>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完成此项工作时间</w:t>
            </w:r>
          </w:p>
        </w:tc>
        <w:tc>
          <w:tcPr>
            <w:tcW w:w="2835" w:type="dxa"/>
            <w:vAlign w:val="center"/>
          </w:tcPr>
          <w:p>
            <w:pPr>
              <w:pStyle w:val="12"/>
            </w:pPr>
            <w:r>
              <w:t>刨铣铺油及便道铺砖</w:t>
            </w:r>
          </w:p>
        </w:tc>
        <w:tc>
          <w:tcPr>
            <w:tcW w:w="2551" w:type="dxa"/>
            <w:vAlign w:val="center"/>
          </w:tcPr>
          <w:p>
            <w:pPr>
              <w:pStyle w:val="12"/>
            </w:pPr>
            <w:r>
              <w:t>1年</w:t>
            </w:r>
          </w:p>
        </w:tc>
        <w:tc>
          <w:tcPr>
            <w:tcW w:w="2268"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成本核算</w:t>
            </w:r>
          </w:p>
        </w:tc>
        <w:tc>
          <w:tcPr>
            <w:tcW w:w="2835" w:type="dxa"/>
            <w:vAlign w:val="center"/>
          </w:tcPr>
          <w:p>
            <w:pPr>
              <w:pStyle w:val="12"/>
            </w:pPr>
            <w:r>
              <w:t>完成此项工作所需经费</w:t>
            </w:r>
          </w:p>
        </w:tc>
        <w:tc>
          <w:tcPr>
            <w:tcW w:w="2551" w:type="dxa"/>
            <w:vAlign w:val="center"/>
          </w:tcPr>
          <w:p>
            <w:pPr>
              <w:pStyle w:val="12"/>
            </w:pPr>
            <w:r>
              <w:t>预算金额</w:t>
            </w:r>
          </w:p>
        </w:tc>
        <w:tc>
          <w:tcPr>
            <w:tcW w:w="2268"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村容村貌面貌提升</w:t>
            </w:r>
          </w:p>
        </w:tc>
        <w:tc>
          <w:tcPr>
            <w:tcW w:w="2835" w:type="dxa"/>
            <w:vAlign w:val="center"/>
          </w:tcPr>
          <w:p>
            <w:pPr>
              <w:pStyle w:val="12"/>
            </w:pPr>
            <w:r>
              <w:t>提高革命老区人民生活水平指数</w:t>
            </w:r>
          </w:p>
        </w:tc>
        <w:tc>
          <w:tcPr>
            <w:tcW w:w="2551" w:type="dxa"/>
            <w:vAlign w:val="center"/>
          </w:tcPr>
          <w:p>
            <w:pPr>
              <w:pStyle w:val="12"/>
            </w:pPr>
            <w:r>
              <w:t>%</w:t>
            </w:r>
          </w:p>
        </w:tc>
        <w:tc>
          <w:tcPr>
            <w:tcW w:w="2268" w:type="dxa"/>
            <w:vAlign w:val="center"/>
          </w:tcPr>
          <w:p>
            <w:pPr>
              <w:pStyle w:val="12"/>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满意群众数量占总数的比例</w:t>
            </w:r>
          </w:p>
        </w:tc>
        <w:tc>
          <w:tcPr>
            <w:tcW w:w="2551" w:type="dxa"/>
            <w:vAlign w:val="center"/>
          </w:tcPr>
          <w:p>
            <w:pPr>
              <w:pStyle w:val="12"/>
            </w:pPr>
            <w:r>
              <w:t>≥90%</w:t>
            </w:r>
          </w:p>
        </w:tc>
        <w:tc>
          <w:tcPr>
            <w:tcW w:w="2268" w:type="dxa"/>
            <w:vAlign w:val="center"/>
          </w:tcPr>
          <w:p>
            <w:pPr>
              <w:pStyle w:val="12"/>
            </w:pPr>
            <w: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28363"/>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2023年，石家庄市藁城区南孟镇人民政府安排政府采购预算300.00万元。具体内容见下表。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300.00</w:t>
            </w: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石家庄市藁城区南孟镇人民政府本级小计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300.00</w:t>
            </w:r>
          </w:p>
        </w:tc>
        <w:tc>
          <w:tcPr>
            <w:tcW w:w="964" w:type="dxa"/>
            <w:vAlign w:val="center"/>
          </w:tcPr>
          <w:p>
            <w:pPr>
              <w:pStyle w:val="15"/>
            </w:pPr>
            <w:r>
              <w:t>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石财农【2022】81号关于提前下达2023年中央农村综合改革转移支付预算的通知</w:t>
            </w:r>
          </w:p>
        </w:tc>
        <w:tc>
          <w:tcPr>
            <w:tcW w:w="964" w:type="dxa"/>
            <w:vAlign w:val="center"/>
          </w:tcPr>
          <w:p>
            <w:pPr>
              <w:pStyle w:val="13"/>
            </w:pPr>
            <w:r>
              <w:t>150.00</w:t>
            </w:r>
          </w:p>
        </w:tc>
        <w:tc>
          <w:tcPr>
            <w:tcW w:w="1134" w:type="dxa"/>
            <w:vAlign w:val="center"/>
          </w:tcPr>
          <w:p>
            <w:pPr>
              <w:pStyle w:val="12"/>
            </w:pPr>
            <w:r>
              <w:t>其他房屋施工</w:t>
            </w:r>
          </w:p>
        </w:tc>
        <w:tc>
          <w:tcPr>
            <w:tcW w:w="1134" w:type="dxa"/>
            <w:vAlign w:val="center"/>
          </w:tcPr>
          <w:p>
            <w:pPr>
              <w:pStyle w:val="12"/>
            </w:pPr>
            <w:r>
              <w:t>B01990000</w:t>
            </w:r>
          </w:p>
        </w:tc>
        <w:tc>
          <w:tcPr>
            <w:tcW w:w="709" w:type="dxa"/>
            <w:vAlign w:val="center"/>
          </w:tcPr>
          <w:p>
            <w:pPr>
              <w:pStyle w:val="11"/>
            </w:pPr>
            <w:r>
              <w:t>1</w:t>
            </w:r>
          </w:p>
        </w:tc>
        <w:tc>
          <w:tcPr>
            <w:tcW w:w="850" w:type="dxa"/>
            <w:vAlign w:val="center"/>
          </w:tcPr>
          <w:p>
            <w:pPr>
              <w:pStyle w:val="13"/>
            </w:pPr>
            <w:r>
              <w:t>1</w:t>
            </w:r>
          </w:p>
        </w:tc>
        <w:tc>
          <w:tcPr>
            <w:tcW w:w="850" w:type="dxa"/>
            <w:vAlign w:val="center"/>
          </w:tcPr>
          <w:p>
            <w:pPr>
              <w:pStyle w:val="13"/>
            </w:pPr>
            <w:r>
              <w:t>150.00</w:t>
            </w:r>
          </w:p>
        </w:tc>
        <w:tc>
          <w:tcPr>
            <w:tcW w:w="964" w:type="dxa"/>
            <w:vAlign w:val="center"/>
          </w:tcPr>
          <w:p>
            <w:pPr>
              <w:pStyle w:val="13"/>
            </w:pPr>
            <w:r>
              <w:t>150.00</w:t>
            </w:r>
          </w:p>
        </w:tc>
        <w:tc>
          <w:tcPr>
            <w:tcW w:w="964" w:type="dxa"/>
            <w:vAlign w:val="center"/>
          </w:tcPr>
          <w:p>
            <w:pPr>
              <w:pStyle w:val="13"/>
            </w:pPr>
            <w:r>
              <w:t>150.00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石财农【2022】89号关于提前下达2023年省级农村综合改革转移支付预算的通知</w:t>
            </w:r>
          </w:p>
        </w:tc>
        <w:tc>
          <w:tcPr>
            <w:tcW w:w="964" w:type="dxa"/>
            <w:vAlign w:val="center"/>
          </w:tcPr>
          <w:p>
            <w:pPr>
              <w:pStyle w:val="13"/>
            </w:pPr>
            <w:r>
              <w:t>150.00</w:t>
            </w:r>
          </w:p>
        </w:tc>
        <w:tc>
          <w:tcPr>
            <w:tcW w:w="1134" w:type="dxa"/>
            <w:vAlign w:val="center"/>
          </w:tcPr>
          <w:p>
            <w:pPr>
              <w:pStyle w:val="12"/>
            </w:pPr>
            <w:r>
              <w:t>其他房屋施工</w:t>
            </w:r>
          </w:p>
        </w:tc>
        <w:tc>
          <w:tcPr>
            <w:tcW w:w="1134" w:type="dxa"/>
            <w:vAlign w:val="center"/>
          </w:tcPr>
          <w:p>
            <w:pPr>
              <w:pStyle w:val="12"/>
            </w:pPr>
            <w:r>
              <w:t>B01990000</w:t>
            </w:r>
          </w:p>
        </w:tc>
        <w:tc>
          <w:tcPr>
            <w:tcW w:w="709" w:type="dxa"/>
            <w:vAlign w:val="center"/>
          </w:tcPr>
          <w:p>
            <w:pPr>
              <w:pStyle w:val="11"/>
            </w:pPr>
            <w:r>
              <w:t>1</w:t>
            </w:r>
          </w:p>
        </w:tc>
        <w:tc>
          <w:tcPr>
            <w:tcW w:w="850" w:type="dxa"/>
            <w:vAlign w:val="center"/>
          </w:tcPr>
          <w:p>
            <w:pPr>
              <w:pStyle w:val="13"/>
            </w:pPr>
            <w:r>
              <w:t>1</w:t>
            </w:r>
          </w:p>
        </w:tc>
        <w:tc>
          <w:tcPr>
            <w:tcW w:w="850" w:type="dxa"/>
            <w:vAlign w:val="center"/>
          </w:tcPr>
          <w:p>
            <w:pPr>
              <w:pStyle w:val="13"/>
            </w:pPr>
            <w:r>
              <w:t>150.00</w:t>
            </w:r>
          </w:p>
        </w:tc>
        <w:tc>
          <w:tcPr>
            <w:tcW w:w="964" w:type="dxa"/>
            <w:vAlign w:val="center"/>
          </w:tcPr>
          <w:p>
            <w:pPr>
              <w:pStyle w:val="13"/>
            </w:pPr>
            <w:r>
              <w:t>150.00</w:t>
            </w:r>
          </w:p>
        </w:tc>
        <w:tc>
          <w:tcPr>
            <w:tcW w:w="964" w:type="dxa"/>
            <w:vAlign w:val="center"/>
          </w:tcPr>
          <w:p>
            <w:pPr>
              <w:pStyle w:val="13"/>
            </w:pPr>
            <w:r>
              <w:t>150.00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5" w:name="_Toc15648"/>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石家庄市藁城区南孟镇人民政府（含所属单位）上年末固定资产金额为6158.14万元（详见下表）。本年度拟购置固定资产总额为0.00万元。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813石家庄市藁城区南孟镇人民政府</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6158.14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57556</w:t>
            </w:r>
          </w:p>
        </w:tc>
        <w:tc>
          <w:tcPr>
            <w:tcW w:w="2835" w:type="dxa"/>
            <w:vAlign w:val="center"/>
          </w:tcPr>
          <w:p>
            <w:pPr>
              <w:pStyle w:val="13"/>
            </w:pPr>
            <w:r>
              <w:t>818.61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57326</w:t>
            </w:r>
          </w:p>
        </w:tc>
        <w:tc>
          <w:tcPr>
            <w:tcW w:w="2835" w:type="dxa"/>
            <w:vAlign w:val="center"/>
          </w:tcPr>
          <w:p>
            <w:pPr>
              <w:pStyle w:val="13"/>
            </w:pPr>
            <w:r>
              <w:t>772.64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2</w:t>
            </w:r>
          </w:p>
        </w:tc>
        <w:tc>
          <w:tcPr>
            <w:tcW w:w="2835" w:type="dxa"/>
            <w:vAlign w:val="center"/>
          </w:tcPr>
          <w:p>
            <w:pPr>
              <w:pStyle w:val="13"/>
            </w:pPr>
            <w:r>
              <w:t>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r>
              <w:t>5322.37</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21829"/>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rPr>
        <w:t>区县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rPr>
        <w:t>区县</w:t>
      </w:r>
      <w:r>
        <w:rPr>
          <w:rFonts w:eastAsia="方正仿宋_GBK" w:cs="Times New Roman"/>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1768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50612A2C"/>
    <w:rsid w:val="3CA55D2F"/>
    <w:rsid w:val="50612A2C"/>
    <w:rsid w:val="7E5B6B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2"/>
    <w:basedOn w:val="1"/>
    <w:next w:val="1"/>
    <w:uiPriority w:val="0"/>
    <w:pPr>
      <w:ind w:left="420" w:leftChars="200"/>
    </w:p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1">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41</Pages>
  <Words>12164</Words>
  <Characters>14532</Characters>
  <Lines>0</Lines>
  <Paragraphs>0</Paragraphs>
  <TotalTime>1</TotalTime>
  <ScaleCrop>false</ScaleCrop>
  <LinksUpToDate>false</LinksUpToDate>
  <CharactersWithSpaces>14755</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2023-09-19T08:58:00Z</dcterms:created>
  <dc:creator>: )</dc:creator>
  <cp:lastModifiedBy>LENOVO</cp:lastModifiedBy>
  <dcterms:modified xsi:type="dcterms:W3CDTF">2024-09-24T13:45:06Z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4EFD2EC8E8C446B9B9E9928BCA46FE8B_11</vt:lpwstr>
  </property>
</Properties>
</file>