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投资促进局</w:t>
      </w: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_Toc12406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_Toc12406 \h </w:instrText>
      </w:r>
      <w:r>
        <w:fldChar w:fldCharType="separate"/>
      </w:r>
      <w:r>
        <w:t>3</w:t>
      </w:r>
      <w:r>
        <w:fldChar w:fldCharType="end"/>
      </w:r>
      <w:r>
        <w:fldChar w:fldCharType="end"/>
      </w:r>
    </w:p>
    <w:p>
      <w:pPr>
        <w:pStyle w:val="4"/>
        <w:tabs>
          <w:tab w:val="right" w:leader="dot" w:pos="14800"/>
        </w:tabs>
      </w:pPr>
      <w:r>
        <w:fldChar w:fldCharType="begin"/>
      </w:r>
      <w:r>
        <w:instrText xml:space="preserve"> HYPERLINK \l _Toc10253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_Toc10253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_Toc27600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_Toc27600 \h </w:instrText>
      </w:r>
      <w:r>
        <w:fldChar w:fldCharType="separate"/>
      </w:r>
      <w:r>
        <w:t>8</w:t>
      </w:r>
      <w:r>
        <w:fldChar w:fldCharType="end"/>
      </w:r>
      <w:r>
        <w:fldChar w:fldCharType="end"/>
      </w:r>
    </w:p>
    <w:p>
      <w:pPr>
        <w:pStyle w:val="4"/>
        <w:tabs>
          <w:tab w:val="right" w:leader="dot" w:pos="14800"/>
        </w:tabs>
      </w:pPr>
      <w:r>
        <w:fldChar w:fldCharType="begin"/>
      </w:r>
      <w:r>
        <w:instrText xml:space="preserve"> HYPERLINK \l _Toc17954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_Toc17954 \h </w:instrText>
      </w:r>
      <w:r>
        <w:fldChar w:fldCharType="separate"/>
      </w:r>
      <w:r>
        <w:t>9</w:t>
      </w:r>
      <w:r>
        <w:fldChar w:fldCharType="end"/>
      </w:r>
      <w:r>
        <w:fldChar w:fldCharType="end"/>
      </w:r>
    </w:p>
    <w:p>
      <w:pPr>
        <w:pStyle w:val="4"/>
        <w:tabs>
          <w:tab w:val="right" w:leader="dot" w:pos="14800"/>
        </w:tabs>
      </w:pPr>
      <w:r>
        <w:fldChar w:fldCharType="begin"/>
      </w:r>
      <w:r>
        <w:instrText xml:space="preserve"> HYPERLINK \l _Toc5840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_Toc5840 \h </w:instrText>
      </w:r>
      <w:r>
        <w:fldChar w:fldCharType="separate"/>
      </w:r>
      <w:r>
        <w:t>15</w:t>
      </w:r>
      <w:r>
        <w:fldChar w:fldCharType="end"/>
      </w:r>
      <w:r>
        <w:fldChar w:fldCharType="end"/>
      </w:r>
    </w:p>
    <w:p>
      <w:pPr>
        <w:pStyle w:val="4"/>
        <w:tabs>
          <w:tab w:val="right" w:leader="dot" w:pos="14800"/>
        </w:tabs>
      </w:pPr>
      <w:r>
        <w:fldChar w:fldCharType="begin"/>
      </w:r>
      <w:r>
        <w:instrText xml:space="preserve"> HYPERLINK \l _Toc21641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_Toc21641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_Toc24577 </w:instrText>
      </w:r>
      <w:r>
        <w:fldChar w:fldCharType="separate"/>
      </w:r>
      <w:r>
        <w:rPr>
          <w:rFonts w:ascii="方正小标宋_GBK" w:hAnsi="方正小标宋_GBK" w:eastAsia="方正小标宋_GBK" w:cs="方正小标宋_GBK"/>
        </w:rPr>
        <w:t>部门预算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fldChar w:fldCharType="begin"/>
      </w:r>
      <w:r>
        <w:instrText xml:space="preserve"> PAGEREF _Toc24577 \h </w:instrText>
      </w:r>
      <w:r>
        <w:fldChar w:fldCharType="separate"/>
      </w:r>
      <w:r>
        <w:t>18</w:t>
      </w:r>
      <w:r>
        <w:fldChar w:fldCharType="end"/>
      </w:r>
      <w:r>
        <w:fldChar w:fldCharType="end"/>
      </w:r>
    </w:p>
    <w:p>
      <w:pPr>
        <w:pStyle w:val="4"/>
        <w:tabs>
          <w:tab w:val="right" w:leader="dot" w:pos="14800"/>
        </w:tabs>
      </w:pPr>
      <w:r>
        <w:fldChar w:fldCharType="begin"/>
      </w:r>
      <w:r>
        <w:instrText xml:space="preserve"> HYPERLINK \l _Toc13281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_Toc13281 \h </w:instrText>
      </w:r>
      <w:r>
        <w:fldChar w:fldCharType="separate"/>
      </w:r>
      <w:r>
        <w:t>19</w:t>
      </w:r>
      <w:r>
        <w:fldChar w:fldCharType="end"/>
      </w:r>
      <w:r>
        <w:fldChar w:fldCharType="end"/>
      </w:r>
    </w:p>
    <w:p>
      <w:pPr>
        <w:pStyle w:val="4"/>
        <w:tabs>
          <w:tab w:val="right" w:leader="dot" w:pos="14800"/>
        </w:tabs>
      </w:pPr>
      <w:r>
        <w:fldChar w:fldCharType="begin"/>
      </w:r>
      <w:r>
        <w:instrText xml:space="preserve"> HYPERLINK \l _Toc18654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_Toc18654 \h </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_Toc902 </w:instrText>
      </w:r>
      <w:r>
        <w:fldChar w:fldCharType="separate"/>
      </w:r>
      <w:r>
        <w:rPr>
          <w:rFonts w:ascii="黑体" w:hAnsi="黑体" w:eastAsia="黑体" w:cs="黑体"/>
        </w:rPr>
        <w:t>一、部门职责及机构设置情况</w:t>
      </w:r>
      <w:r>
        <w:tab/>
      </w:r>
      <w:r>
        <w:fldChar w:fldCharType="begin"/>
      </w:r>
      <w:r>
        <w:instrText xml:space="preserve"> PAGEREF _Toc902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_Toc17109 </w:instrText>
      </w:r>
      <w:r>
        <w:fldChar w:fldCharType="separate"/>
      </w:r>
      <w:r>
        <w:rPr>
          <w:rFonts w:ascii="黑体" w:hAnsi="黑体" w:eastAsia="黑体" w:cs="黑体"/>
        </w:rPr>
        <w:t>二、部门预算安排的总体情况</w:t>
      </w:r>
      <w:r>
        <w:tab/>
      </w:r>
      <w:r>
        <w:fldChar w:fldCharType="begin"/>
      </w:r>
      <w:r>
        <w:instrText xml:space="preserve"> PAGEREF _Toc17109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_Toc10269 </w:instrText>
      </w:r>
      <w:r>
        <w:fldChar w:fldCharType="separate"/>
      </w:r>
      <w:r>
        <w:rPr>
          <w:rFonts w:ascii="黑体" w:hAnsi="黑体" w:eastAsia="黑体" w:cs="黑体"/>
        </w:rPr>
        <w:t>三、机关运行经费安排情况</w:t>
      </w:r>
      <w:r>
        <w:tab/>
      </w:r>
      <w:r>
        <w:fldChar w:fldCharType="begin"/>
      </w:r>
      <w:r>
        <w:instrText xml:space="preserve"> PAGEREF _Toc10269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_Toc20891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_Toc20891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_Toc16468 </w:instrText>
      </w:r>
      <w:r>
        <w:fldChar w:fldCharType="separate"/>
      </w:r>
      <w:r>
        <w:rPr>
          <w:rFonts w:ascii="黑体" w:hAnsi="黑体" w:eastAsia="黑体" w:cs="黑体"/>
        </w:rPr>
        <w:t>五、预算绩效信息</w:t>
      </w:r>
      <w:r>
        <w:tab/>
      </w:r>
      <w:r>
        <w:fldChar w:fldCharType="begin"/>
      </w:r>
      <w:r>
        <w:instrText xml:space="preserve"> PAGEREF _Toc16468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_Toc3324 </w:instrText>
      </w:r>
      <w:r>
        <w:fldChar w:fldCharType="separate"/>
      </w:r>
      <w:r>
        <w:rPr>
          <w:rFonts w:ascii="黑体" w:hAnsi="黑体" w:eastAsia="黑体" w:cs="黑体"/>
        </w:rPr>
        <w:t>六、政府采购预算情况</w:t>
      </w:r>
      <w:r>
        <w:tab/>
      </w:r>
      <w:r>
        <w:fldChar w:fldCharType="begin"/>
      </w:r>
      <w:r>
        <w:instrText xml:space="preserve"> PAGEREF _Toc3324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_Toc3383 </w:instrText>
      </w:r>
      <w:r>
        <w:fldChar w:fldCharType="separate"/>
      </w:r>
      <w:r>
        <w:rPr>
          <w:rFonts w:ascii="黑体" w:hAnsi="黑体" w:eastAsia="黑体" w:cs="黑体"/>
        </w:rPr>
        <w:t>七、国有资产信息</w:t>
      </w:r>
      <w:r>
        <w:tab/>
      </w:r>
      <w:r>
        <w:fldChar w:fldCharType="begin"/>
      </w:r>
      <w:r>
        <w:instrText xml:space="preserve"> PAGEREF _Toc3383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_Toc2015 </w:instrText>
      </w:r>
      <w:r>
        <w:fldChar w:fldCharType="separate"/>
      </w:r>
      <w:r>
        <w:rPr>
          <w:rFonts w:ascii="黑体" w:hAnsi="黑体" w:eastAsia="黑体" w:cs="黑体"/>
        </w:rPr>
        <w:t>八、名词解释</w:t>
      </w:r>
      <w:r>
        <w:tab/>
      </w:r>
      <w:r>
        <w:fldChar w:fldCharType="begin"/>
      </w:r>
      <w:r>
        <w:instrText xml:space="preserve"> PAGEREF _Toc2015 \h </w:instrText>
      </w:r>
      <w:r>
        <w:fldChar w:fldCharType="separate"/>
      </w:r>
      <w:r>
        <w:t>32</w:t>
      </w:r>
      <w:r>
        <w:fldChar w:fldCharType="end"/>
      </w:r>
      <w:r>
        <w:fldChar w:fldCharType="end"/>
      </w:r>
    </w:p>
    <w:p>
      <w:pPr>
        <w:pStyle w:val="2"/>
        <w:tabs>
          <w:tab w:val="right" w:leader="dot" w:pos="14800"/>
        </w:tabs>
      </w:pPr>
      <w:r>
        <w:fldChar w:fldCharType="begin"/>
      </w:r>
      <w:r>
        <w:instrText xml:space="preserve"> HYPERLINK \l _Toc23567 </w:instrText>
      </w:r>
      <w:r>
        <w:fldChar w:fldCharType="separate"/>
      </w:r>
      <w:r>
        <w:rPr>
          <w:rFonts w:ascii="黑体" w:hAnsi="黑体" w:eastAsia="黑体" w:cs="黑体"/>
        </w:rPr>
        <w:t>九、其他需要说明的事项</w:t>
      </w:r>
      <w:r>
        <w:tab/>
      </w:r>
      <w:r>
        <w:fldChar w:fldCharType="begin"/>
      </w:r>
      <w:r>
        <w:instrText xml:space="preserve"> PAGEREF _Toc23567 \h </w:instrText>
      </w:r>
      <w:r>
        <w:fldChar w:fldCharType="separate"/>
      </w:r>
      <w:r>
        <w:t>33</w:t>
      </w:r>
      <w:r>
        <w:fldChar w:fldCharType="end"/>
      </w:r>
      <w:r>
        <w:fldChar w:fldCharType="end"/>
      </w:r>
    </w:p>
    <w:p>
      <w:r>
        <w:fldChar w:fldCharType="end"/>
      </w:r>
    </w:p>
    <w:p>
      <w:pPr>
        <w:spacing w:before="0" w:after="0" w:line="240" w:lineRule="auto"/>
        <w:ind w:firstLine="0"/>
        <w:jc w:val="center"/>
        <w:outlineLvl w:val="1"/>
      </w:pPr>
      <w:bookmarkStart w:id="0" w:name="_Toc12406"/>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pPr>
            <w:r>
              <w:t>398石家庄市藁城区投资促进局</w:t>
            </w:r>
          </w:p>
        </w:tc>
        <w:tc>
          <w:tcPr>
            <w:tcW w:w="1971" w:type="dxa"/>
            <w:tcBorders>
              <w:top w:val="single" w:color="FFFFFF" w:sz="6" w:space="0"/>
              <w:left w:val="single" w:color="FFFFFF" w:sz="6" w:space="0"/>
              <w:right w:val="single" w:color="FFFFFF" w:sz="6" w:space="0"/>
            </w:tcBorders>
            <w:vAlign w:val="center"/>
          </w:tcPr>
          <w:p>
            <w:pPr>
              <w:pStyle w:val="8"/>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799.23</w:t>
            </w:r>
          </w:p>
        </w:tc>
        <w:tc>
          <w:tcPr>
            <w:tcW w:w="1971" w:type="dxa"/>
            <w:vAlign w:val="center"/>
          </w:tcPr>
          <w:p>
            <w:pPr>
              <w:pStyle w:val="12"/>
            </w:pPr>
            <w:r>
              <w:t>一、一般公共服务支出</w:t>
            </w:r>
          </w:p>
        </w:tc>
        <w:tc>
          <w:tcPr>
            <w:tcW w:w="1971" w:type="dxa"/>
            <w:vAlign w:val="center"/>
          </w:tcPr>
          <w:p>
            <w:pPr>
              <w:pStyle w:val="13"/>
            </w:pPr>
            <w:r>
              <w:t>799.23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4"/>
            </w:pPr>
            <w:r>
              <w:t>本年收入合计</w:t>
            </w:r>
          </w:p>
        </w:tc>
        <w:tc>
          <w:tcPr>
            <w:tcW w:w="1971" w:type="dxa"/>
            <w:vAlign w:val="center"/>
          </w:tcPr>
          <w:p>
            <w:pPr>
              <w:pStyle w:val="15"/>
            </w:pPr>
            <w:r>
              <w:t>799.23</w:t>
            </w:r>
          </w:p>
        </w:tc>
        <w:tc>
          <w:tcPr>
            <w:tcW w:w="1971" w:type="dxa"/>
            <w:vAlign w:val="center"/>
          </w:tcPr>
          <w:p>
            <w:pPr>
              <w:pStyle w:val="14"/>
            </w:pPr>
            <w:r>
              <w:t>本年支出合计</w:t>
            </w:r>
          </w:p>
        </w:tc>
        <w:tc>
          <w:tcPr>
            <w:tcW w:w="1971" w:type="dxa"/>
            <w:vAlign w:val="center"/>
          </w:tcPr>
          <w:p>
            <w:pPr>
              <w:pStyle w:val="15"/>
            </w:pPr>
            <w:r>
              <w:t>799.23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2"/>
            </w:pPr>
            <w:r>
              <w:t>上年结转结余</w:t>
            </w:r>
          </w:p>
        </w:tc>
        <w:tc>
          <w:tcPr>
            <w:tcW w:w="1971" w:type="dxa"/>
            <w:vAlign w:val="center"/>
          </w:tcPr>
          <w:p>
            <w:pPr>
              <w:pStyle w:val="13"/>
            </w:pP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34</w:t>
            </w:r>
          </w:p>
        </w:tc>
        <w:tc>
          <w:tcPr>
            <w:tcW w:w="1971" w:type="dxa"/>
            <w:vAlign w:val="center"/>
          </w:tcPr>
          <w:p>
            <w:pPr>
              <w:pStyle w:val="14"/>
            </w:pPr>
            <w:r>
              <w:t>收入总计</w:t>
            </w:r>
          </w:p>
        </w:tc>
        <w:tc>
          <w:tcPr>
            <w:tcW w:w="1971" w:type="dxa"/>
            <w:vAlign w:val="center"/>
          </w:tcPr>
          <w:p>
            <w:pPr>
              <w:pStyle w:val="15"/>
            </w:pPr>
            <w:r>
              <w:t>799.23</w:t>
            </w:r>
          </w:p>
        </w:tc>
        <w:tc>
          <w:tcPr>
            <w:tcW w:w="1971" w:type="dxa"/>
            <w:vAlign w:val="center"/>
          </w:tcPr>
          <w:p>
            <w:pPr>
              <w:pStyle w:val="14"/>
            </w:pPr>
            <w:r>
              <w:t>支出总计</w:t>
            </w:r>
          </w:p>
        </w:tc>
        <w:tc>
          <w:tcPr>
            <w:tcW w:w="1971" w:type="dxa"/>
            <w:vAlign w:val="center"/>
          </w:tcPr>
          <w:p>
            <w:pPr>
              <w:pStyle w:val="15"/>
            </w:pPr>
            <w:r>
              <w:t>799.23</w:t>
            </w:r>
          </w:p>
        </w:tc>
      </w:tr>
    </w:tbl>
    <w:p>
      <w:pPr>
        <w:sectPr>
          <w:footerReference r:id="rId3" w:type="default"/>
          <w:pgSz w:w="16840" w:h="11900" w:orient="landscape"/>
          <w:pgMar w:top="1361" w:right="1020" w:bottom="1134" w:left="1020" w:header="720" w:footer="720" w:gutter="0"/>
        </w:sectPr>
      </w:pPr>
    </w:p>
    <w:p>
      <w:pPr>
        <w:spacing w:before="0" w:after="0" w:line="240" w:lineRule="auto"/>
        <w:ind w:firstLine="0"/>
        <w:jc w:val="center"/>
        <w:outlineLvl w:val="1"/>
      </w:pPr>
      <w:bookmarkStart w:id="1" w:name="_Toc10253"/>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398石家庄市藁城区投资促进局</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799.23</w:t>
            </w:r>
          </w:p>
        </w:tc>
        <w:tc>
          <w:tcPr>
            <w:tcW w:w="758" w:type="dxa"/>
            <w:vAlign w:val="center"/>
          </w:tcPr>
          <w:p>
            <w:pPr>
              <w:pStyle w:val="15"/>
            </w:pPr>
            <w:r>
              <w:t>799.23</w:t>
            </w:r>
          </w:p>
        </w:tc>
        <w:tc>
          <w:tcPr>
            <w:tcW w:w="758" w:type="dxa"/>
            <w:vAlign w:val="center"/>
          </w:tcPr>
          <w:p>
            <w:pPr>
              <w:pStyle w:val="15"/>
            </w:pPr>
            <w:r>
              <w:t>799.23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3"/>
            </w:pPr>
            <w:r>
              <w:t>799.23</w:t>
            </w:r>
          </w:p>
        </w:tc>
        <w:tc>
          <w:tcPr>
            <w:tcW w:w="758" w:type="dxa"/>
            <w:vAlign w:val="center"/>
          </w:tcPr>
          <w:p>
            <w:pPr>
              <w:pStyle w:val="13"/>
            </w:pPr>
            <w:r>
              <w:t>799.23</w:t>
            </w:r>
          </w:p>
        </w:tc>
        <w:tc>
          <w:tcPr>
            <w:tcW w:w="758" w:type="dxa"/>
            <w:vAlign w:val="center"/>
          </w:tcPr>
          <w:p>
            <w:pPr>
              <w:pStyle w:val="13"/>
            </w:pPr>
            <w:r>
              <w:t>799.23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20104</w:t>
            </w:r>
          </w:p>
        </w:tc>
        <w:tc>
          <w:tcPr>
            <w:tcW w:w="758" w:type="dxa"/>
            <w:vAlign w:val="center"/>
          </w:tcPr>
          <w:p>
            <w:pPr>
              <w:pStyle w:val="12"/>
            </w:pPr>
            <w:r>
              <w:t>发展与改革事务</w:t>
            </w:r>
          </w:p>
        </w:tc>
        <w:tc>
          <w:tcPr>
            <w:tcW w:w="758" w:type="dxa"/>
            <w:vAlign w:val="center"/>
          </w:tcPr>
          <w:p>
            <w:pPr>
              <w:pStyle w:val="13"/>
            </w:pPr>
            <w:r>
              <w:t>484.98</w:t>
            </w:r>
          </w:p>
        </w:tc>
        <w:tc>
          <w:tcPr>
            <w:tcW w:w="758" w:type="dxa"/>
            <w:vAlign w:val="center"/>
          </w:tcPr>
          <w:p>
            <w:pPr>
              <w:pStyle w:val="13"/>
            </w:pPr>
            <w:r>
              <w:t>484.98</w:t>
            </w:r>
          </w:p>
        </w:tc>
        <w:tc>
          <w:tcPr>
            <w:tcW w:w="758" w:type="dxa"/>
            <w:vAlign w:val="center"/>
          </w:tcPr>
          <w:p>
            <w:pPr>
              <w:pStyle w:val="13"/>
            </w:pPr>
            <w:r>
              <w:t>484.98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2010401</w:t>
            </w:r>
          </w:p>
        </w:tc>
        <w:tc>
          <w:tcPr>
            <w:tcW w:w="758" w:type="dxa"/>
            <w:vAlign w:val="center"/>
          </w:tcPr>
          <w:p>
            <w:pPr>
              <w:pStyle w:val="12"/>
            </w:pPr>
            <w:r>
              <w:t>行政运行</w:t>
            </w:r>
          </w:p>
        </w:tc>
        <w:tc>
          <w:tcPr>
            <w:tcW w:w="758" w:type="dxa"/>
            <w:vAlign w:val="center"/>
          </w:tcPr>
          <w:p>
            <w:pPr>
              <w:pStyle w:val="13"/>
            </w:pPr>
            <w:r>
              <w:t>264.98</w:t>
            </w:r>
          </w:p>
        </w:tc>
        <w:tc>
          <w:tcPr>
            <w:tcW w:w="758" w:type="dxa"/>
            <w:vAlign w:val="center"/>
          </w:tcPr>
          <w:p>
            <w:pPr>
              <w:pStyle w:val="13"/>
            </w:pPr>
            <w:r>
              <w:t>264.98</w:t>
            </w:r>
          </w:p>
        </w:tc>
        <w:tc>
          <w:tcPr>
            <w:tcW w:w="758" w:type="dxa"/>
            <w:vAlign w:val="center"/>
          </w:tcPr>
          <w:p>
            <w:pPr>
              <w:pStyle w:val="13"/>
            </w:pPr>
            <w:r>
              <w:t>264.98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2010406</w:t>
            </w:r>
          </w:p>
        </w:tc>
        <w:tc>
          <w:tcPr>
            <w:tcW w:w="758" w:type="dxa"/>
            <w:vAlign w:val="center"/>
          </w:tcPr>
          <w:p>
            <w:pPr>
              <w:pStyle w:val="12"/>
            </w:pPr>
            <w:r>
              <w:t>社会事业发展规划</w:t>
            </w:r>
          </w:p>
        </w:tc>
        <w:tc>
          <w:tcPr>
            <w:tcW w:w="758" w:type="dxa"/>
            <w:vAlign w:val="center"/>
          </w:tcPr>
          <w:p>
            <w:pPr>
              <w:pStyle w:val="13"/>
            </w:pPr>
            <w:r>
              <w:t>170.00</w:t>
            </w:r>
          </w:p>
        </w:tc>
        <w:tc>
          <w:tcPr>
            <w:tcW w:w="758" w:type="dxa"/>
            <w:vAlign w:val="center"/>
          </w:tcPr>
          <w:p>
            <w:pPr>
              <w:pStyle w:val="13"/>
            </w:pPr>
            <w:r>
              <w:t>170.00</w:t>
            </w:r>
          </w:p>
        </w:tc>
        <w:tc>
          <w:tcPr>
            <w:tcW w:w="758" w:type="dxa"/>
            <w:vAlign w:val="center"/>
          </w:tcPr>
          <w:p>
            <w:pPr>
              <w:pStyle w:val="13"/>
            </w:pPr>
            <w:r>
              <w:t>170.00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2010499</w:t>
            </w:r>
          </w:p>
        </w:tc>
        <w:tc>
          <w:tcPr>
            <w:tcW w:w="758" w:type="dxa"/>
            <w:vAlign w:val="center"/>
          </w:tcPr>
          <w:p>
            <w:pPr>
              <w:pStyle w:val="12"/>
            </w:pPr>
            <w:r>
              <w:t>其他发展与改革事务支出</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20113</w:t>
            </w:r>
          </w:p>
        </w:tc>
        <w:tc>
          <w:tcPr>
            <w:tcW w:w="758" w:type="dxa"/>
            <w:vAlign w:val="center"/>
          </w:tcPr>
          <w:p>
            <w:pPr>
              <w:pStyle w:val="12"/>
            </w:pPr>
            <w:r>
              <w:t>商贸事务</w:t>
            </w:r>
          </w:p>
        </w:tc>
        <w:tc>
          <w:tcPr>
            <w:tcW w:w="758" w:type="dxa"/>
            <w:vAlign w:val="center"/>
          </w:tcPr>
          <w:p>
            <w:pPr>
              <w:pStyle w:val="13"/>
            </w:pPr>
            <w:r>
              <w:t>314.24</w:t>
            </w:r>
          </w:p>
        </w:tc>
        <w:tc>
          <w:tcPr>
            <w:tcW w:w="758" w:type="dxa"/>
            <w:vAlign w:val="center"/>
          </w:tcPr>
          <w:p>
            <w:pPr>
              <w:pStyle w:val="13"/>
            </w:pPr>
            <w:r>
              <w:t>314.24</w:t>
            </w:r>
          </w:p>
        </w:tc>
        <w:tc>
          <w:tcPr>
            <w:tcW w:w="758" w:type="dxa"/>
            <w:vAlign w:val="center"/>
          </w:tcPr>
          <w:p>
            <w:pPr>
              <w:pStyle w:val="13"/>
            </w:pPr>
            <w:r>
              <w:t>314.24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2011308</w:t>
            </w:r>
          </w:p>
        </w:tc>
        <w:tc>
          <w:tcPr>
            <w:tcW w:w="758" w:type="dxa"/>
            <w:vAlign w:val="center"/>
          </w:tcPr>
          <w:p>
            <w:pPr>
              <w:pStyle w:val="12"/>
            </w:pPr>
            <w:r>
              <w:t>招商引资</w:t>
            </w:r>
          </w:p>
        </w:tc>
        <w:tc>
          <w:tcPr>
            <w:tcW w:w="758" w:type="dxa"/>
            <w:vAlign w:val="center"/>
          </w:tcPr>
          <w:p>
            <w:pPr>
              <w:pStyle w:val="13"/>
            </w:pPr>
            <w:r>
              <w:t>314.24</w:t>
            </w:r>
          </w:p>
        </w:tc>
        <w:tc>
          <w:tcPr>
            <w:tcW w:w="758" w:type="dxa"/>
            <w:vAlign w:val="center"/>
          </w:tcPr>
          <w:p>
            <w:pPr>
              <w:pStyle w:val="13"/>
            </w:pPr>
            <w:r>
              <w:t>314.24</w:t>
            </w:r>
          </w:p>
        </w:tc>
        <w:tc>
          <w:tcPr>
            <w:tcW w:w="758" w:type="dxa"/>
            <w:vAlign w:val="center"/>
          </w:tcPr>
          <w:p>
            <w:pPr>
              <w:pStyle w:val="13"/>
            </w:pPr>
            <w:r>
              <w:t>314.24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27600"/>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398石家庄市藁城区投资促进局</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799.23</w:t>
            </w:r>
          </w:p>
        </w:tc>
        <w:tc>
          <w:tcPr>
            <w:tcW w:w="1095" w:type="dxa"/>
            <w:vAlign w:val="center"/>
          </w:tcPr>
          <w:p>
            <w:pPr>
              <w:pStyle w:val="15"/>
            </w:pPr>
            <w:r>
              <w:t>264.98</w:t>
            </w:r>
          </w:p>
        </w:tc>
        <w:tc>
          <w:tcPr>
            <w:tcW w:w="1095" w:type="dxa"/>
            <w:vAlign w:val="center"/>
          </w:tcPr>
          <w:p>
            <w:pPr>
              <w:pStyle w:val="15"/>
            </w:pPr>
            <w:r>
              <w:t>534.24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3"/>
            </w:pPr>
            <w:r>
              <w:t>799.23</w:t>
            </w:r>
          </w:p>
        </w:tc>
        <w:tc>
          <w:tcPr>
            <w:tcW w:w="1095" w:type="dxa"/>
            <w:vAlign w:val="center"/>
          </w:tcPr>
          <w:p>
            <w:pPr>
              <w:pStyle w:val="13"/>
            </w:pPr>
            <w:r>
              <w:t>264.98</w:t>
            </w:r>
          </w:p>
        </w:tc>
        <w:tc>
          <w:tcPr>
            <w:tcW w:w="1095" w:type="dxa"/>
            <w:vAlign w:val="center"/>
          </w:tcPr>
          <w:p>
            <w:pPr>
              <w:pStyle w:val="13"/>
            </w:pPr>
            <w:r>
              <w:t>534.24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20104</w:t>
            </w:r>
          </w:p>
        </w:tc>
        <w:tc>
          <w:tcPr>
            <w:tcW w:w="1095" w:type="dxa"/>
            <w:vAlign w:val="center"/>
          </w:tcPr>
          <w:p>
            <w:pPr>
              <w:pStyle w:val="12"/>
            </w:pPr>
            <w:r>
              <w:t>发展与改革事务</w:t>
            </w:r>
          </w:p>
        </w:tc>
        <w:tc>
          <w:tcPr>
            <w:tcW w:w="1095" w:type="dxa"/>
            <w:vAlign w:val="center"/>
          </w:tcPr>
          <w:p>
            <w:pPr>
              <w:pStyle w:val="13"/>
            </w:pPr>
            <w:r>
              <w:t>484.98</w:t>
            </w:r>
          </w:p>
        </w:tc>
        <w:tc>
          <w:tcPr>
            <w:tcW w:w="1095" w:type="dxa"/>
            <w:vAlign w:val="center"/>
          </w:tcPr>
          <w:p>
            <w:pPr>
              <w:pStyle w:val="13"/>
            </w:pPr>
            <w:r>
              <w:t>264.98</w:t>
            </w:r>
          </w:p>
        </w:tc>
        <w:tc>
          <w:tcPr>
            <w:tcW w:w="1095" w:type="dxa"/>
            <w:vAlign w:val="center"/>
          </w:tcPr>
          <w:p>
            <w:pPr>
              <w:pStyle w:val="13"/>
            </w:pPr>
            <w:r>
              <w:t>220.00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2010401</w:t>
            </w:r>
          </w:p>
        </w:tc>
        <w:tc>
          <w:tcPr>
            <w:tcW w:w="1095" w:type="dxa"/>
            <w:vAlign w:val="center"/>
          </w:tcPr>
          <w:p>
            <w:pPr>
              <w:pStyle w:val="12"/>
            </w:pPr>
            <w:r>
              <w:t>行政运行</w:t>
            </w:r>
          </w:p>
        </w:tc>
        <w:tc>
          <w:tcPr>
            <w:tcW w:w="1095" w:type="dxa"/>
            <w:vAlign w:val="center"/>
          </w:tcPr>
          <w:p>
            <w:pPr>
              <w:pStyle w:val="13"/>
            </w:pPr>
            <w:r>
              <w:t>264.98</w:t>
            </w:r>
          </w:p>
        </w:tc>
        <w:tc>
          <w:tcPr>
            <w:tcW w:w="1095" w:type="dxa"/>
            <w:vAlign w:val="center"/>
          </w:tcPr>
          <w:p>
            <w:pPr>
              <w:pStyle w:val="13"/>
            </w:pPr>
            <w:r>
              <w:t>264.98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2010406</w:t>
            </w:r>
          </w:p>
        </w:tc>
        <w:tc>
          <w:tcPr>
            <w:tcW w:w="1095" w:type="dxa"/>
            <w:vAlign w:val="center"/>
          </w:tcPr>
          <w:p>
            <w:pPr>
              <w:pStyle w:val="12"/>
            </w:pPr>
            <w:r>
              <w:t>社会事业发展规划</w:t>
            </w:r>
          </w:p>
        </w:tc>
        <w:tc>
          <w:tcPr>
            <w:tcW w:w="1095" w:type="dxa"/>
            <w:vAlign w:val="center"/>
          </w:tcPr>
          <w:p>
            <w:pPr>
              <w:pStyle w:val="13"/>
            </w:pPr>
            <w:r>
              <w:t>170.00</w:t>
            </w:r>
          </w:p>
        </w:tc>
        <w:tc>
          <w:tcPr>
            <w:tcW w:w="1095" w:type="dxa"/>
            <w:vAlign w:val="center"/>
          </w:tcPr>
          <w:p>
            <w:pPr>
              <w:pStyle w:val="13"/>
            </w:pPr>
          </w:p>
        </w:tc>
        <w:tc>
          <w:tcPr>
            <w:tcW w:w="1095" w:type="dxa"/>
            <w:vAlign w:val="center"/>
          </w:tcPr>
          <w:p>
            <w:pPr>
              <w:pStyle w:val="13"/>
            </w:pPr>
            <w:r>
              <w:t>170.00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2010499</w:t>
            </w:r>
          </w:p>
        </w:tc>
        <w:tc>
          <w:tcPr>
            <w:tcW w:w="1095" w:type="dxa"/>
            <w:vAlign w:val="center"/>
          </w:tcPr>
          <w:p>
            <w:pPr>
              <w:pStyle w:val="12"/>
            </w:pPr>
            <w:r>
              <w:t>其他发展与改革事务支出</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20113</w:t>
            </w:r>
          </w:p>
        </w:tc>
        <w:tc>
          <w:tcPr>
            <w:tcW w:w="1095" w:type="dxa"/>
            <w:vAlign w:val="center"/>
          </w:tcPr>
          <w:p>
            <w:pPr>
              <w:pStyle w:val="12"/>
            </w:pPr>
            <w:r>
              <w:t>商贸事务</w:t>
            </w:r>
          </w:p>
        </w:tc>
        <w:tc>
          <w:tcPr>
            <w:tcW w:w="1095" w:type="dxa"/>
            <w:vAlign w:val="center"/>
          </w:tcPr>
          <w:p>
            <w:pPr>
              <w:pStyle w:val="13"/>
            </w:pPr>
            <w:r>
              <w:t>314.24</w:t>
            </w:r>
          </w:p>
        </w:tc>
        <w:tc>
          <w:tcPr>
            <w:tcW w:w="1095" w:type="dxa"/>
            <w:vAlign w:val="center"/>
          </w:tcPr>
          <w:p>
            <w:pPr>
              <w:pStyle w:val="13"/>
            </w:pPr>
          </w:p>
        </w:tc>
        <w:tc>
          <w:tcPr>
            <w:tcW w:w="1095" w:type="dxa"/>
            <w:vAlign w:val="center"/>
          </w:tcPr>
          <w:p>
            <w:pPr>
              <w:pStyle w:val="13"/>
            </w:pPr>
            <w:r>
              <w:t>314.24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2011308</w:t>
            </w:r>
          </w:p>
        </w:tc>
        <w:tc>
          <w:tcPr>
            <w:tcW w:w="1095" w:type="dxa"/>
            <w:vAlign w:val="center"/>
          </w:tcPr>
          <w:p>
            <w:pPr>
              <w:pStyle w:val="12"/>
            </w:pPr>
            <w:r>
              <w:t>招商引资</w:t>
            </w:r>
          </w:p>
        </w:tc>
        <w:tc>
          <w:tcPr>
            <w:tcW w:w="1095" w:type="dxa"/>
            <w:vAlign w:val="center"/>
          </w:tcPr>
          <w:p>
            <w:pPr>
              <w:pStyle w:val="13"/>
            </w:pPr>
            <w:r>
              <w:t>314.24</w:t>
            </w:r>
          </w:p>
        </w:tc>
        <w:tc>
          <w:tcPr>
            <w:tcW w:w="1095" w:type="dxa"/>
            <w:vAlign w:val="center"/>
          </w:tcPr>
          <w:p>
            <w:pPr>
              <w:pStyle w:val="13"/>
            </w:pPr>
          </w:p>
        </w:tc>
        <w:tc>
          <w:tcPr>
            <w:tcW w:w="1095" w:type="dxa"/>
            <w:vAlign w:val="center"/>
          </w:tcPr>
          <w:p>
            <w:pPr>
              <w:pStyle w:val="13"/>
            </w:pPr>
            <w:r>
              <w:t>314.24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1795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398石家庄市藁城区投资促进局</w:t>
            </w:r>
          </w:p>
        </w:tc>
        <w:tc>
          <w:tcPr>
            <w:tcW w:w="1232" w:type="dxa"/>
            <w:tcBorders>
              <w:top w:val="single" w:color="FFFFFF" w:sz="6" w:space="0"/>
              <w:left w:val="single" w:color="FFFFFF" w:sz="6" w:space="0"/>
              <w:right w:val="single" w:color="FFFFFF" w:sz="6" w:space="0"/>
            </w:tcBorders>
            <w:vAlign w:val="center"/>
          </w:tcPr>
          <w:p>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799.23</w:t>
            </w:r>
          </w:p>
        </w:tc>
        <w:tc>
          <w:tcPr>
            <w:tcW w:w="1232" w:type="dxa"/>
            <w:vAlign w:val="center"/>
          </w:tcPr>
          <w:p>
            <w:pPr>
              <w:pStyle w:val="12"/>
            </w:pPr>
            <w:r>
              <w:t>一、一般公共服务支出</w:t>
            </w:r>
          </w:p>
        </w:tc>
        <w:tc>
          <w:tcPr>
            <w:tcW w:w="1232" w:type="dxa"/>
            <w:vAlign w:val="center"/>
          </w:tcPr>
          <w:p>
            <w:pPr>
              <w:pStyle w:val="13"/>
            </w:pPr>
            <w:r>
              <w:t>799.23</w:t>
            </w:r>
          </w:p>
        </w:tc>
        <w:tc>
          <w:tcPr>
            <w:tcW w:w="1232" w:type="dxa"/>
            <w:vAlign w:val="center"/>
          </w:tcPr>
          <w:p>
            <w:pPr>
              <w:pStyle w:val="13"/>
            </w:pPr>
            <w:r>
              <w:t>799.23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4"/>
            </w:pPr>
            <w:r>
              <w:t>本年收入合计</w:t>
            </w:r>
          </w:p>
        </w:tc>
        <w:tc>
          <w:tcPr>
            <w:tcW w:w="1232" w:type="dxa"/>
            <w:vAlign w:val="center"/>
          </w:tcPr>
          <w:p>
            <w:pPr>
              <w:pStyle w:val="15"/>
            </w:pPr>
            <w:r>
              <w:t>799.23</w:t>
            </w:r>
          </w:p>
        </w:tc>
        <w:tc>
          <w:tcPr>
            <w:tcW w:w="1232" w:type="dxa"/>
            <w:vAlign w:val="center"/>
          </w:tcPr>
          <w:p>
            <w:pPr>
              <w:pStyle w:val="14"/>
            </w:pPr>
            <w:r>
              <w:t>本年支出合计</w:t>
            </w:r>
          </w:p>
        </w:tc>
        <w:tc>
          <w:tcPr>
            <w:tcW w:w="1232" w:type="dxa"/>
            <w:vAlign w:val="center"/>
          </w:tcPr>
          <w:p>
            <w:pPr>
              <w:pStyle w:val="15"/>
            </w:pPr>
            <w:r>
              <w:t>799.23</w:t>
            </w:r>
          </w:p>
        </w:tc>
        <w:tc>
          <w:tcPr>
            <w:tcW w:w="1232" w:type="dxa"/>
            <w:vAlign w:val="center"/>
          </w:tcPr>
          <w:p>
            <w:pPr>
              <w:pStyle w:val="15"/>
            </w:pPr>
            <w:r>
              <w:t>799.23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37</w:t>
            </w:r>
          </w:p>
        </w:tc>
        <w:tc>
          <w:tcPr>
            <w:tcW w:w="1232" w:type="dxa"/>
            <w:vAlign w:val="center"/>
          </w:tcPr>
          <w:p>
            <w:pPr>
              <w:pStyle w:val="14"/>
            </w:pPr>
            <w:r>
              <w:t>收入总计</w:t>
            </w:r>
          </w:p>
        </w:tc>
        <w:tc>
          <w:tcPr>
            <w:tcW w:w="1232" w:type="dxa"/>
            <w:vAlign w:val="center"/>
          </w:tcPr>
          <w:p>
            <w:pPr>
              <w:pStyle w:val="15"/>
            </w:pPr>
            <w:r>
              <w:t>799.23</w:t>
            </w:r>
          </w:p>
        </w:tc>
        <w:tc>
          <w:tcPr>
            <w:tcW w:w="1232" w:type="dxa"/>
            <w:vAlign w:val="center"/>
          </w:tcPr>
          <w:p>
            <w:pPr>
              <w:pStyle w:val="14"/>
            </w:pPr>
            <w:r>
              <w:t>支出总计</w:t>
            </w:r>
          </w:p>
        </w:tc>
        <w:tc>
          <w:tcPr>
            <w:tcW w:w="1232" w:type="dxa"/>
            <w:vAlign w:val="center"/>
          </w:tcPr>
          <w:p>
            <w:pPr>
              <w:pStyle w:val="15"/>
            </w:pPr>
            <w:r>
              <w:t>799.23</w:t>
            </w:r>
          </w:p>
        </w:tc>
        <w:tc>
          <w:tcPr>
            <w:tcW w:w="1232" w:type="dxa"/>
            <w:vAlign w:val="center"/>
          </w:tcPr>
          <w:p>
            <w:pPr>
              <w:pStyle w:val="15"/>
            </w:pPr>
            <w:r>
              <w:t>799.23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5840"/>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398石家庄市藁城区投资促进局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799.23</w:t>
            </w:r>
          </w:p>
        </w:tc>
        <w:tc>
          <w:tcPr>
            <w:tcW w:w="1643" w:type="dxa"/>
            <w:vAlign w:val="center"/>
          </w:tcPr>
          <w:p>
            <w:pPr>
              <w:pStyle w:val="15"/>
            </w:pPr>
            <w:r>
              <w:t>264.98</w:t>
            </w:r>
          </w:p>
        </w:tc>
        <w:tc>
          <w:tcPr>
            <w:tcW w:w="1643" w:type="dxa"/>
            <w:vAlign w:val="center"/>
          </w:tcPr>
          <w:p>
            <w:pPr>
              <w:pStyle w:val="15"/>
            </w:pPr>
            <w:r>
              <w:t>534.24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3"/>
            </w:pPr>
            <w:r>
              <w:t>799.23</w:t>
            </w:r>
          </w:p>
        </w:tc>
        <w:tc>
          <w:tcPr>
            <w:tcW w:w="1643" w:type="dxa"/>
            <w:vAlign w:val="center"/>
          </w:tcPr>
          <w:p>
            <w:pPr>
              <w:pStyle w:val="13"/>
            </w:pPr>
            <w:r>
              <w:t>264.98</w:t>
            </w:r>
          </w:p>
        </w:tc>
        <w:tc>
          <w:tcPr>
            <w:tcW w:w="1643" w:type="dxa"/>
            <w:vAlign w:val="center"/>
          </w:tcPr>
          <w:p>
            <w:pPr>
              <w:pStyle w:val="13"/>
            </w:pPr>
            <w:r>
              <w:t>534.24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20104</w:t>
            </w:r>
          </w:p>
        </w:tc>
        <w:tc>
          <w:tcPr>
            <w:tcW w:w="1643" w:type="dxa"/>
            <w:vAlign w:val="center"/>
          </w:tcPr>
          <w:p>
            <w:pPr>
              <w:pStyle w:val="12"/>
            </w:pPr>
            <w:r>
              <w:t>发展与改革事务</w:t>
            </w:r>
          </w:p>
        </w:tc>
        <w:tc>
          <w:tcPr>
            <w:tcW w:w="1643" w:type="dxa"/>
            <w:vAlign w:val="center"/>
          </w:tcPr>
          <w:p>
            <w:pPr>
              <w:pStyle w:val="13"/>
            </w:pPr>
            <w:r>
              <w:t>484.98</w:t>
            </w:r>
          </w:p>
        </w:tc>
        <w:tc>
          <w:tcPr>
            <w:tcW w:w="1643" w:type="dxa"/>
            <w:vAlign w:val="center"/>
          </w:tcPr>
          <w:p>
            <w:pPr>
              <w:pStyle w:val="13"/>
            </w:pPr>
            <w:r>
              <w:t>264.98</w:t>
            </w:r>
          </w:p>
        </w:tc>
        <w:tc>
          <w:tcPr>
            <w:tcW w:w="1643" w:type="dxa"/>
            <w:vAlign w:val="center"/>
          </w:tcPr>
          <w:p>
            <w:pPr>
              <w:pStyle w:val="13"/>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2010401</w:t>
            </w:r>
          </w:p>
        </w:tc>
        <w:tc>
          <w:tcPr>
            <w:tcW w:w="1643" w:type="dxa"/>
            <w:vAlign w:val="center"/>
          </w:tcPr>
          <w:p>
            <w:pPr>
              <w:pStyle w:val="12"/>
            </w:pPr>
            <w:r>
              <w:t>行政运行</w:t>
            </w:r>
          </w:p>
        </w:tc>
        <w:tc>
          <w:tcPr>
            <w:tcW w:w="1643" w:type="dxa"/>
            <w:vAlign w:val="center"/>
          </w:tcPr>
          <w:p>
            <w:pPr>
              <w:pStyle w:val="13"/>
            </w:pPr>
            <w:r>
              <w:t>264.98</w:t>
            </w:r>
          </w:p>
        </w:tc>
        <w:tc>
          <w:tcPr>
            <w:tcW w:w="1643" w:type="dxa"/>
            <w:vAlign w:val="center"/>
          </w:tcPr>
          <w:p>
            <w:pPr>
              <w:pStyle w:val="13"/>
            </w:pPr>
            <w:r>
              <w:t>264.98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2010406</w:t>
            </w:r>
          </w:p>
        </w:tc>
        <w:tc>
          <w:tcPr>
            <w:tcW w:w="1643" w:type="dxa"/>
            <w:vAlign w:val="center"/>
          </w:tcPr>
          <w:p>
            <w:pPr>
              <w:pStyle w:val="12"/>
            </w:pPr>
            <w:r>
              <w:t>社会事业发展规划</w:t>
            </w:r>
          </w:p>
        </w:tc>
        <w:tc>
          <w:tcPr>
            <w:tcW w:w="1643" w:type="dxa"/>
            <w:vAlign w:val="center"/>
          </w:tcPr>
          <w:p>
            <w:pPr>
              <w:pStyle w:val="13"/>
            </w:pPr>
            <w:r>
              <w:t>170.00</w:t>
            </w:r>
          </w:p>
        </w:tc>
        <w:tc>
          <w:tcPr>
            <w:tcW w:w="1643" w:type="dxa"/>
            <w:vAlign w:val="center"/>
          </w:tcPr>
          <w:p>
            <w:pPr>
              <w:pStyle w:val="13"/>
            </w:pPr>
          </w:p>
        </w:tc>
        <w:tc>
          <w:tcPr>
            <w:tcW w:w="1643"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2010499</w:t>
            </w:r>
          </w:p>
        </w:tc>
        <w:tc>
          <w:tcPr>
            <w:tcW w:w="1643" w:type="dxa"/>
            <w:vAlign w:val="center"/>
          </w:tcPr>
          <w:p>
            <w:pPr>
              <w:pStyle w:val="12"/>
            </w:pPr>
            <w:r>
              <w:t>其他发展与改革事务支出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20113</w:t>
            </w:r>
          </w:p>
        </w:tc>
        <w:tc>
          <w:tcPr>
            <w:tcW w:w="1643" w:type="dxa"/>
            <w:vAlign w:val="center"/>
          </w:tcPr>
          <w:p>
            <w:pPr>
              <w:pStyle w:val="12"/>
            </w:pPr>
            <w:r>
              <w:t>商贸事务</w:t>
            </w:r>
          </w:p>
        </w:tc>
        <w:tc>
          <w:tcPr>
            <w:tcW w:w="1643" w:type="dxa"/>
            <w:vAlign w:val="center"/>
          </w:tcPr>
          <w:p>
            <w:pPr>
              <w:pStyle w:val="13"/>
            </w:pPr>
            <w:r>
              <w:t>314.24</w:t>
            </w:r>
          </w:p>
        </w:tc>
        <w:tc>
          <w:tcPr>
            <w:tcW w:w="1643" w:type="dxa"/>
            <w:vAlign w:val="center"/>
          </w:tcPr>
          <w:p>
            <w:pPr>
              <w:pStyle w:val="13"/>
            </w:pPr>
          </w:p>
        </w:tc>
        <w:tc>
          <w:tcPr>
            <w:tcW w:w="1643" w:type="dxa"/>
            <w:vAlign w:val="center"/>
          </w:tcPr>
          <w:p>
            <w:pPr>
              <w:pStyle w:val="13"/>
            </w:pPr>
            <w:r>
              <w:t>314.24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2011308</w:t>
            </w:r>
          </w:p>
        </w:tc>
        <w:tc>
          <w:tcPr>
            <w:tcW w:w="1643" w:type="dxa"/>
            <w:vAlign w:val="center"/>
          </w:tcPr>
          <w:p>
            <w:pPr>
              <w:pStyle w:val="12"/>
            </w:pPr>
            <w:r>
              <w:t>招商引资</w:t>
            </w:r>
          </w:p>
        </w:tc>
        <w:tc>
          <w:tcPr>
            <w:tcW w:w="1643" w:type="dxa"/>
            <w:vAlign w:val="center"/>
          </w:tcPr>
          <w:p>
            <w:pPr>
              <w:pStyle w:val="13"/>
            </w:pPr>
            <w:r>
              <w:t>314.24</w:t>
            </w:r>
          </w:p>
        </w:tc>
        <w:tc>
          <w:tcPr>
            <w:tcW w:w="1643" w:type="dxa"/>
            <w:vAlign w:val="center"/>
          </w:tcPr>
          <w:p>
            <w:pPr>
              <w:pStyle w:val="13"/>
            </w:pPr>
          </w:p>
        </w:tc>
        <w:tc>
          <w:tcPr>
            <w:tcW w:w="1643" w:type="dxa"/>
            <w:vAlign w:val="center"/>
          </w:tcPr>
          <w:p>
            <w:pPr>
              <w:pStyle w:val="13"/>
            </w:pPr>
            <w:r>
              <w:t>314.24</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21641"/>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398石家庄市藁城区投资促进局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264.98</w:t>
            </w:r>
          </w:p>
        </w:tc>
        <w:tc>
          <w:tcPr>
            <w:tcW w:w="1643" w:type="dxa"/>
            <w:vAlign w:val="center"/>
          </w:tcPr>
          <w:p>
            <w:pPr>
              <w:pStyle w:val="15"/>
            </w:pPr>
            <w:r>
              <w:t>248.89</w:t>
            </w:r>
          </w:p>
        </w:tc>
        <w:tc>
          <w:tcPr>
            <w:tcW w:w="1643" w:type="dxa"/>
            <w:vAlign w:val="center"/>
          </w:tcPr>
          <w:p>
            <w:pPr>
              <w:pStyle w:val="15"/>
            </w:pPr>
            <w:r>
              <w:t>16.09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248.89</w:t>
            </w:r>
          </w:p>
        </w:tc>
        <w:tc>
          <w:tcPr>
            <w:tcW w:w="1643" w:type="dxa"/>
            <w:vAlign w:val="center"/>
          </w:tcPr>
          <w:p>
            <w:pPr>
              <w:pStyle w:val="13"/>
            </w:pPr>
            <w:r>
              <w:t>248.89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52.83</w:t>
            </w:r>
          </w:p>
        </w:tc>
        <w:tc>
          <w:tcPr>
            <w:tcW w:w="1643" w:type="dxa"/>
            <w:vAlign w:val="center"/>
          </w:tcPr>
          <w:p>
            <w:pPr>
              <w:pStyle w:val="13"/>
            </w:pPr>
            <w:r>
              <w:t>52.83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48.26</w:t>
            </w:r>
          </w:p>
        </w:tc>
        <w:tc>
          <w:tcPr>
            <w:tcW w:w="1643" w:type="dxa"/>
            <w:vAlign w:val="center"/>
          </w:tcPr>
          <w:p>
            <w:pPr>
              <w:pStyle w:val="13"/>
            </w:pPr>
            <w:r>
              <w:t>48.26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1.72</w:t>
            </w:r>
          </w:p>
        </w:tc>
        <w:tc>
          <w:tcPr>
            <w:tcW w:w="1643" w:type="dxa"/>
            <w:vAlign w:val="center"/>
          </w:tcPr>
          <w:p>
            <w:pPr>
              <w:pStyle w:val="13"/>
            </w:pPr>
            <w:r>
              <w:t>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68.24</w:t>
            </w:r>
          </w:p>
        </w:tc>
        <w:tc>
          <w:tcPr>
            <w:tcW w:w="1643" w:type="dxa"/>
            <w:vAlign w:val="center"/>
          </w:tcPr>
          <w:p>
            <w:pPr>
              <w:pStyle w:val="13"/>
            </w:pPr>
            <w:r>
              <w:t>68.24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28.57</w:t>
            </w:r>
          </w:p>
        </w:tc>
        <w:tc>
          <w:tcPr>
            <w:tcW w:w="1643" w:type="dxa"/>
            <w:vAlign w:val="center"/>
          </w:tcPr>
          <w:p>
            <w:pPr>
              <w:pStyle w:val="13"/>
            </w:pPr>
            <w:r>
              <w:t>28.57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9.35</w:t>
            </w:r>
          </w:p>
        </w:tc>
        <w:tc>
          <w:tcPr>
            <w:tcW w:w="1643" w:type="dxa"/>
            <w:vAlign w:val="center"/>
          </w:tcPr>
          <w:p>
            <w:pPr>
              <w:pStyle w:val="13"/>
            </w:pPr>
            <w:r>
              <w:t>9.35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7.24</w:t>
            </w:r>
          </w:p>
        </w:tc>
        <w:tc>
          <w:tcPr>
            <w:tcW w:w="1643" w:type="dxa"/>
            <w:vAlign w:val="center"/>
          </w:tcPr>
          <w:p>
            <w:pPr>
              <w:pStyle w:val="13"/>
            </w:pPr>
            <w:r>
              <w:t>7.24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11.24</w:t>
            </w:r>
          </w:p>
        </w:tc>
        <w:tc>
          <w:tcPr>
            <w:tcW w:w="1643" w:type="dxa"/>
            <w:vAlign w:val="center"/>
          </w:tcPr>
          <w:p>
            <w:pPr>
              <w:pStyle w:val="13"/>
            </w:pPr>
            <w:r>
              <w:t>11.24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21.43</w:t>
            </w:r>
          </w:p>
        </w:tc>
        <w:tc>
          <w:tcPr>
            <w:tcW w:w="1643" w:type="dxa"/>
            <w:vAlign w:val="center"/>
          </w:tcPr>
          <w:p>
            <w:pPr>
              <w:pStyle w:val="13"/>
            </w:pPr>
            <w:r>
              <w:t>21.43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16.09</w:t>
            </w:r>
          </w:p>
        </w:tc>
        <w:tc>
          <w:tcPr>
            <w:tcW w:w="1643" w:type="dxa"/>
            <w:vAlign w:val="center"/>
          </w:tcPr>
          <w:p>
            <w:pPr>
              <w:pStyle w:val="13"/>
            </w:pPr>
          </w:p>
        </w:tc>
        <w:tc>
          <w:tcPr>
            <w:tcW w:w="1643" w:type="dxa"/>
            <w:vAlign w:val="center"/>
          </w:tcPr>
          <w:p>
            <w:pPr>
              <w:pStyle w:val="13"/>
            </w:pPr>
            <w:r>
              <w:t>16.09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6.40</w:t>
            </w:r>
          </w:p>
        </w:tc>
        <w:tc>
          <w:tcPr>
            <w:tcW w:w="1643" w:type="dxa"/>
            <w:vAlign w:val="center"/>
          </w:tcPr>
          <w:p>
            <w:pPr>
              <w:pStyle w:val="13"/>
            </w:pPr>
          </w:p>
        </w:tc>
        <w:tc>
          <w:tcPr>
            <w:tcW w:w="1643" w:type="dxa"/>
            <w:vAlign w:val="center"/>
          </w:tcPr>
          <w:p>
            <w:pPr>
              <w:pStyle w:val="13"/>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3.12</w:t>
            </w:r>
          </w:p>
        </w:tc>
        <w:tc>
          <w:tcPr>
            <w:tcW w:w="1643" w:type="dxa"/>
            <w:vAlign w:val="center"/>
          </w:tcPr>
          <w:p>
            <w:pPr>
              <w:pStyle w:val="13"/>
            </w:pPr>
          </w:p>
        </w:tc>
        <w:tc>
          <w:tcPr>
            <w:tcW w:w="1643" w:type="dxa"/>
            <w:vAlign w:val="center"/>
          </w:tcPr>
          <w:p>
            <w:pPr>
              <w:pStyle w:val="13"/>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1.67</w:t>
            </w:r>
          </w:p>
        </w:tc>
        <w:tc>
          <w:tcPr>
            <w:tcW w:w="1643" w:type="dxa"/>
            <w:vAlign w:val="center"/>
          </w:tcPr>
          <w:p>
            <w:pPr>
              <w:pStyle w:val="13"/>
            </w:pPr>
          </w:p>
        </w:tc>
        <w:tc>
          <w:tcPr>
            <w:tcW w:w="1643" w:type="dxa"/>
            <w:vAlign w:val="center"/>
          </w:tcPr>
          <w:p>
            <w:pPr>
              <w:pStyle w:val="13"/>
            </w:pPr>
            <w:r>
              <w:t>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1.32</w:t>
            </w:r>
          </w:p>
        </w:tc>
        <w:tc>
          <w:tcPr>
            <w:tcW w:w="1643" w:type="dxa"/>
            <w:vAlign w:val="center"/>
          </w:tcPr>
          <w:p>
            <w:pPr>
              <w:pStyle w:val="13"/>
            </w:pPr>
          </w:p>
        </w:tc>
        <w:tc>
          <w:tcPr>
            <w:tcW w:w="1643" w:type="dxa"/>
            <w:vAlign w:val="center"/>
          </w:tcPr>
          <w:p>
            <w:pPr>
              <w:pStyle w:val="13"/>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3.36</w:t>
            </w:r>
          </w:p>
        </w:tc>
        <w:tc>
          <w:tcPr>
            <w:tcW w:w="1643" w:type="dxa"/>
            <w:vAlign w:val="center"/>
          </w:tcPr>
          <w:p>
            <w:pPr>
              <w:pStyle w:val="13"/>
            </w:pPr>
          </w:p>
        </w:tc>
        <w:tc>
          <w:tcPr>
            <w:tcW w:w="1643" w:type="dxa"/>
            <w:vAlign w:val="center"/>
          </w:tcPr>
          <w:p>
            <w:pPr>
              <w:pStyle w:val="13"/>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0.22</w:t>
            </w:r>
          </w:p>
        </w:tc>
        <w:tc>
          <w:tcPr>
            <w:tcW w:w="1643" w:type="dxa"/>
            <w:vAlign w:val="center"/>
          </w:tcPr>
          <w:p>
            <w:pPr>
              <w:pStyle w:val="13"/>
            </w:pPr>
          </w:p>
        </w:tc>
        <w:tc>
          <w:tcPr>
            <w:tcW w:w="1643" w:type="dxa"/>
            <w:vAlign w:val="center"/>
          </w:tcPr>
          <w:p>
            <w:pPr>
              <w:pStyle w:val="13"/>
            </w:pPr>
            <w:r>
              <w:t>0.22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2457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398石家庄市藁城区投资促进局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1"/>
      </w:pPr>
      <w:bookmarkStart w:id="7" w:name="_Toc13281"/>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398石家庄市藁城区投资促进局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8654"/>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398石家庄市藁城区投资促进局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石家庄市藁城区投资促进局2023年部门预算信息公开情况说明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石家庄市藁城区投资促进局2023年部门预算信息公开情况说明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按照《预算法》、《地方预决算公开操作规程》和《关于进一步推进预算公开工作的实施意见》规定，现将石家庄市藁城区投资促进局2023年部门预算公开如下：</w:t>
      </w:r>
    </w:p>
    <w:p>
      <w:pPr>
        <w:spacing w:before="10" w:after="10" w:line="360" w:lineRule="auto"/>
        <w:ind w:firstLine="640"/>
        <w:jc w:val="left"/>
        <w:outlineLvl w:val="2"/>
      </w:pPr>
      <w:bookmarkStart w:id="9" w:name="_Toc902"/>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部门职责：负责拟定全区招商引资年度计划；负责机关事务工作，完成区委、区政府交办的其他任务。负责全区招商引资、内外资投资管理、经济协作、研究拟订投资促进政策，承担区投资促进工作领导小组日常工作；负责建立投资促进工作体系、工作机制，对利用国内外资金和经济技术合作进行统计、汇总、分析；负责促进资金、技术、人才、项目引进和产业对接，争取招商引资相关政策、资金和项目支持；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负责引进央企资金、项目及各种合作，促进合作项目的建设，负责为央企服务工作；负责外商投资项目建设的跟踪、协调和服务工作，负责引进资金到位统计工作；负责指导全区经济技术交流与区域经济技术合作工作；负责区域间资金、项目、人才、科研成果及产业合作工作，开展与重点大专院校、科研院所合作；负责科研合作开发资金的申报和监督管理工作。负责贯彻落实投资促进方面地方性法规、政府规章，承担区投资促进工作领导小组日常工作；负责国（境）内外重大投资促进活动的谋划、方案制定和组织实施；牵头组织专业性、行业性投资促进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指导、协调和配合开发区（园区）建设、招商引资和体制、机制创新，负责对开发区（园区）招商引资工作的调度，协助做好开发区（园区）绩效评估、考核认定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石家庄市藁城区投资促进局本级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360" w:lineRule="auto"/>
        <w:ind w:firstLine="640"/>
        <w:jc w:val="left"/>
        <w:outlineLvl w:val="2"/>
      </w:pPr>
      <w:bookmarkStart w:id="10" w:name="_Toc17109"/>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按照预算管理有关规定，目前我省部门预算的编制实行综合预算管理，即全部收入和支出都反映在预算中。石家庄市藁城区投资促进局机关及所属事业单位的收支包含在部门预算中。</w:t>
      </w:r>
    </w:p>
    <w:p>
      <w:pPr>
        <w:pStyle w:val="18"/>
      </w:pPr>
      <w:r>
        <w:t>1、收入说明</w:t>
      </w:r>
    </w:p>
    <w:p>
      <w:pPr>
        <w:pStyle w:val="18"/>
      </w:pPr>
      <w:r>
        <w:t>反映本部门当年全部收入。2023年预算收入 799.23万元，其中：一般公共预算收入799.23万元，基金预算收入0万元，财政专户核拨收入0万元，其他来源收入0万元。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部门预算中支出预算的总体情况。2023年部门支出预算为799.23万元，其中基本支出264.98万元，包括人员经费248.89万元和日常公用经费16.09万元；项目支出534.24万元，主要为外商投资企业奖励资金314.24万元，招商工作经费170万元，招商推介活动经费50万元；其他支出0万元。</w:t>
      </w:r>
    </w:p>
    <w:p>
      <w:pPr>
        <w:pStyle w:val="18"/>
      </w:pPr>
      <w:r>
        <w:t>3、比上年增减情况</w:t>
      </w:r>
    </w:p>
    <w:p>
      <w:pPr>
        <w:pStyle w:val="18"/>
      </w:pPr>
      <w:r>
        <w:t>无与上年度增减情况对比，原因是2023年部门预算新成立单位。</w:t>
      </w:r>
    </w:p>
    <w:p>
      <w:pPr>
        <w:spacing w:before="10" w:after="10" w:line="360" w:lineRule="auto"/>
        <w:ind w:firstLine="640"/>
        <w:jc w:val="left"/>
        <w:outlineLvl w:val="2"/>
      </w:pPr>
      <w:bookmarkStart w:id="11" w:name="_Toc10269"/>
      <w:r>
        <w:rPr>
          <w:rFonts w:ascii="黑体" w:hAnsi="黑体" w:eastAsia="黑体" w:cs="黑体"/>
          <w:color w:val="000000"/>
          <w:sz w:val="32"/>
        </w:rPr>
        <w:t>三、机关运行经费安排情况</w:t>
      </w:r>
      <w:bookmarkEnd w:id="11"/>
    </w:p>
    <w:p>
      <w:pPr>
        <w:pStyle w:val="19"/>
      </w:pPr>
      <w:r>
        <w:t>2023年，部门机关运行经费共计安排16.09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20891"/>
      <w:r>
        <w:rPr>
          <w:rFonts w:ascii="黑体" w:hAnsi="黑体" w:eastAsia="黑体" w:cs="黑体"/>
          <w:color w:val="000000"/>
          <w:sz w:val="32"/>
        </w:rPr>
        <w:t>四、财政拨款“三公”经费预算情况及增减变化原因</w:t>
      </w:r>
      <w:bookmarkEnd w:id="12"/>
    </w:p>
    <w:p>
      <w:pPr>
        <w:pStyle w:val="20"/>
      </w:pPr>
      <w:r>
        <w:t>2023年，我部门财政拨款“三公”经费预算安排0万元，其中：因公出国（境）费0万元；公务用车购置及运维费0万元（其中：公务用车购置费0万元，无增减变化；公务用车运行维护费0万元；公务接待费0万元。“三公”经费与上年相比增加0万元。</w:t>
      </w:r>
    </w:p>
    <w:p>
      <w:pPr>
        <w:spacing w:before="10" w:after="10" w:line="360" w:lineRule="auto"/>
        <w:ind w:firstLine="640"/>
        <w:jc w:val="left"/>
        <w:outlineLvl w:val="2"/>
      </w:pPr>
      <w:bookmarkStart w:id="13" w:name="_Toc16468"/>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p>
    <w:p>
      <w:pPr>
        <w:pStyle w:val="21"/>
      </w:pPr>
      <w:r>
        <w:t>一、总体绩效目标</w:t>
      </w:r>
    </w:p>
    <w:p>
      <w:pPr>
        <w:pStyle w:val="21"/>
      </w:pPr>
      <w:r>
        <w:t>根据藁城区委全面深化改革委员会关于五大领域改革内容和区委主要领导批示指示精神，藁城区投促局主要承担招商引资创新路径、创新机制等招商体制改革任务。根据藁城区招商改革工作实际，我局制定了《藁城区关于开展全国重点经济区域驻点招商工作的实施方案》和《藁城区招商体制改革工作方案》，建立了拓宽招商新路径的“百渠工程”，谋划全国经济重点区域设立招商分局（招商合作中心），谋划绘制招商思维导图等一系列重大改革措施。</w:t>
      </w:r>
    </w:p>
    <w:p>
      <w:pPr>
        <w:pStyle w:val="21"/>
      </w:pPr>
      <w:r>
        <w:t>通过改革，将对我区投资促进、招商引资工作外延内涵进行扩展和充实，对于推动全区产业升级，不断优化营商环境，促进经济发展具有重要意义。</w:t>
      </w:r>
    </w:p>
    <w:p>
      <w:pPr>
        <w:pStyle w:val="21"/>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二、分项绩效目标</w:t>
      </w:r>
    </w:p>
    <w:p>
      <w:pPr>
        <w:pStyle w:val="22"/>
      </w:pPr>
      <w:r>
        <w:t>（一）保障招商工作高质量开展</w:t>
      </w:r>
    </w:p>
    <w:p>
      <w:pPr>
        <w:pStyle w:val="22"/>
      </w:pPr>
      <w:r>
        <w:t>绩效目标：设立招商分局，提升招商工作水平。</w:t>
      </w:r>
    </w:p>
    <w:p>
      <w:pPr>
        <w:pStyle w:val="22"/>
      </w:pPr>
      <w:r>
        <w:t>绩效指标：完成年初招商计划的比例。</w:t>
      </w:r>
    </w:p>
    <w:p>
      <w:pPr>
        <w:pStyle w:val="22"/>
      </w:pPr>
      <w:r>
        <w:t>（二）确保招商推介活动顺利开展</w:t>
      </w:r>
    </w:p>
    <w:p>
      <w:pPr>
        <w:pStyle w:val="22"/>
      </w:pPr>
      <w:r>
        <w:t>绩效目标：通过招商推介活动，吸引更多投资者。</w:t>
      </w:r>
    </w:p>
    <w:p>
      <w:pPr>
        <w:pStyle w:val="22"/>
      </w:pPr>
      <w:r>
        <w:t>绩效指标：完成年初参加或者举办招商活动2次。</w:t>
      </w:r>
    </w:p>
    <w:p>
      <w:pPr>
        <w:pStyle w:val="22"/>
      </w:pPr>
      <w:r>
        <w:t>（三）实施外商投资企业奖励政策</w:t>
      </w:r>
    </w:p>
    <w:p>
      <w:pPr>
        <w:pStyle w:val="22"/>
      </w:pPr>
      <w:r>
        <w:t>绩效目标：落实奖励政策，促进外资高质量发展。</w:t>
      </w:r>
    </w:p>
    <w:p>
      <w:pPr>
        <w:pStyle w:val="22"/>
      </w:pPr>
      <w:r>
        <w:t>绩效指标：对年度实际利用外资达到市级奖励政策标准的外资企业给与奖励。</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三、工作保障措施</w:t>
      </w:r>
    </w:p>
    <w:p>
      <w:pPr>
        <w:pStyle w:val="23"/>
      </w:pPr>
      <w:r>
        <w:t>（一)完善制度建设。坚持周例会制度，无特殊情况每周一上午召开周例会，周五下午进行周总结，及时商议解决工作中遇到的难点问题，安排部署阶段性重点工作。同时加强制度建设，建立了“三重一大”议事制度，考勤、值班、财务管理等机关内部管理制度，形成以制度管人、用制度管权、按制度办事的良好机制。</w:t>
      </w:r>
    </w:p>
    <w:p>
      <w:pPr>
        <w:pStyle w:val="23"/>
      </w:pPr>
      <w:r>
        <w:t>（二)加强支出管理。通过优化支出结构、编细编实预算、加快履行政府采购手续、尽快启动项目、及时支付资金、6月底前细化代编预算、按规定及时下达资金等多种措施，确保支出进度达标。</w:t>
      </w:r>
    </w:p>
    <w:p>
      <w:pPr>
        <w:pStyle w:val="23"/>
      </w:pPr>
      <w:r>
        <w:t>（三)加强绩效运行监控。按要求开展绩效运行监控，发现问题及时采取措施，确保绩效目标如期保质实现。</w:t>
      </w:r>
    </w:p>
    <w:p>
      <w:pPr>
        <w:pStyle w:val="23"/>
      </w:pPr>
      <w:r>
        <w:t>（四)做好绩效自评。按要求开展年度部门预算绩效自评和重点评价工作，对评价中发现的问题及时整改，调整优化支出结构，提高财政资金使用效益。</w:t>
      </w:r>
    </w:p>
    <w:p>
      <w:pPr>
        <w:pStyle w:val="23"/>
      </w:pPr>
      <w:r>
        <w:t>（五)规范财务资产管理。在经费的使用过程中，严格执行财务管理制度、财务处理及时、会计核算规范。每项招商活动由区委区政府统一安排部署，我局拟定活动方案，经区委区政府批复执行。活动各项工作由局分管人员具体负责，经费使用由办公室统一安排，活动一切事务经领导班子通过方可执行。级级负责，层层审核，确保各项招商活动的有效开展。</w:t>
      </w:r>
    </w:p>
    <w:p>
      <w:pPr>
        <w:pStyle w:val="23"/>
      </w:pPr>
      <w:r>
        <w:t>（六)加强内部监督。严格遵循我局的内控流程及各项管理制度，使经费的使用做到合法合规，不超标，不浪费。对绩效运行情况、重大支出决策、对外投资、资产处置及其他重要经济业务事项的决策和执行进行督导，对会计资料进行内部审计，并配合做好审计、财政监督等外部监督工作，确保财政资金安全有效。</w:t>
      </w:r>
    </w:p>
    <w:p>
      <w:pPr>
        <w:pStyle w:val="23"/>
        <w:sectPr>
          <w:pgSz w:w="16840" w:h="11900" w:orient="landscape"/>
          <w:pgMar w:top="1361" w:right="1020" w:bottom="1361" w:left="1020" w:header="720" w:footer="720" w:gutter="0"/>
        </w:sectPr>
      </w:pPr>
      <w:r>
        <w:t>（七)加强宣传培训调研等。加强对财务工作人员培训，提高我局业务素质；加强与财政局等其他部门的沟通与交流，不断优化我局财政资金配置，提高资金使用效益；在局内开展财务制度宣传，强化全局干部职工预算绩效管理意识，促进预算绩效管理水平进一步提升。</w:t>
      </w:r>
    </w:p>
    <w:p>
      <w:pPr>
        <w:spacing w:before="0" w:after="0" w:line="240" w:lineRule="auto"/>
        <w:ind w:firstLine="640" w:firstLineChars="20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1、外商投资企业奖励资金绩效目标表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rPr>
                <w:rFonts w:hint="default" w:eastAsia="方正书宋_GBK"/>
                <w:lang w:val="en-US" w:eastAsia="zh-CN"/>
              </w:rPr>
            </w:pPr>
            <w:r>
              <w:t>1.</w:t>
            </w:r>
            <w:bookmarkStart w:id="18" w:name="_GoBack"/>
            <w:r>
              <w:rPr>
                <w:rFonts w:hint="eastAsia"/>
                <w:lang w:val="en-US" w:eastAsia="zh-CN"/>
              </w:rPr>
              <w:t>进一步扩大利用外资规模，促进利用外资高质量发展</w:t>
            </w:r>
            <w:bookmarkEnd w:id="18"/>
            <w:r>
              <w:rPr>
                <w:rFonts w:hint="eastAsia"/>
                <w:lang w:val="en-US" w:eastAsia="zh-CN"/>
              </w:rP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奖励外商投资企业数量</w:t>
            </w:r>
          </w:p>
        </w:tc>
        <w:tc>
          <w:tcPr>
            <w:tcW w:w="2466" w:type="dxa"/>
            <w:vAlign w:val="center"/>
          </w:tcPr>
          <w:p>
            <w:pPr>
              <w:pStyle w:val="12"/>
            </w:pPr>
            <w:r>
              <w:t>奖励外商投资企业数量</w:t>
            </w:r>
          </w:p>
        </w:tc>
        <w:tc>
          <w:tcPr>
            <w:tcW w:w="2466" w:type="dxa"/>
            <w:vAlign w:val="center"/>
          </w:tcPr>
          <w:p>
            <w:pPr>
              <w:pStyle w:val="12"/>
            </w:pPr>
            <w:r>
              <w:t>≥2</w:t>
            </w:r>
          </w:p>
        </w:tc>
        <w:tc>
          <w:tcPr>
            <w:tcW w:w="2466" w:type="dxa"/>
            <w:vAlign w:val="center"/>
          </w:tcPr>
          <w:p>
            <w:pPr>
              <w:pStyle w:val="12"/>
            </w:pPr>
            <w:r>
              <w:t>2022年参考数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受奖励企业合规率</w:t>
            </w:r>
          </w:p>
        </w:tc>
        <w:tc>
          <w:tcPr>
            <w:tcW w:w="2466" w:type="dxa"/>
            <w:vAlign w:val="center"/>
          </w:tcPr>
          <w:p>
            <w:pPr>
              <w:pStyle w:val="12"/>
            </w:pPr>
            <w:r>
              <w:t>受奖励企业合规率</w:t>
            </w:r>
          </w:p>
        </w:tc>
        <w:tc>
          <w:tcPr>
            <w:tcW w:w="2466" w:type="dxa"/>
            <w:vAlign w:val="center"/>
          </w:tcPr>
          <w:p>
            <w:pPr>
              <w:pStyle w:val="12"/>
            </w:pPr>
            <w:r>
              <w:t>100</w:t>
            </w:r>
          </w:p>
        </w:tc>
        <w:tc>
          <w:tcPr>
            <w:tcW w:w="2466" w:type="dxa"/>
            <w:vAlign w:val="center"/>
          </w:tcPr>
          <w:p>
            <w:pPr>
              <w:pStyle w:val="12"/>
            </w:pPr>
            <w:r>
              <w:t>2022年参考数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奖励支持企业时限</w:t>
            </w:r>
          </w:p>
        </w:tc>
        <w:tc>
          <w:tcPr>
            <w:tcW w:w="2466" w:type="dxa"/>
            <w:vAlign w:val="center"/>
          </w:tcPr>
          <w:p>
            <w:pPr>
              <w:pStyle w:val="12"/>
            </w:pPr>
            <w:r>
              <w:t>奖励支持企业时限</w:t>
            </w:r>
          </w:p>
        </w:tc>
        <w:tc>
          <w:tcPr>
            <w:tcW w:w="2466" w:type="dxa"/>
            <w:vAlign w:val="center"/>
          </w:tcPr>
          <w:p>
            <w:pPr>
              <w:pStyle w:val="12"/>
            </w:pPr>
            <w:r>
              <w:t>6月底前</w:t>
            </w:r>
          </w:p>
        </w:tc>
        <w:tc>
          <w:tcPr>
            <w:tcW w:w="246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奖励支持企业上限额</w:t>
            </w:r>
          </w:p>
        </w:tc>
        <w:tc>
          <w:tcPr>
            <w:tcW w:w="2466" w:type="dxa"/>
            <w:vAlign w:val="center"/>
          </w:tcPr>
          <w:p>
            <w:pPr>
              <w:pStyle w:val="12"/>
            </w:pPr>
            <w:r>
              <w:t>奖励支持企业上限额</w:t>
            </w:r>
          </w:p>
        </w:tc>
        <w:tc>
          <w:tcPr>
            <w:tcW w:w="2466" w:type="dxa"/>
            <w:vAlign w:val="center"/>
          </w:tcPr>
          <w:p>
            <w:pPr>
              <w:pStyle w:val="12"/>
            </w:pPr>
            <w:r>
              <w:t>小于等于314.2425万元</w:t>
            </w:r>
          </w:p>
        </w:tc>
        <w:tc>
          <w:tcPr>
            <w:tcW w:w="2466" w:type="dxa"/>
            <w:vAlign w:val="center"/>
          </w:tcPr>
          <w:p>
            <w:pPr>
              <w:pStyle w:val="12"/>
            </w:pPr>
            <w:r>
              <w:t>2022年参考数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全区实际使用外资完成额</w:t>
            </w:r>
          </w:p>
        </w:tc>
        <w:tc>
          <w:tcPr>
            <w:tcW w:w="2466" w:type="dxa"/>
            <w:vAlign w:val="center"/>
          </w:tcPr>
          <w:p>
            <w:pPr>
              <w:pStyle w:val="12"/>
            </w:pPr>
            <w:r>
              <w:t>全区实际使用外资完成额</w:t>
            </w:r>
          </w:p>
        </w:tc>
        <w:tc>
          <w:tcPr>
            <w:tcW w:w="2466" w:type="dxa"/>
            <w:vAlign w:val="center"/>
          </w:tcPr>
          <w:p>
            <w:pPr>
              <w:pStyle w:val="12"/>
            </w:pPr>
            <w:r>
              <w:t>完成任务目标</w:t>
            </w:r>
          </w:p>
        </w:tc>
        <w:tc>
          <w:tcPr>
            <w:tcW w:w="2466" w:type="dxa"/>
            <w:vAlign w:val="center"/>
          </w:tcPr>
          <w:p>
            <w:pPr>
              <w:pStyle w:val="12"/>
            </w:pPr>
            <w:r>
              <w:t>2022年参考数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稳外资政策知晓度</w:t>
            </w:r>
          </w:p>
        </w:tc>
        <w:tc>
          <w:tcPr>
            <w:tcW w:w="2466" w:type="dxa"/>
            <w:vAlign w:val="center"/>
          </w:tcPr>
          <w:p>
            <w:pPr>
              <w:pStyle w:val="12"/>
            </w:pPr>
            <w:r>
              <w:t>全区外资企业对稳外资政策知晓度</w:t>
            </w:r>
          </w:p>
        </w:tc>
        <w:tc>
          <w:tcPr>
            <w:tcW w:w="2466" w:type="dxa"/>
            <w:vAlign w:val="center"/>
          </w:tcPr>
          <w:p>
            <w:pPr>
              <w:pStyle w:val="12"/>
            </w:pPr>
            <w:r>
              <w:t>≥90</w:t>
            </w:r>
          </w:p>
        </w:tc>
        <w:tc>
          <w:tcPr>
            <w:tcW w:w="2466" w:type="dxa"/>
            <w:vAlign w:val="center"/>
          </w:tcPr>
          <w:p>
            <w:pPr>
              <w:pStyle w:val="12"/>
            </w:pPr>
            <w:r>
              <w:t>2022年参考数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受奖励企业满意度</w:t>
            </w:r>
          </w:p>
        </w:tc>
        <w:tc>
          <w:tcPr>
            <w:tcW w:w="2466" w:type="dxa"/>
            <w:vAlign w:val="center"/>
          </w:tcPr>
          <w:p>
            <w:pPr>
              <w:pStyle w:val="12"/>
            </w:pPr>
            <w:r>
              <w:t>受奖励企业满意度</w:t>
            </w:r>
          </w:p>
        </w:tc>
        <w:tc>
          <w:tcPr>
            <w:tcW w:w="2466" w:type="dxa"/>
            <w:vAlign w:val="center"/>
          </w:tcPr>
          <w:p>
            <w:pPr>
              <w:pStyle w:val="12"/>
            </w:pPr>
            <w:r>
              <w:t>100</w:t>
            </w:r>
          </w:p>
        </w:tc>
        <w:tc>
          <w:tcPr>
            <w:tcW w:w="246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2、招商工作经费绩效目标表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1.目标内容</w:t>
            </w:r>
            <w:r>
              <w:rPr>
                <w:rFonts w:hint="eastAsia"/>
                <w:lang w:val="en-US" w:eastAsia="zh-CN"/>
              </w:rPr>
              <w:t xml:space="preserve">  </w:t>
            </w:r>
            <w:r>
              <w:rPr>
                <w:rFonts w:hint="eastAsia"/>
              </w:rPr>
              <w:t>通过开展招商工作，促进我区经济发展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举办招商引资活动数量</w:t>
            </w:r>
          </w:p>
        </w:tc>
        <w:tc>
          <w:tcPr>
            <w:tcW w:w="2466" w:type="dxa"/>
            <w:vAlign w:val="center"/>
          </w:tcPr>
          <w:p>
            <w:pPr>
              <w:pStyle w:val="12"/>
            </w:pPr>
            <w:r>
              <w:t>举办招商引资活动数量</w:t>
            </w:r>
          </w:p>
        </w:tc>
        <w:tc>
          <w:tcPr>
            <w:tcW w:w="2466" w:type="dxa"/>
            <w:vAlign w:val="center"/>
          </w:tcPr>
          <w:p>
            <w:pPr>
              <w:pStyle w:val="12"/>
            </w:pPr>
            <w:r>
              <w:t>≥95%</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招商活动的签约项目个数</w:t>
            </w:r>
          </w:p>
        </w:tc>
        <w:tc>
          <w:tcPr>
            <w:tcW w:w="2466" w:type="dxa"/>
            <w:vAlign w:val="center"/>
          </w:tcPr>
          <w:p>
            <w:pPr>
              <w:pStyle w:val="12"/>
            </w:pPr>
            <w:r>
              <w:t>招商活动的签约项目个数</w:t>
            </w:r>
          </w:p>
        </w:tc>
        <w:tc>
          <w:tcPr>
            <w:tcW w:w="2466" w:type="dxa"/>
            <w:vAlign w:val="center"/>
          </w:tcPr>
          <w:p>
            <w:pPr>
              <w:pStyle w:val="12"/>
            </w:pPr>
            <w:r>
              <w:t>≥95%</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各项任务完成及时率（%）</w:t>
            </w:r>
          </w:p>
        </w:tc>
        <w:tc>
          <w:tcPr>
            <w:tcW w:w="2466" w:type="dxa"/>
            <w:vAlign w:val="center"/>
          </w:tcPr>
          <w:p>
            <w:pPr>
              <w:pStyle w:val="12"/>
            </w:pPr>
            <w:r>
              <w:t>各项任务完成及时率（%）</w:t>
            </w:r>
          </w:p>
        </w:tc>
        <w:tc>
          <w:tcPr>
            <w:tcW w:w="2466" w:type="dxa"/>
            <w:vAlign w:val="center"/>
          </w:tcPr>
          <w:p>
            <w:pPr>
              <w:pStyle w:val="12"/>
            </w:pPr>
            <w:r>
              <w:t>≥95%</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预算控制数</w:t>
            </w:r>
          </w:p>
        </w:tc>
        <w:tc>
          <w:tcPr>
            <w:tcW w:w="2466" w:type="dxa"/>
            <w:vAlign w:val="center"/>
          </w:tcPr>
          <w:p>
            <w:pPr>
              <w:pStyle w:val="12"/>
            </w:pPr>
            <w:r>
              <w:t>≤170万元</w:t>
            </w:r>
          </w:p>
        </w:tc>
        <w:tc>
          <w:tcPr>
            <w:tcW w:w="246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对经济发展的促进作用</w:t>
            </w:r>
          </w:p>
        </w:tc>
        <w:tc>
          <w:tcPr>
            <w:tcW w:w="2466" w:type="dxa"/>
            <w:vAlign w:val="center"/>
          </w:tcPr>
          <w:p>
            <w:pPr>
              <w:pStyle w:val="12"/>
            </w:pPr>
            <w:r>
              <w:t>对经济发展的促进作用</w:t>
            </w:r>
          </w:p>
        </w:tc>
        <w:tc>
          <w:tcPr>
            <w:tcW w:w="2466" w:type="dxa"/>
            <w:vAlign w:val="center"/>
          </w:tcPr>
          <w:p>
            <w:pPr>
              <w:pStyle w:val="12"/>
            </w:pPr>
            <w:r>
              <w:t>促进经济发展</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≥98</w:t>
            </w:r>
          </w:p>
        </w:tc>
        <w:tc>
          <w:tcPr>
            <w:tcW w:w="246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3、招商推介活动经费绩效目标表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w:t>
            </w:r>
            <w:r>
              <w:rPr>
                <w:rFonts w:hint="eastAsia"/>
              </w:rPr>
              <w:t>举办招商推介活动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开展主题活动次数</w:t>
            </w:r>
          </w:p>
        </w:tc>
        <w:tc>
          <w:tcPr>
            <w:tcW w:w="2466" w:type="dxa"/>
            <w:vAlign w:val="center"/>
          </w:tcPr>
          <w:p>
            <w:pPr>
              <w:pStyle w:val="12"/>
            </w:pPr>
            <w:r>
              <w:t>开展主题活动次数</w:t>
            </w:r>
          </w:p>
        </w:tc>
        <w:tc>
          <w:tcPr>
            <w:tcW w:w="2466" w:type="dxa"/>
            <w:vAlign w:val="center"/>
          </w:tcPr>
          <w:p>
            <w:pPr>
              <w:pStyle w:val="12"/>
            </w:pPr>
            <w:r>
              <w:t>≥4次</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招商活动参与率</w:t>
            </w:r>
          </w:p>
        </w:tc>
        <w:tc>
          <w:tcPr>
            <w:tcW w:w="2466" w:type="dxa"/>
            <w:vAlign w:val="center"/>
          </w:tcPr>
          <w:p>
            <w:pPr>
              <w:pStyle w:val="12"/>
            </w:pPr>
            <w:r>
              <w:t>招商活动参与率</w:t>
            </w:r>
          </w:p>
        </w:tc>
        <w:tc>
          <w:tcPr>
            <w:tcW w:w="2466" w:type="dxa"/>
            <w:vAlign w:val="center"/>
          </w:tcPr>
          <w:p>
            <w:pPr>
              <w:pStyle w:val="12"/>
            </w:pPr>
            <w:r>
              <w:t>≥95%</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评定工作完成情况</w:t>
            </w:r>
          </w:p>
        </w:tc>
        <w:tc>
          <w:tcPr>
            <w:tcW w:w="2466" w:type="dxa"/>
            <w:vAlign w:val="center"/>
          </w:tcPr>
          <w:p>
            <w:pPr>
              <w:pStyle w:val="12"/>
            </w:pPr>
            <w:r>
              <w:t>评定工作完成情况</w:t>
            </w:r>
          </w:p>
        </w:tc>
        <w:tc>
          <w:tcPr>
            <w:tcW w:w="2466" w:type="dxa"/>
            <w:vAlign w:val="center"/>
          </w:tcPr>
          <w:p>
            <w:pPr>
              <w:pStyle w:val="12"/>
            </w:pPr>
            <w:r>
              <w:t>季末或者计划内完成情况</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预算控制数</w:t>
            </w:r>
          </w:p>
        </w:tc>
        <w:tc>
          <w:tcPr>
            <w:tcW w:w="2466" w:type="dxa"/>
            <w:vAlign w:val="center"/>
          </w:tcPr>
          <w:p>
            <w:pPr>
              <w:pStyle w:val="12"/>
            </w:pPr>
            <w:r>
              <w:t>≤50万元</w:t>
            </w:r>
          </w:p>
        </w:tc>
        <w:tc>
          <w:tcPr>
            <w:tcW w:w="246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对经济发展的促进作用</w:t>
            </w:r>
          </w:p>
        </w:tc>
        <w:tc>
          <w:tcPr>
            <w:tcW w:w="2466" w:type="dxa"/>
            <w:vAlign w:val="center"/>
          </w:tcPr>
          <w:p>
            <w:pPr>
              <w:pStyle w:val="12"/>
            </w:pPr>
            <w:r>
              <w:t>对经济发展的促进作用</w:t>
            </w:r>
          </w:p>
        </w:tc>
        <w:tc>
          <w:tcPr>
            <w:tcW w:w="2466" w:type="dxa"/>
            <w:vAlign w:val="center"/>
          </w:tcPr>
          <w:p>
            <w:pPr>
              <w:pStyle w:val="12"/>
            </w:pPr>
            <w:r>
              <w:t>较上年有提升</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社会公众或服务对象的满意程度</w:t>
            </w:r>
          </w:p>
        </w:tc>
        <w:tc>
          <w:tcPr>
            <w:tcW w:w="2466" w:type="dxa"/>
            <w:vAlign w:val="center"/>
          </w:tcPr>
          <w:p>
            <w:pPr>
              <w:pStyle w:val="12"/>
            </w:pPr>
            <w:r>
              <w:t>社会公众或服务对象的满意程度</w:t>
            </w:r>
          </w:p>
        </w:tc>
        <w:tc>
          <w:tcPr>
            <w:tcW w:w="2466" w:type="dxa"/>
            <w:vAlign w:val="center"/>
          </w:tcPr>
          <w:p>
            <w:pPr>
              <w:pStyle w:val="12"/>
            </w:pPr>
            <w:r>
              <w:t>≥98%</w:t>
            </w:r>
          </w:p>
        </w:tc>
        <w:tc>
          <w:tcPr>
            <w:tcW w:w="2466" w:type="dxa"/>
            <w:vAlign w:val="center"/>
          </w:tcPr>
          <w:p>
            <w:pPr>
              <w:pStyle w:val="12"/>
            </w:pPr>
            <w:r>
              <w:t>是否达到绩效指标值</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3324"/>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2023年，石家庄市藁城区投资促进局安排政府采购预算0.00万元。具体内容见下表。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398石家庄市藁城区投资促进局</w:t>
            </w:r>
          </w:p>
        </w:tc>
        <w:tc>
          <w:tcPr>
            <w:tcW w:w="831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3383"/>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石家庄市藁城区投资促进局（含所属单位）上年末固定资产金额为0.00万元（详见下表）。本年度拟购置固定资产总额为0.00万元，已按要求列入政府采购预算，详见政府采购预算表。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398石家庄市藁城区投资促进局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2015"/>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23567"/>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EE6E4D"/>
    <w:rsid w:val="183F46E6"/>
    <w:rsid w:val="1991367B"/>
    <w:rsid w:val="28142669"/>
    <w:rsid w:val="73055B6F"/>
    <w:rsid w:val="796F2E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2023-09-20T02:33:00Z</dcterms:created>
  <dc:creator>Lenovo</dc:creator>
  <cp:lastModifiedBy>lenovo</cp:lastModifiedBy>
  <dcterms:modified xsi:type="dcterms:W3CDTF">2024-09-18T08:27:14Z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