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一、石家庄市藁城区医疗保障局本级收支预算</w:t>
      </w:r>
      <w:r>
        <w:tab/>
      </w:r>
      <w:r>
        <w:fldChar w:fldCharType="begin"/>
      </w:r>
      <w:r>
        <w:instrText xml:space="preserve">PAGEREF _Toc_4_4_0000000019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bookmarkStart w:id="0" w:name="_Toc_4_4_0000000019"/>
      <w:r>
        <w:rPr>
          <w:rFonts w:ascii="方正小标宋_GBK" w:hAnsi="方正小标宋_GBK" w:eastAsia="方正小标宋_GBK" w:cs="方正小标宋_GBK"/>
          <w:b w:val="0"/>
          <w:color w:val="000000"/>
          <w:sz w:val="44"/>
        </w:rPr>
        <w:t>一、石家庄市藁城区医疗保障局本级收支预算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11537.98</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11537.98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11537.98</w:t>
            </w:r>
          </w:p>
        </w:tc>
        <w:tc>
          <w:tcPr>
            <w:tcW w:w="2959" w:type="dxa"/>
            <w:vAlign w:val="center"/>
          </w:tcPr>
          <w:p>
            <w:pPr>
              <w:pStyle w:val="16"/>
            </w:pPr>
            <w:r>
              <w:t>本年支出合计</w:t>
            </w:r>
          </w:p>
        </w:tc>
        <w:tc>
          <w:tcPr>
            <w:tcW w:w="2959" w:type="dxa"/>
            <w:vAlign w:val="center"/>
          </w:tcPr>
          <w:p>
            <w:pPr>
              <w:pStyle w:val="17"/>
            </w:pPr>
            <w:r>
              <w:t>11537.98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11537.98</w:t>
            </w:r>
          </w:p>
        </w:tc>
        <w:tc>
          <w:tcPr>
            <w:tcW w:w="2959" w:type="dxa"/>
            <w:vAlign w:val="center"/>
          </w:tcPr>
          <w:p>
            <w:pPr>
              <w:pStyle w:val="16"/>
            </w:pPr>
            <w:r>
              <w:t>支出总计</w:t>
            </w:r>
          </w:p>
        </w:tc>
        <w:tc>
          <w:tcPr>
            <w:tcW w:w="2959" w:type="dxa"/>
            <w:vAlign w:val="center"/>
          </w:tcPr>
          <w:p>
            <w:pPr>
              <w:pStyle w:val="17"/>
            </w:pPr>
            <w:r>
              <w:t>11537.98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11537.98</w:t>
            </w:r>
          </w:p>
        </w:tc>
        <w:tc>
          <w:tcPr>
            <w:tcW w:w="758" w:type="dxa"/>
            <w:vAlign w:val="center"/>
          </w:tcPr>
          <w:p>
            <w:pPr>
              <w:pStyle w:val="17"/>
            </w:pPr>
            <w:r>
              <w:t>11537.98</w:t>
            </w:r>
          </w:p>
        </w:tc>
        <w:tc>
          <w:tcPr>
            <w:tcW w:w="758" w:type="dxa"/>
            <w:vAlign w:val="center"/>
          </w:tcPr>
          <w:p>
            <w:pPr>
              <w:pStyle w:val="17"/>
            </w:pPr>
            <w:r>
              <w:t>11537.98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11537.98</w:t>
            </w:r>
          </w:p>
        </w:tc>
        <w:tc>
          <w:tcPr>
            <w:tcW w:w="758" w:type="dxa"/>
            <w:vAlign w:val="center"/>
          </w:tcPr>
          <w:p>
            <w:pPr>
              <w:pStyle w:val="13"/>
            </w:pPr>
            <w:r>
              <w:t>11537.98</w:t>
            </w:r>
          </w:p>
        </w:tc>
        <w:tc>
          <w:tcPr>
            <w:tcW w:w="758" w:type="dxa"/>
            <w:vAlign w:val="center"/>
          </w:tcPr>
          <w:p>
            <w:pPr>
              <w:pStyle w:val="13"/>
            </w:pPr>
            <w:r>
              <w:t>11537.98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21012</w:t>
            </w:r>
          </w:p>
        </w:tc>
        <w:tc>
          <w:tcPr>
            <w:tcW w:w="758" w:type="dxa"/>
            <w:vAlign w:val="center"/>
          </w:tcPr>
          <w:p>
            <w:pPr>
              <w:pStyle w:val="14"/>
            </w:pPr>
            <w:r>
              <w:t>财政对基本医疗保险基金的补助</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2101202</w:t>
            </w:r>
          </w:p>
        </w:tc>
        <w:tc>
          <w:tcPr>
            <w:tcW w:w="758" w:type="dxa"/>
            <w:vAlign w:val="center"/>
          </w:tcPr>
          <w:p>
            <w:pPr>
              <w:pStyle w:val="14"/>
            </w:pPr>
            <w:r>
              <w:t>财政对城乡居民基本医疗保险基金的补助</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21013</w:t>
            </w:r>
          </w:p>
        </w:tc>
        <w:tc>
          <w:tcPr>
            <w:tcW w:w="758" w:type="dxa"/>
            <w:vAlign w:val="center"/>
          </w:tcPr>
          <w:p>
            <w:pPr>
              <w:pStyle w:val="14"/>
            </w:pPr>
            <w:r>
              <w:t>医疗救助</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2101301</w:t>
            </w:r>
          </w:p>
        </w:tc>
        <w:tc>
          <w:tcPr>
            <w:tcW w:w="758" w:type="dxa"/>
            <w:vAlign w:val="center"/>
          </w:tcPr>
          <w:p>
            <w:pPr>
              <w:pStyle w:val="14"/>
            </w:pPr>
            <w:r>
              <w:t>城乡医疗救助</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21015</w:t>
            </w:r>
          </w:p>
        </w:tc>
        <w:tc>
          <w:tcPr>
            <w:tcW w:w="758" w:type="dxa"/>
            <w:vAlign w:val="center"/>
          </w:tcPr>
          <w:p>
            <w:pPr>
              <w:pStyle w:val="14"/>
            </w:pPr>
            <w:r>
              <w:t>医疗保障管理事务</w:t>
            </w:r>
          </w:p>
        </w:tc>
        <w:tc>
          <w:tcPr>
            <w:tcW w:w="758" w:type="dxa"/>
            <w:vAlign w:val="center"/>
          </w:tcPr>
          <w:p>
            <w:pPr>
              <w:pStyle w:val="13"/>
            </w:pPr>
            <w:r>
              <w:t>1657.98</w:t>
            </w:r>
          </w:p>
        </w:tc>
        <w:tc>
          <w:tcPr>
            <w:tcW w:w="758" w:type="dxa"/>
            <w:vAlign w:val="center"/>
          </w:tcPr>
          <w:p>
            <w:pPr>
              <w:pStyle w:val="13"/>
            </w:pPr>
            <w:r>
              <w:t>1657.98</w:t>
            </w:r>
          </w:p>
        </w:tc>
        <w:tc>
          <w:tcPr>
            <w:tcW w:w="758" w:type="dxa"/>
            <w:vAlign w:val="center"/>
          </w:tcPr>
          <w:p>
            <w:pPr>
              <w:pStyle w:val="13"/>
            </w:pPr>
            <w:r>
              <w:t>1657.98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2101501</w:t>
            </w:r>
          </w:p>
        </w:tc>
        <w:tc>
          <w:tcPr>
            <w:tcW w:w="758" w:type="dxa"/>
            <w:vAlign w:val="center"/>
          </w:tcPr>
          <w:p>
            <w:pPr>
              <w:pStyle w:val="14"/>
            </w:pPr>
            <w:r>
              <w:t>行政运行</w:t>
            </w:r>
          </w:p>
        </w:tc>
        <w:tc>
          <w:tcPr>
            <w:tcW w:w="758" w:type="dxa"/>
            <w:vAlign w:val="center"/>
          </w:tcPr>
          <w:p>
            <w:pPr>
              <w:pStyle w:val="13"/>
            </w:pPr>
            <w:r>
              <w:t>704.98</w:t>
            </w:r>
          </w:p>
        </w:tc>
        <w:tc>
          <w:tcPr>
            <w:tcW w:w="758" w:type="dxa"/>
            <w:vAlign w:val="center"/>
          </w:tcPr>
          <w:p>
            <w:pPr>
              <w:pStyle w:val="13"/>
            </w:pPr>
            <w:r>
              <w:t>704.98</w:t>
            </w:r>
          </w:p>
        </w:tc>
        <w:tc>
          <w:tcPr>
            <w:tcW w:w="758" w:type="dxa"/>
            <w:vAlign w:val="center"/>
          </w:tcPr>
          <w:p>
            <w:pPr>
              <w:pStyle w:val="13"/>
            </w:pPr>
            <w:r>
              <w:t>704.98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2101502</w:t>
            </w:r>
          </w:p>
        </w:tc>
        <w:tc>
          <w:tcPr>
            <w:tcW w:w="758" w:type="dxa"/>
            <w:vAlign w:val="center"/>
          </w:tcPr>
          <w:p>
            <w:pPr>
              <w:pStyle w:val="14"/>
            </w:pPr>
            <w:r>
              <w:t>一般行政管理事务</w:t>
            </w:r>
          </w:p>
        </w:tc>
        <w:tc>
          <w:tcPr>
            <w:tcW w:w="758" w:type="dxa"/>
            <w:vAlign w:val="center"/>
          </w:tcPr>
          <w:p>
            <w:pPr>
              <w:pStyle w:val="13"/>
            </w:pPr>
            <w:r>
              <w:t>32.00</w:t>
            </w:r>
          </w:p>
        </w:tc>
        <w:tc>
          <w:tcPr>
            <w:tcW w:w="758" w:type="dxa"/>
            <w:vAlign w:val="center"/>
          </w:tcPr>
          <w:p>
            <w:pPr>
              <w:pStyle w:val="13"/>
            </w:pPr>
            <w:r>
              <w:t>32.00</w:t>
            </w:r>
          </w:p>
        </w:tc>
        <w:tc>
          <w:tcPr>
            <w:tcW w:w="758" w:type="dxa"/>
            <w:vAlign w:val="center"/>
          </w:tcPr>
          <w:p>
            <w:pPr>
              <w:pStyle w:val="13"/>
            </w:pPr>
            <w:r>
              <w:t>32.00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2101506</w:t>
            </w:r>
          </w:p>
        </w:tc>
        <w:tc>
          <w:tcPr>
            <w:tcW w:w="758" w:type="dxa"/>
            <w:vAlign w:val="center"/>
          </w:tcPr>
          <w:p>
            <w:pPr>
              <w:pStyle w:val="14"/>
            </w:pPr>
            <w:r>
              <w:t>医疗保障经办事务</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2101550</w:t>
            </w:r>
          </w:p>
        </w:tc>
        <w:tc>
          <w:tcPr>
            <w:tcW w:w="758" w:type="dxa"/>
            <w:vAlign w:val="center"/>
          </w:tcPr>
          <w:p>
            <w:pPr>
              <w:pStyle w:val="14"/>
            </w:pPr>
            <w:r>
              <w:t>事业运行</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2101599</w:t>
            </w:r>
          </w:p>
        </w:tc>
        <w:tc>
          <w:tcPr>
            <w:tcW w:w="758" w:type="dxa"/>
            <w:vAlign w:val="center"/>
          </w:tcPr>
          <w:p>
            <w:pPr>
              <w:pStyle w:val="14"/>
            </w:pPr>
            <w:r>
              <w:t>其他医疗保障管理事务支出</w:t>
            </w:r>
          </w:p>
        </w:tc>
        <w:tc>
          <w:tcPr>
            <w:tcW w:w="758" w:type="dxa"/>
            <w:vAlign w:val="center"/>
          </w:tcPr>
          <w:p>
            <w:pPr>
              <w:pStyle w:val="13"/>
            </w:pPr>
            <w:r>
              <w:t>900.00</w:t>
            </w:r>
          </w:p>
        </w:tc>
        <w:tc>
          <w:tcPr>
            <w:tcW w:w="758" w:type="dxa"/>
            <w:vAlign w:val="center"/>
          </w:tcPr>
          <w:p>
            <w:pPr>
              <w:pStyle w:val="13"/>
            </w:pPr>
            <w:r>
              <w:t>900.00</w:t>
            </w:r>
          </w:p>
        </w:tc>
        <w:tc>
          <w:tcPr>
            <w:tcW w:w="758" w:type="dxa"/>
            <w:vAlign w:val="center"/>
          </w:tcPr>
          <w:p>
            <w:pPr>
              <w:pStyle w:val="13"/>
            </w:pPr>
            <w:r>
              <w:t>900.00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11537.98</w:t>
            </w:r>
          </w:p>
        </w:tc>
        <w:tc>
          <w:tcPr>
            <w:tcW w:w="1095" w:type="dxa"/>
            <w:vAlign w:val="center"/>
          </w:tcPr>
          <w:p>
            <w:pPr>
              <w:pStyle w:val="17"/>
            </w:pPr>
            <w:r>
              <w:t>704.98</w:t>
            </w:r>
          </w:p>
        </w:tc>
        <w:tc>
          <w:tcPr>
            <w:tcW w:w="1095" w:type="dxa"/>
            <w:vAlign w:val="center"/>
          </w:tcPr>
          <w:p>
            <w:pPr>
              <w:pStyle w:val="17"/>
            </w:pPr>
            <w:r>
              <w:t>10833.00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11537.98</w:t>
            </w:r>
          </w:p>
        </w:tc>
        <w:tc>
          <w:tcPr>
            <w:tcW w:w="1095" w:type="dxa"/>
            <w:vAlign w:val="center"/>
          </w:tcPr>
          <w:p>
            <w:pPr>
              <w:pStyle w:val="13"/>
            </w:pPr>
            <w:r>
              <w:t>704.98</w:t>
            </w:r>
          </w:p>
        </w:tc>
        <w:tc>
          <w:tcPr>
            <w:tcW w:w="1095" w:type="dxa"/>
            <w:vAlign w:val="center"/>
          </w:tcPr>
          <w:p>
            <w:pPr>
              <w:pStyle w:val="13"/>
            </w:pPr>
            <w:r>
              <w:t>10833.00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21012</w:t>
            </w:r>
          </w:p>
        </w:tc>
        <w:tc>
          <w:tcPr>
            <w:tcW w:w="1095" w:type="dxa"/>
            <w:vAlign w:val="center"/>
          </w:tcPr>
          <w:p>
            <w:pPr>
              <w:pStyle w:val="14"/>
            </w:pPr>
            <w:r>
              <w:t>财政对基本医疗保险基金的补助</w:t>
            </w: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2101202</w:t>
            </w:r>
          </w:p>
        </w:tc>
        <w:tc>
          <w:tcPr>
            <w:tcW w:w="1095" w:type="dxa"/>
            <w:vAlign w:val="center"/>
          </w:tcPr>
          <w:p>
            <w:pPr>
              <w:pStyle w:val="14"/>
            </w:pPr>
            <w:r>
              <w:t>财政对城乡居民基本医疗保险基金的补助</w:t>
            </w: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21013</w:t>
            </w:r>
          </w:p>
        </w:tc>
        <w:tc>
          <w:tcPr>
            <w:tcW w:w="1095" w:type="dxa"/>
            <w:vAlign w:val="center"/>
          </w:tcPr>
          <w:p>
            <w:pPr>
              <w:pStyle w:val="14"/>
            </w:pPr>
            <w:r>
              <w:t>医疗救助</w:t>
            </w: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2101301</w:t>
            </w:r>
          </w:p>
        </w:tc>
        <w:tc>
          <w:tcPr>
            <w:tcW w:w="1095" w:type="dxa"/>
            <w:vAlign w:val="center"/>
          </w:tcPr>
          <w:p>
            <w:pPr>
              <w:pStyle w:val="14"/>
            </w:pPr>
            <w:r>
              <w:t>城乡医疗救助</w:t>
            </w: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21015</w:t>
            </w:r>
          </w:p>
        </w:tc>
        <w:tc>
          <w:tcPr>
            <w:tcW w:w="1095" w:type="dxa"/>
            <w:vAlign w:val="center"/>
          </w:tcPr>
          <w:p>
            <w:pPr>
              <w:pStyle w:val="14"/>
            </w:pPr>
            <w:r>
              <w:t>医疗保障管理事务</w:t>
            </w:r>
          </w:p>
        </w:tc>
        <w:tc>
          <w:tcPr>
            <w:tcW w:w="1095" w:type="dxa"/>
            <w:vAlign w:val="center"/>
          </w:tcPr>
          <w:p>
            <w:pPr>
              <w:pStyle w:val="13"/>
            </w:pPr>
            <w:r>
              <w:t>1657.98</w:t>
            </w:r>
          </w:p>
        </w:tc>
        <w:tc>
          <w:tcPr>
            <w:tcW w:w="1095" w:type="dxa"/>
            <w:vAlign w:val="center"/>
          </w:tcPr>
          <w:p>
            <w:pPr>
              <w:pStyle w:val="13"/>
            </w:pPr>
            <w:r>
              <w:t>704.98</w:t>
            </w:r>
          </w:p>
        </w:tc>
        <w:tc>
          <w:tcPr>
            <w:tcW w:w="1095" w:type="dxa"/>
            <w:vAlign w:val="center"/>
          </w:tcPr>
          <w:p>
            <w:pPr>
              <w:pStyle w:val="13"/>
            </w:pPr>
            <w:r>
              <w:t>953.00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2101501</w:t>
            </w:r>
          </w:p>
        </w:tc>
        <w:tc>
          <w:tcPr>
            <w:tcW w:w="1095" w:type="dxa"/>
            <w:vAlign w:val="center"/>
          </w:tcPr>
          <w:p>
            <w:pPr>
              <w:pStyle w:val="14"/>
            </w:pPr>
            <w:r>
              <w:t>行政运行</w:t>
            </w:r>
          </w:p>
        </w:tc>
        <w:tc>
          <w:tcPr>
            <w:tcW w:w="1095" w:type="dxa"/>
            <w:vAlign w:val="center"/>
          </w:tcPr>
          <w:p>
            <w:pPr>
              <w:pStyle w:val="13"/>
            </w:pPr>
            <w:r>
              <w:t>704.98</w:t>
            </w:r>
          </w:p>
        </w:tc>
        <w:tc>
          <w:tcPr>
            <w:tcW w:w="1095" w:type="dxa"/>
            <w:vAlign w:val="center"/>
          </w:tcPr>
          <w:p>
            <w:pPr>
              <w:pStyle w:val="13"/>
            </w:pPr>
            <w:r>
              <w:t>704.98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2101502</w:t>
            </w:r>
          </w:p>
        </w:tc>
        <w:tc>
          <w:tcPr>
            <w:tcW w:w="1095" w:type="dxa"/>
            <w:vAlign w:val="center"/>
          </w:tcPr>
          <w:p>
            <w:pPr>
              <w:pStyle w:val="14"/>
            </w:pPr>
            <w:r>
              <w:t>一般行政管理事务</w:t>
            </w:r>
          </w:p>
        </w:tc>
        <w:tc>
          <w:tcPr>
            <w:tcW w:w="1095" w:type="dxa"/>
            <w:vAlign w:val="center"/>
          </w:tcPr>
          <w:p>
            <w:pPr>
              <w:pStyle w:val="13"/>
            </w:pPr>
            <w:r>
              <w:t>32.00</w:t>
            </w:r>
          </w:p>
        </w:tc>
        <w:tc>
          <w:tcPr>
            <w:tcW w:w="1095" w:type="dxa"/>
            <w:vAlign w:val="center"/>
          </w:tcPr>
          <w:p>
            <w:pPr>
              <w:pStyle w:val="13"/>
            </w:pPr>
          </w:p>
        </w:tc>
        <w:tc>
          <w:tcPr>
            <w:tcW w:w="1095" w:type="dxa"/>
            <w:vAlign w:val="center"/>
          </w:tcPr>
          <w:p>
            <w:pPr>
              <w:pStyle w:val="13"/>
            </w:pPr>
            <w:r>
              <w:t>32.00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2101506</w:t>
            </w:r>
          </w:p>
        </w:tc>
        <w:tc>
          <w:tcPr>
            <w:tcW w:w="1095" w:type="dxa"/>
            <w:vAlign w:val="center"/>
          </w:tcPr>
          <w:p>
            <w:pPr>
              <w:pStyle w:val="14"/>
            </w:pPr>
            <w:r>
              <w:t>医疗保障经办事务</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2101550</w:t>
            </w:r>
          </w:p>
        </w:tc>
        <w:tc>
          <w:tcPr>
            <w:tcW w:w="1095" w:type="dxa"/>
            <w:vAlign w:val="center"/>
          </w:tcPr>
          <w:p>
            <w:pPr>
              <w:pStyle w:val="14"/>
            </w:pPr>
            <w:r>
              <w:t>事业运行</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2101599</w:t>
            </w:r>
          </w:p>
        </w:tc>
        <w:tc>
          <w:tcPr>
            <w:tcW w:w="1095" w:type="dxa"/>
            <w:vAlign w:val="center"/>
          </w:tcPr>
          <w:p>
            <w:pPr>
              <w:pStyle w:val="14"/>
            </w:pPr>
            <w:r>
              <w:t>其他医疗保障管理事务支出</w:t>
            </w:r>
          </w:p>
        </w:tc>
        <w:tc>
          <w:tcPr>
            <w:tcW w:w="1095" w:type="dxa"/>
            <w:vAlign w:val="center"/>
          </w:tcPr>
          <w:p>
            <w:pPr>
              <w:pStyle w:val="13"/>
            </w:pPr>
            <w:r>
              <w:t>900.00</w:t>
            </w:r>
          </w:p>
        </w:tc>
        <w:tc>
          <w:tcPr>
            <w:tcW w:w="1095" w:type="dxa"/>
            <w:vAlign w:val="center"/>
          </w:tcPr>
          <w:p>
            <w:pPr>
              <w:pStyle w:val="13"/>
            </w:pPr>
          </w:p>
        </w:tc>
        <w:tc>
          <w:tcPr>
            <w:tcW w:w="1095" w:type="dxa"/>
            <w:vAlign w:val="center"/>
          </w:tcPr>
          <w:p>
            <w:pPr>
              <w:pStyle w:val="13"/>
            </w:pPr>
            <w:r>
              <w:t>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11537.98</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11537.98</w:t>
            </w:r>
          </w:p>
        </w:tc>
        <w:tc>
          <w:tcPr>
            <w:tcW w:w="1232" w:type="dxa"/>
            <w:vAlign w:val="center"/>
          </w:tcPr>
          <w:p>
            <w:pPr>
              <w:pStyle w:val="13"/>
            </w:pPr>
            <w:r>
              <w:t>11537.98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11537.98</w:t>
            </w:r>
          </w:p>
        </w:tc>
        <w:tc>
          <w:tcPr>
            <w:tcW w:w="1232" w:type="dxa"/>
            <w:vAlign w:val="center"/>
          </w:tcPr>
          <w:p>
            <w:pPr>
              <w:pStyle w:val="16"/>
            </w:pPr>
            <w:r>
              <w:t>本年支出合计</w:t>
            </w:r>
          </w:p>
        </w:tc>
        <w:tc>
          <w:tcPr>
            <w:tcW w:w="1232" w:type="dxa"/>
            <w:vAlign w:val="center"/>
          </w:tcPr>
          <w:p>
            <w:pPr>
              <w:pStyle w:val="17"/>
            </w:pPr>
            <w:r>
              <w:t>11537.98</w:t>
            </w:r>
          </w:p>
        </w:tc>
        <w:tc>
          <w:tcPr>
            <w:tcW w:w="1232" w:type="dxa"/>
            <w:vAlign w:val="center"/>
          </w:tcPr>
          <w:p>
            <w:pPr>
              <w:pStyle w:val="17"/>
            </w:pPr>
            <w:r>
              <w:t>11537.98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11537.98</w:t>
            </w:r>
          </w:p>
        </w:tc>
        <w:tc>
          <w:tcPr>
            <w:tcW w:w="1232" w:type="dxa"/>
            <w:vAlign w:val="center"/>
          </w:tcPr>
          <w:p>
            <w:pPr>
              <w:pStyle w:val="16"/>
            </w:pPr>
            <w:r>
              <w:t>支出总计</w:t>
            </w:r>
          </w:p>
        </w:tc>
        <w:tc>
          <w:tcPr>
            <w:tcW w:w="1232" w:type="dxa"/>
            <w:vAlign w:val="center"/>
          </w:tcPr>
          <w:p>
            <w:pPr>
              <w:pStyle w:val="17"/>
            </w:pPr>
            <w:r>
              <w:t>11537.98</w:t>
            </w:r>
          </w:p>
        </w:tc>
        <w:tc>
          <w:tcPr>
            <w:tcW w:w="1232" w:type="dxa"/>
            <w:vAlign w:val="center"/>
          </w:tcPr>
          <w:p>
            <w:pPr>
              <w:pStyle w:val="17"/>
            </w:pPr>
            <w:r>
              <w:t>11537.98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11537.98</w:t>
            </w:r>
          </w:p>
        </w:tc>
        <w:tc>
          <w:tcPr>
            <w:tcW w:w="1643" w:type="dxa"/>
            <w:vAlign w:val="center"/>
          </w:tcPr>
          <w:p>
            <w:pPr>
              <w:pStyle w:val="17"/>
            </w:pPr>
            <w:r>
              <w:t>704.98</w:t>
            </w:r>
          </w:p>
        </w:tc>
        <w:tc>
          <w:tcPr>
            <w:tcW w:w="1643" w:type="dxa"/>
            <w:vAlign w:val="center"/>
          </w:tcPr>
          <w:p>
            <w:pPr>
              <w:pStyle w:val="17"/>
            </w:pPr>
            <w:r>
              <w:t>10833.00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11537.98</w:t>
            </w:r>
          </w:p>
        </w:tc>
        <w:tc>
          <w:tcPr>
            <w:tcW w:w="1643" w:type="dxa"/>
            <w:vAlign w:val="center"/>
          </w:tcPr>
          <w:p>
            <w:pPr>
              <w:pStyle w:val="13"/>
            </w:pPr>
            <w:r>
              <w:t>704.98</w:t>
            </w:r>
          </w:p>
        </w:tc>
        <w:tc>
          <w:tcPr>
            <w:tcW w:w="1643" w:type="dxa"/>
            <w:vAlign w:val="center"/>
          </w:tcPr>
          <w:p>
            <w:pPr>
              <w:pStyle w:val="13"/>
            </w:pPr>
            <w:r>
              <w:t>10833.00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21012</w:t>
            </w:r>
          </w:p>
        </w:tc>
        <w:tc>
          <w:tcPr>
            <w:tcW w:w="1643" w:type="dxa"/>
            <w:vAlign w:val="center"/>
          </w:tcPr>
          <w:p>
            <w:pPr>
              <w:pStyle w:val="14"/>
            </w:pPr>
            <w:r>
              <w:t>财政对基本医疗保险基金的补助</w:t>
            </w:r>
          </w:p>
        </w:tc>
        <w:tc>
          <w:tcPr>
            <w:tcW w:w="1643" w:type="dxa"/>
            <w:vAlign w:val="center"/>
          </w:tcPr>
          <w:p>
            <w:pPr>
              <w:pStyle w:val="13"/>
            </w:pPr>
            <w:r>
              <w:t>8768.00</w:t>
            </w:r>
          </w:p>
        </w:tc>
        <w:tc>
          <w:tcPr>
            <w:tcW w:w="1643" w:type="dxa"/>
            <w:vAlign w:val="center"/>
          </w:tcPr>
          <w:p>
            <w:pPr>
              <w:pStyle w:val="13"/>
            </w:pPr>
          </w:p>
        </w:tc>
        <w:tc>
          <w:tcPr>
            <w:tcW w:w="1643" w:type="dxa"/>
            <w:vAlign w:val="center"/>
          </w:tcPr>
          <w:p>
            <w:pPr>
              <w:pStyle w:val="13"/>
            </w:pPr>
            <w:r>
              <w:t>8768.00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2101202</w:t>
            </w:r>
          </w:p>
        </w:tc>
        <w:tc>
          <w:tcPr>
            <w:tcW w:w="1643" w:type="dxa"/>
            <w:vAlign w:val="center"/>
          </w:tcPr>
          <w:p>
            <w:pPr>
              <w:pStyle w:val="14"/>
            </w:pPr>
            <w:r>
              <w:t>财政对城乡居民基本医疗保险基金的补助</w:t>
            </w:r>
          </w:p>
        </w:tc>
        <w:tc>
          <w:tcPr>
            <w:tcW w:w="1643" w:type="dxa"/>
            <w:vAlign w:val="center"/>
          </w:tcPr>
          <w:p>
            <w:pPr>
              <w:pStyle w:val="13"/>
            </w:pPr>
            <w:r>
              <w:t>8768.00</w:t>
            </w:r>
          </w:p>
        </w:tc>
        <w:tc>
          <w:tcPr>
            <w:tcW w:w="1643" w:type="dxa"/>
            <w:vAlign w:val="center"/>
          </w:tcPr>
          <w:p>
            <w:pPr>
              <w:pStyle w:val="13"/>
            </w:pPr>
          </w:p>
        </w:tc>
        <w:tc>
          <w:tcPr>
            <w:tcW w:w="1643" w:type="dxa"/>
            <w:vAlign w:val="center"/>
          </w:tcPr>
          <w:p>
            <w:pPr>
              <w:pStyle w:val="13"/>
            </w:pPr>
            <w:r>
              <w:t>8768.00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21013</w:t>
            </w:r>
          </w:p>
        </w:tc>
        <w:tc>
          <w:tcPr>
            <w:tcW w:w="1643" w:type="dxa"/>
            <w:vAlign w:val="center"/>
          </w:tcPr>
          <w:p>
            <w:pPr>
              <w:pStyle w:val="14"/>
            </w:pPr>
            <w:r>
              <w:t>医疗救助</w:t>
            </w:r>
          </w:p>
        </w:tc>
        <w:tc>
          <w:tcPr>
            <w:tcW w:w="1643" w:type="dxa"/>
            <w:vAlign w:val="center"/>
          </w:tcPr>
          <w:p>
            <w:pPr>
              <w:pStyle w:val="13"/>
            </w:pPr>
            <w:r>
              <w:t>1112.00</w:t>
            </w:r>
          </w:p>
        </w:tc>
        <w:tc>
          <w:tcPr>
            <w:tcW w:w="1643" w:type="dxa"/>
            <w:vAlign w:val="center"/>
          </w:tcPr>
          <w:p>
            <w:pPr>
              <w:pStyle w:val="13"/>
            </w:pPr>
          </w:p>
        </w:tc>
        <w:tc>
          <w:tcPr>
            <w:tcW w:w="1643" w:type="dxa"/>
            <w:vAlign w:val="center"/>
          </w:tcPr>
          <w:p>
            <w:pPr>
              <w:pStyle w:val="13"/>
            </w:pPr>
            <w:r>
              <w:t>1112.00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2101301</w:t>
            </w:r>
          </w:p>
        </w:tc>
        <w:tc>
          <w:tcPr>
            <w:tcW w:w="1643" w:type="dxa"/>
            <w:vAlign w:val="center"/>
          </w:tcPr>
          <w:p>
            <w:pPr>
              <w:pStyle w:val="14"/>
            </w:pPr>
            <w:r>
              <w:t>城乡医疗救助</w:t>
            </w:r>
          </w:p>
        </w:tc>
        <w:tc>
          <w:tcPr>
            <w:tcW w:w="1643" w:type="dxa"/>
            <w:vAlign w:val="center"/>
          </w:tcPr>
          <w:p>
            <w:pPr>
              <w:pStyle w:val="13"/>
            </w:pPr>
            <w:r>
              <w:t>1112.00</w:t>
            </w:r>
          </w:p>
        </w:tc>
        <w:tc>
          <w:tcPr>
            <w:tcW w:w="1643" w:type="dxa"/>
            <w:vAlign w:val="center"/>
          </w:tcPr>
          <w:p>
            <w:pPr>
              <w:pStyle w:val="13"/>
            </w:pPr>
          </w:p>
        </w:tc>
        <w:tc>
          <w:tcPr>
            <w:tcW w:w="1643" w:type="dxa"/>
            <w:vAlign w:val="center"/>
          </w:tcPr>
          <w:p>
            <w:pPr>
              <w:pStyle w:val="13"/>
            </w:pPr>
            <w:r>
              <w:t>1112.00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21015</w:t>
            </w:r>
          </w:p>
        </w:tc>
        <w:tc>
          <w:tcPr>
            <w:tcW w:w="1643" w:type="dxa"/>
            <w:vAlign w:val="center"/>
          </w:tcPr>
          <w:p>
            <w:pPr>
              <w:pStyle w:val="14"/>
            </w:pPr>
            <w:r>
              <w:t>医疗保障管理事务</w:t>
            </w:r>
          </w:p>
        </w:tc>
        <w:tc>
          <w:tcPr>
            <w:tcW w:w="1643" w:type="dxa"/>
            <w:vAlign w:val="center"/>
          </w:tcPr>
          <w:p>
            <w:pPr>
              <w:pStyle w:val="13"/>
            </w:pPr>
            <w:r>
              <w:t>1657.98</w:t>
            </w:r>
          </w:p>
        </w:tc>
        <w:tc>
          <w:tcPr>
            <w:tcW w:w="1643" w:type="dxa"/>
            <w:vAlign w:val="center"/>
          </w:tcPr>
          <w:p>
            <w:pPr>
              <w:pStyle w:val="13"/>
            </w:pPr>
            <w:r>
              <w:t>704.98</w:t>
            </w:r>
          </w:p>
        </w:tc>
        <w:tc>
          <w:tcPr>
            <w:tcW w:w="1643" w:type="dxa"/>
            <w:vAlign w:val="center"/>
          </w:tcPr>
          <w:p>
            <w:pPr>
              <w:pStyle w:val="13"/>
            </w:pPr>
            <w: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2101501</w:t>
            </w:r>
          </w:p>
        </w:tc>
        <w:tc>
          <w:tcPr>
            <w:tcW w:w="1643" w:type="dxa"/>
            <w:vAlign w:val="center"/>
          </w:tcPr>
          <w:p>
            <w:pPr>
              <w:pStyle w:val="14"/>
            </w:pPr>
            <w:r>
              <w:t>行政运行</w:t>
            </w:r>
          </w:p>
        </w:tc>
        <w:tc>
          <w:tcPr>
            <w:tcW w:w="1643" w:type="dxa"/>
            <w:vAlign w:val="center"/>
          </w:tcPr>
          <w:p>
            <w:pPr>
              <w:pStyle w:val="13"/>
            </w:pPr>
            <w:r>
              <w:t>704.98</w:t>
            </w:r>
          </w:p>
        </w:tc>
        <w:tc>
          <w:tcPr>
            <w:tcW w:w="1643" w:type="dxa"/>
            <w:vAlign w:val="center"/>
          </w:tcPr>
          <w:p>
            <w:pPr>
              <w:pStyle w:val="13"/>
            </w:pPr>
            <w:r>
              <w:t>704.98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2101502</w:t>
            </w:r>
          </w:p>
        </w:tc>
        <w:tc>
          <w:tcPr>
            <w:tcW w:w="1643" w:type="dxa"/>
            <w:vAlign w:val="center"/>
          </w:tcPr>
          <w:p>
            <w:pPr>
              <w:pStyle w:val="14"/>
            </w:pPr>
            <w:r>
              <w:t>一般行政管理事务</w:t>
            </w:r>
          </w:p>
        </w:tc>
        <w:tc>
          <w:tcPr>
            <w:tcW w:w="1643" w:type="dxa"/>
            <w:vAlign w:val="center"/>
          </w:tcPr>
          <w:p>
            <w:pPr>
              <w:pStyle w:val="13"/>
            </w:pPr>
            <w:r>
              <w:t>32.00</w:t>
            </w:r>
          </w:p>
        </w:tc>
        <w:tc>
          <w:tcPr>
            <w:tcW w:w="1643" w:type="dxa"/>
            <w:vAlign w:val="center"/>
          </w:tcPr>
          <w:p>
            <w:pPr>
              <w:pStyle w:val="13"/>
            </w:pPr>
          </w:p>
        </w:tc>
        <w:tc>
          <w:tcPr>
            <w:tcW w:w="1643"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2101506</w:t>
            </w:r>
          </w:p>
        </w:tc>
        <w:tc>
          <w:tcPr>
            <w:tcW w:w="1643" w:type="dxa"/>
            <w:vAlign w:val="center"/>
          </w:tcPr>
          <w:p>
            <w:pPr>
              <w:pStyle w:val="14"/>
            </w:pPr>
            <w:r>
              <w:t>医疗保障经办事务</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2101550</w:t>
            </w:r>
          </w:p>
        </w:tc>
        <w:tc>
          <w:tcPr>
            <w:tcW w:w="1643" w:type="dxa"/>
            <w:vAlign w:val="center"/>
          </w:tcPr>
          <w:p>
            <w:pPr>
              <w:pStyle w:val="14"/>
            </w:pPr>
            <w:r>
              <w:t>事业运行</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2101599</w:t>
            </w:r>
          </w:p>
        </w:tc>
        <w:tc>
          <w:tcPr>
            <w:tcW w:w="1643" w:type="dxa"/>
            <w:vAlign w:val="center"/>
          </w:tcPr>
          <w:p>
            <w:pPr>
              <w:pStyle w:val="14"/>
            </w:pPr>
            <w:r>
              <w:t>其他医疗保障管理事务支出</w:t>
            </w:r>
          </w:p>
        </w:tc>
        <w:tc>
          <w:tcPr>
            <w:tcW w:w="1643" w:type="dxa"/>
            <w:vAlign w:val="center"/>
          </w:tcPr>
          <w:p>
            <w:pPr>
              <w:pStyle w:val="13"/>
            </w:pPr>
            <w:r>
              <w:t>900.00</w:t>
            </w:r>
          </w:p>
        </w:tc>
        <w:tc>
          <w:tcPr>
            <w:tcW w:w="1643" w:type="dxa"/>
            <w:vAlign w:val="center"/>
          </w:tcPr>
          <w:p>
            <w:pPr>
              <w:pStyle w:val="13"/>
            </w:pPr>
          </w:p>
        </w:tc>
        <w:tc>
          <w:tcPr>
            <w:tcW w:w="1643" w:type="dxa"/>
            <w:vAlign w:val="center"/>
          </w:tcPr>
          <w:p>
            <w:pPr>
              <w:pStyle w:val="13"/>
            </w:pPr>
            <w:r>
              <w:t>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704.98</w:t>
            </w:r>
          </w:p>
        </w:tc>
        <w:tc>
          <w:tcPr>
            <w:tcW w:w="1643" w:type="dxa"/>
            <w:vAlign w:val="center"/>
          </w:tcPr>
          <w:p>
            <w:pPr>
              <w:pStyle w:val="17"/>
            </w:pPr>
            <w:r>
              <w:t>665.55</w:t>
            </w:r>
          </w:p>
        </w:tc>
        <w:tc>
          <w:tcPr>
            <w:tcW w:w="1643" w:type="dxa"/>
            <w:vAlign w:val="center"/>
          </w:tcPr>
          <w:p>
            <w:pPr>
              <w:pStyle w:val="17"/>
            </w:pPr>
            <w:r>
              <w:t>39.42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652.24</w:t>
            </w:r>
          </w:p>
        </w:tc>
        <w:tc>
          <w:tcPr>
            <w:tcW w:w="1643" w:type="dxa"/>
            <w:vAlign w:val="center"/>
          </w:tcPr>
          <w:p>
            <w:pPr>
              <w:pStyle w:val="13"/>
            </w:pPr>
            <w:r>
              <w:t>652.24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163.31</w:t>
            </w:r>
          </w:p>
        </w:tc>
        <w:tc>
          <w:tcPr>
            <w:tcW w:w="1643" w:type="dxa"/>
            <w:vAlign w:val="center"/>
          </w:tcPr>
          <w:p>
            <w:pPr>
              <w:pStyle w:val="13"/>
            </w:pPr>
            <w:r>
              <w:t>163.31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106.75</w:t>
            </w:r>
          </w:p>
        </w:tc>
        <w:tc>
          <w:tcPr>
            <w:tcW w:w="1643" w:type="dxa"/>
            <w:vAlign w:val="center"/>
          </w:tcPr>
          <w:p>
            <w:pPr>
              <w:pStyle w:val="13"/>
            </w:pPr>
            <w:r>
              <w:t>106.75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3.59</w:t>
            </w:r>
          </w:p>
        </w:tc>
        <w:tc>
          <w:tcPr>
            <w:tcW w:w="1643" w:type="dxa"/>
            <w:vAlign w:val="center"/>
          </w:tcPr>
          <w:p>
            <w:pPr>
              <w:pStyle w:val="13"/>
            </w:pPr>
            <w:r>
              <w:t>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175.49</w:t>
            </w:r>
          </w:p>
        </w:tc>
        <w:tc>
          <w:tcPr>
            <w:tcW w:w="1643" w:type="dxa"/>
            <w:vAlign w:val="center"/>
          </w:tcPr>
          <w:p>
            <w:pPr>
              <w:pStyle w:val="13"/>
            </w:pPr>
            <w:r>
              <w:t>175.49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74.81</w:t>
            </w:r>
          </w:p>
        </w:tc>
        <w:tc>
          <w:tcPr>
            <w:tcW w:w="1643" w:type="dxa"/>
            <w:vAlign w:val="center"/>
          </w:tcPr>
          <w:p>
            <w:pPr>
              <w:pStyle w:val="13"/>
            </w:pPr>
            <w:r>
              <w:t>74.81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25.72</w:t>
            </w:r>
          </w:p>
        </w:tc>
        <w:tc>
          <w:tcPr>
            <w:tcW w:w="1643" w:type="dxa"/>
            <w:vAlign w:val="center"/>
          </w:tcPr>
          <w:p>
            <w:pPr>
              <w:pStyle w:val="13"/>
            </w:pPr>
            <w:r>
              <w:t>25.72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19.91</w:t>
            </w:r>
          </w:p>
        </w:tc>
        <w:tc>
          <w:tcPr>
            <w:tcW w:w="1643" w:type="dxa"/>
            <w:vAlign w:val="center"/>
          </w:tcPr>
          <w:p>
            <w:pPr>
              <w:pStyle w:val="13"/>
            </w:pPr>
            <w:r>
              <w:t>19.91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26.55</w:t>
            </w:r>
          </w:p>
        </w:tc>
        <w:tc>
          <w:tcPr>
            <w:tcW w:w="1643" w:type="dxa"/>
            <w:vAlign w:val="center"/>
          </w:tcPr>
          <w:p>
            <w:pPr>
              <w:pStyle w:val="13"/>
            </w:pPr>
            <w:r>
              <w:t>26.55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56.11</w:t>
            </w:r>
          </w:p>
        </w:tc>
        <w:tc>
          <w:tcPr>
            <w:tcW w:w="1643" w:type="dxa"/>
            <w:vAlign w:val="center"/>
          </w:tcPr>
          <w:p>
            <w:pPr>
              <w:pStyle w:val="13"/>
            </w:pPr>
            <w:r>
              <w:t>56.11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37.42</w:t>
            </w:r>
          </w:p>
        </w:tc>
        <w:tc>
          <w:tcPr>
            <w:tcW w:w="1643" w:type="dxa"/>
            <w:vAlign w:val="center"/>
          </w:tcPr>
          <w:p>
            <w:pPr>
              <w:pStyle w:val="13"/>
            </w:pPr>
          </w:p>
        </w:tc>
        <w:tc>
          <w:tcPr>
            <w:tcW w:w="1643" w:type="dxa"/>
            <w:vAlign w:val="center"/>
          </w:tcPr>
          <w:p>
            <w:pPr>
              <w:pStyle w:val="13"/>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6.01</w:t>
            </w:r>
          </w:p>
        </w:tc>
        <w:tc>
          <w:tcPr>
            <w:tcW w:w="1643" w:type="dxa"/>
            <w:vAlign w:val="center"/>
          </w:tcPr>
          <w:p>
            <w:pPr>
              <w:pStyle w:val="13"/>
            </w:pPr>
          </w:p>
        </w:tc>
        <w:tc>
          <w:tcPr>
            <w:tcW w:w="1643" w:type="dxa"/>
            <w:vAlign w:val="center"/>
          </w:tcPr>
          <w:p>
            <w:pPr>
              <w:pStyle w:val="13"/>
            </w:pPr>
            <w:r>
              <w:t>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4.48</w:t>
            </w:r>
          </w:p>
        </w:tc>
        <w:tc>
          <w:tcPr>
            <w:tcW w:w="1643" w:type="dxa"/>
            <w:vAlign w:val="center"/>
          </w:tcPr>
          <w:p>
            <w:pPr>
              <w:pStyle w:val="13"/>
            </w:pPr>
          </w:p>
        </w:tc>
        <w:tc>
          <w:tcPr>
            <w:tcW w:w="1643" w:type="dxa"/>
            <w:vAlign w:val="center"/>
          </w:tcPr>
          <w:p>
            <w:pPr>
              <w:pStyle w:val="13"/>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4.08</w:t>
            </w:r>
          </w:p>
        </w:tc>
        <w:tc>
          <w:tcPr>
            <w:tcW w:w="1643" w:type="dxa"/>
            <w:vAlign w:val="center"/>
          </w:tcPr>
          <w:p>
            <w:pPr>
              <w:pStyle w:val="13"/>
            </w:pPr>
          </w:p>
        </w:tc>
        <w:tc>
          <w:tcPr>
            <w:tcW w:w="1643"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7.08</w:t>
            </w:r>
          </w:p>
        </w:tc>
        <w:tc>
          <w:tcPr>
            <w:tcW w:w="1643" w:type="dxa"/>
            <w:vAlign w:val="center"/>
          </w:tcPr>
          <w:p>
            <w:pPr>
              <w:pStyle w:val="13"/>
            </w:pPr>
          </w:p>
        </w:tc>
        <w:tc>
          <w:tcPr>
            <w:tcW w:w="1643"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0.77</w:t>
            </w:r>
          </w:p>
        </w:tc>
        <w:tc>
          <w:tcPr>
            <w:tcW w:w="1643" w:type="dxa"/>
            <w:vAlign w:val="center"/>
          </w:tcPr>
          <w:p>
            <w:pPr>
              <w:pStyle w:val="13"/>
            </w:pPr>
          </w:p>
        </w:tc>
        <w:tc>
          <w:tcPr>
            <w:tcW w:w="1643" w:type="dxa"/>
            <w:vAlign w:val="center"/>
          </w:tcPr>
          <w:p>
            <w:pPr>
              <w:pStyle w:val="13"/>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13.31</w:t>
            </w:r>
          </w:p>
        </w:tc>
        <w:tc>
          <w:tcPr>
            <w:tcW w:w="1643" w:type="dxa"/>
            <w:vAlign w:val="center"/>
          </w:tcPr>
          <w:p>
            <w:pPr>
              <w:pStyle w:val="13"/>
            </w:pPr>
            <w:r>
              <w:t>13.31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13.17</w:t>
            </w:r>
          </w:p>
        </w:tc>
        <w:tc>
          <w:tcPr>
            <w:tcW w:w="1643" w:type="dxa"/>
            <w:vAlign w:val="center"/>
          </w:tcPr>
          <w:p>
            <w:pPr>
              <w:pStyle w:val="13"/>
            </w:pPr>
            <w:r>
              <w:t>13.17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0.14</w:t>
            </w:r>
          </w:p>
        </w:tc>
        <w:tc>
          <w:tcPr>
            <w:tcW w:w="1643" w:type="dxa"/>
            <w:vAlign w:val="center"/>
          </w:tcPr>
          <w:p>
            <w:pPr>
              <w:pStyle w:val="13"/>
            </w:pPr>
            <w:r>
              <w:t>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石家庄市藁城区医疗保障局本级2023年单位预算信息公开情况说明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按照《预算法》、《地方预决算公开操作规程》和《关于进一步推进预算公开工作的实施意见》规定，现将石家庄市藁城区医疗保障局本级2023年单位预算公开如下：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(一)贯彻落实省市城镇职工和城乡居民医疗保险、生育保险、长期护理保险、医疗救助等医疗保障法规、政府规章以及政策、制度、规划和标准。</w:t>
      </w:r>
    </w:p>
    <w:p>
      <w:pPr>
        <w:pStyle w:val="27"/>
      </w:pPr>
      <w:r>
        <w:t>(二)贯彻落实省市医疗保障基金监督管理办法、医疗保障基金安全防控机制，做好医疗保障基金支付方式改革。</w:t>
      </w:r>
    </w:p>
    <w:p>
      <w:pPr>
        <w:pStyle w:val="27"/>
      </w:pPr>
      <w:r>
        <w:t>(三)贯彻执行省市城镇职工、城乡居民参保筹资和保障待遇政策，执行好城乡医疗保障政策标准。</w:t>
      </w:r>
    </w:p>
    <w:p>
      <w:pPr>
        <w:pStyle w:val="27"/>
      </w:pPr>
      <w:r>
        <w:t>(四)贯彻执行城乡统一的药品、医用药材、医疗服务项目、医疗服务设施等医保支付标准。</w:t>
      </w:r>
    </w:p>
    <w:p>
      <w:pPr>
        <w:pStyle w:val="27"/>
      </w:pPr>
      <w:r>
        <w:t>(五)贯彻执行药品、医用耗材价格和医疗服务项目、医疗服务设施收费等政策。依法管理药品、医用耗材、医疗服务价格政策执行情况。</w:t>
      </w:r>
    </w:p>
    <w:p>
      <w:pPr>
        <w:pStyle w:val="27"/>
      </w:pPr>
      <w:r>
        <w:t>(六)贯彻执行定点医药机构协议和支付管理办法。执行好医疗保障信用评价体系和信息披露制度，监督管理定点医药机构的医疗服务行为、医疗费用和医药价格，依法查处医疗保障领域违法违规行为。</w:t>
      </w:r>
    </w:p>
    <w:p>
      <w:pPr>
        <w:pStyle w:val="27"/>
      </w:pPr>
      <w:r>
        <w:t>(七)负责医疗保障经办管理、公共服务体系和信息化建设。执行好异地就医管理、费用结算政策和医疗保障关系转移接续制度。</w:t>
      </w:r>
    </w:p>
    <w:p>
      <w:pPr>
        <w:pStyle w:val="2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石家庄市藁城区医疗保障局本级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反映本单位当年全部收入。2023年预算收入11488.58万元，其中：一般公共预算收入11488.58万元，基金预算收入0万元，财政专户核拨收入0万元，其他来源收入0万元。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w:t>
      </w:r>
      <w:r>
        <w:rPr>
          <w:rFonts w:hint="eastAsia"/>
          <w:lang w:val="en-US" w:eastAsia="zh-CN"/>
        </w:rPr>
        <w:t>单位</w:t>
      </w:r>
      <w:r>
        <w:t>支出预算为11488.58万元，其中基本支出655.58万元，包括人员经费614.14万元和日常公用经费41.44万元；项目支出10833万元，主要为职工及城乡居民医疗管理经费35万元；离休、建国前老工人、1-6级伤残军人医疗费900万元，城乡医疗救助1112万元，城乡居民医疗保险本级配套资金8768万元，医疗服务与保障能力提升补助资金18万元；其他支出0万元。</w:t>
      </w:r>
    </w:p>
    <w:p>
      <w:pPr>
        <w:pStyle w:val="28"/>
      </w:pPr>
      <w:r>
        <w:t>3、比上年增减情况</w:t>
      </w:r>
    </w:p>
    <w:p>
      <w:pPr>
        <w:pStyle w:val="28"/>
      </w:pPr>
      <w:r>
        <w:t>2023年</w:t>
      </w:r>
      <w:r>
        <w:rPr>
          <w:rFonts w:hint="eastAsia"/>
          <w:lang w:val="en-US" w:eastAsia="zh-CN"/>
        </w:rPr>
        <w:t>单位</w:t>
      </w:r>
      <w:r>
        <w:t>预算收支安排11488.58万元，较2022年增加1037.91万元，其中：基本支出增加35.09万元，主要是人员增加，相应增加人员经费和日常公用经费；项目支出减少1037.91万元，主要是医疗救助资金上年有结余；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2023年，我单位机关运行经费共计安排41.44万元，主要用于保证机关正常运转的办公及印刷费、邮电费、差旅费、福利费、设备购置费、办公用房水电费、日常维修费、公务车运行维护费等支出。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万元。“三公”经费与上年相比增加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1、城乡居民医疗保险本级配套资金绩效目标表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1.通过按时上缴财政专户，达到参保人数足额配套。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基本医疗保险参保人数</w:t>
            </w:r>
          </w:p>
        </w:tc>
        <w:tc>
          <w:tcPr>
            <w:tcW w:w="2466" w:type="dxa"/>
            <w:vAlign w:val="center"/>
          </w:tcPr>
          <w:p>
            <w:pPr>
              <w:pStyle w:val="14"/>
            </w:pPr>
            <w:r>
              <w:t>基本医疗保险参保人数</w:t>
            </w:r>
          </w:p>
        </w:tc>
        <w:tc>
          <w:tcPr>
            <w:tcW w:w="2466" w:type="dxa"/>
            <w:vAlign w:val="center"/>
          </w:tcPr>
          <w:p>
            <w:pPr>
              <w:pStyle w:val="14"/>
            </w:pPr>
            <w:r>
              <w:t>≤69万人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参保率、发放率</w:t>
            </w:r>
          </w:p>
        </w:tc>
        <w:tc>
          <w:tcPr>
            <w:tcW w:w="2466" w:type="dxa"/>
            <w:vAlign w:val="center"/>
          </w:tcPr>
          <w:p>
            <w:pPr>
              <w:pStyle w:val="14"/>
            </w:pPr>
            <w:r>
              <w:t>参保率、发放率</w:t>
            </w:r>
          </w:p>
        </w:tc>
        <w:tc>
          <w:tcPr>
            <w:tcW w:w="2466" w:type="dxa"/>
            <w:vAlign w:val="center"/>
          </w:tcPr>
          <w:p>
            <w:pPr>
              <w:pStyle w:val="14"/>
            </w:pPr>
            <w:r>
              <w:t>&gt;98%</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根据年初预算及工作需要及时支付</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城乡居民医疗保险补助金额不超128元每人</w:t>
            </w:r>
          </w:p>
        </w:tc>
        <w:tc>
          <w:tcPr>
            <w:tcW w:w="2466" w:type="dxa"/>
            <w:vAlign w:val="center"/>
          </w:tcPr>
          <w:p>
            <w:pPr>
              <w:pStyle w:val="14"/>
            </w:pPr>
            <w:r>
              <w:t>≤128元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提升公共服务水平和质量</w:t>
            </w:r>
          </w:p>
        </w:tc>
        <w:tc>
          <w:tcPr>
            <w:tcW w:w="2466" w:type="dxa"/>
            <w:vAlign w:val="center"/>
          </w:tcPr>
          <w:p>
            <w:pPr>
              <w:pStyle w:val="14"/>
            </w:pPr>
            <w:r>
              <w:t>提升公共服务水平和质量</w:t>
            </w:r>
          </w:p>
        </w:tc>
        <w:tc>
          <w:tcPr>
            <w:tcW w:w="2466" w:type="dxa"/>
            <w:vAlign w:val="center"/>
          </w:tcPr>
          <w:p>
            <w:pPr>
              <w:pStyle w:val="14"/>
            </w:pPr>
            <w:r>
              <w:t>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2、城乡医疗救助绩效目标表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1.落实国家医疗救助政策，保证医疗救助人员应保尽保。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救助人数</w:t>
            </w:r>
          </w:p>
        </w:tc>
        <w:tc>
          <w:tcPr>
            <w:tcW w:w="2466" w:type="dxa"/>
            <w:vAlign w:val="center"/>
          </w:tcPr>
          <w:p>
            <w:pPr>
              <w:pStyle w:val="14"/>
            </w:pPr>
            <w:r>
              <w:t>救助人数</w:t>
            </w:r>
          </w:p>
        </w:tc>
        <w:tc>
          <w:tcPr>
            <w:tcW w:w="2466" w:type="dxa"/>
            <w:vAlign w:val="center"/>
          </w:tcPr>
          <w:p>
            <w:pPr>
              <w:pStyle w:val="14"/>
            </w:pPr>
            <w:r>
              <w:t>≥14500人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pPr>
          </w:p>
          <w:p>
            <w:pPr>
              <w:pStyle w:val="14"/>
            </w:pPr>
          </w:p>
        </w:tc>
        <w:tc>
          <w:tcPr>
            <w:tcW w:w="2466" w:type="dxa"/>
            <w:vAlign w:val="center"/>
          </w:tcPr>
          <w:p>
            <w:pPr>
              <w:pStyle w:val="14"/>
            </w:pPr>
            <w:r>
              <w:t>医疗救助基金到位率</w:t>
            </w:r>
          </w:p>
          <w:p>
            <w:pPr>
              <w:pStyle w:val="14"/>
            </w:pP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医疗救助基金及时率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人均补助标准</w:t>
            </w:r>
          </w:p>
        </w:tc>
        <w:tc>
          <w:tcPr>
            <w:tcW w:w="2466" w:type="dxa"/>
            <w:vAlign w:val="center"/>
          </w:tcPr>
          <w:p>
            <w:pPr>
              <w:pStyle w:val="14"/>
            </w:pPr>
            <w:r>
              <w:t>低保人均补助标准不超过低保315元</w:t>
            </w:r>
          </w:p>
        </w:tc>
        <w:tc>
          <w:tcPr>
            <w:tcW w:w="2466" w:type="dxa"/>
            <w:vAlign w:val="center"/>
          </w:tcPr>
          <w:p>
            <w:pPr>
              <w:pStyle w:val="14"/>
            </w:pPr>
            <w:r>
              <w:t>≤315元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3、冀财社[2022]218号关于提前下达2023年中央财政医疗服务与保障能力提升补助资金预算的通知绩效目标表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1.国家统一医保信息平台正常运行</w:t>
            </w:r>
          </w:p>
          <w:p>
            <w:pPr>
              <w:pStyle w:val="14"/>
            </w:pPr>
            <w:r>
              <w:t>2.定点医药机构监督检查覆盖</w:t>
            </w:r>
          </w:p>
          <w:p>
            <w:pPr>
              <w:pStyle w:val="14"/>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会议次数</w:t>
            </w:r>
          </w:p>
        </w:tc>
        <w:tc>
          <w:tcPr>
            <w:tcW w:w="2466" w:type="dxa"/>
            <w:vAlign w:val="center"/>
          </w:tcPr>
          <w:p>
            <w:pPr>
              <w:pStyle w:val="14"/>
            </w:pPr>
            <w:r>
              <w:t>参加医保工作政府信息公开市级工作会议或培训</w:t>
            </w:r>
          </w:p>
        </w:tc>
        <w:tc>
          <w:tcPr>
            <w:tcW w:w="2466" w:type="dxa"/>
            <w:vAlign w:val="center"/>
          </w:tcPr>
          <w:p>
            <w:pPr>
              <w:pStyle w:val="14"/>
            </w:pPr>
            <w:r>
              <w:t>≥1次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系统正常运行率</w:t>
            </w:r>
          </w:p>
        </w:tc>
        <w:tc>
          <w:tcPr>
            <w:tcW w:w="2466" w:type="dxa"/>
            <w:vAlign w:val="center"/>
          </w:tcPr>
          <w:p>
            <w:pPr>
              <w:pStyle w:val="14"/>
            </w:pPr>
            <w:r>
              <w:t>医保信息系统正常运行率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启动DPG/DIP实际付费工作</w:t>
            </w:r>
          </w:p>
        </w:tc>
        <w:tc>
          <w:tcPr>
            <w:tcW w:w="2466" w:type="dxa"/>
            <w:vAlign w:val="center"/>
          </w:tcPr>
          <w:p>
            <w:pPr>
              <w:pStyle w:val="14"/>
            </w:pPr>
            <w:r>
              <w:t>不晚于12月底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购买设备支出节俭率</w:t>
            </w:r>
          </w:p>
        </w:tc>
        <w:tc>
          <w:tcPr>
            <w:tcW w:w="2466" w:type="dxa"/>
            <w:vAlign w:val="center"/>
          </w:tcPr>
          <w:p>
            <w:pPr>
              <w:pStyle w:val="14"/>
            </w:pPr>
            <w:r>
              <w:t>≥5%</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受众政策了解程度</w:t>
            </w:r>
          </w:p>
        </w:tc>
        <w:tc>
          <w:tcPr>
            <w:tcW w:w="2466" w:type="dxa"/>
            <w:vAlign w:val="center"/>
          </w:tcPr>
          <w:p>
            <w:pPr>
              <w:pStyle w:val="14"/>
            </w:pPr>
            <w:r>
              <w:t>参保群众政策知晓率</w:t>
            </w:r>
          </w:p>
        </w:tc>
        <w:tc>
          <w:tcPr>
            <w:tcW w:w="246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参保人员对医保服务的满意度</w:t>
            </w:r>
          </w:p>
        </w:tc>
        <w:tc>
          <w:tcPr>
            <w:tcW w:w="2466" w:type="dxa"/>
            <w:vAlign w:val="center"/>
          </w:tcPr>
          <w:p>
            <w:pPr>
              <w:pStyle w:val="14"/>
            </w:pPr>
            <w:r>
              <w:t>≥85%</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4、离休、建国前老工人、1-6级伤残军人医疗费绩效目标表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1.按时拨付待遇款，保障人员足额享受待遇。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救助人数</w:t>
            </w:r>
          </w:p>
        </w:tc>
        <w:tc>
          <w:tcPr>
            <w:tcW w:w="2466" w:type="dxa"/>
            <w:vAlign w:val="center"/>
          </w:tcPr>
          <w:p>
            <w:pPr>
              <w:pStyle w:val="14"/>
            </w:pPr>
            <w:r>
              <w:t>1-6级伤残军人、省劳模、建国前老工人所享受实报实销人数</w:t>
            </w:r>
          </w:p>
        </w:tc>
        <w:tc>
          <w:tcPr>
            <w:tcW w:w="2466" w:type="dxa"/>
            <w:vAlign w:val="center"/>
          </w:tcPr>
          <w:p>
            <w:pPr>
              <w:pStyle w:val="14"/>
            </w:pPr>
            <w:r>
              <w:t>≥219人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pPr>
          </w:p>
          <w:p>
            <w:pPr>
              <w:pStyle w:val="14"/>
            </w:pPr>
          </w:p>
        </w:tc>
        <w:tc>
          <w:tcPr>
            <w:tcW w:w="2466" w:type="dxa"/>
            <w:vAlign w:val="center"/>
          </w:tcPr>
          <w:p>
            <w:pPr>
              <w:pStyle w:val="14"/>
            </w:pPr>
            <w:r>
              <w:t>资金到位率</w:t>
            </w:r>
          </w:p>
          <w:p>
            <w:pPr>
              <w:pStyle w:val="14"/>
            </w:pPr>
          </w:p>
          <w:p>
            <w:pPr>
              <w:pStyle w:val="14"/>
            </w:pP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报销及时率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补助金额</w:t>
            </w:r>
          </w:p>
        </w:tc>
        <w:tc>
          <w:tcPr>
            <w:tcW w:w="2466" w:type="dxa"/>
            <w:vAlign w:val="center"/>
          </w:tcPr>
          <w:p>
            <w:pPr>
              <w:pStyle w:val="14"/>
            </w:pPr>
            <w:r>
              <w:t>人均年报销金额</w:t>
            </w:r>
          </w:p>
        </w:tc>
        <w:tc>
          <w:tcPr>
            <w:tcW w:w="2466" w:type="dxa"/>
            <w:vAlign w:val="center"/>
          </w:tcPr>
          <w:p>
            <w:pPr>
              <w:pStyle w:val="14"/>
            </w:pPr>
            <w:r>
              <w:t>4.6万元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业务保障能力提升率</w:t>
            </w:r>
          </w:p>
        </w:tc>
        <w:tc>
          <w:tcPr>
            <w:tcW w:w="2466" w:type="dxa"/>
            <w:vAlign w:val="center"/>
          </w:tcPr>
          <w:p>
            <w:pPr>
              <w:pStyle w:val="14"/>
            </w:pPr>
            <w:r>
              <w:t>业务保障能力提升率</w:t>
            </w:r>
          </w:p>
        </w:tc>
        <w:tc>
          <w:tcPr>
            <w:tcW w:w="2466" w:type="dxa"/>
            <w:vAlign w:val="center"/>
          </w:tcPr>
          <w:p>
            <w:pPr>
              <w:pStyle w:val="14"/>
            </w:pPr>
            <w:r>
              <w:t>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5、职工及城乡居民医疗管理经费绩效目标表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1.提升医保服务能力，改善服务场所环境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采购金额完成率（%）</w:t>
            </w:r>
          </w:p>
        </w:tc>
        <w:tc>
          <w:tcPr>
            <w:tcW w:w="2466" w:type="dxa"/>
            <w:vAlign w:val="center"/>
          </w:tcPr>
          <w:p>
            <w:pPr>
              <w:pStyle w:val="14"/>
            </w:pPr>
            <w:r>
              <w:t>采购金额完成率（%）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系统运行质量</w:t>
            </w:r>
          </w:p>
        </w:tc>
        <w:tc>
          <w:tcPr>
            <w:tcW w:w="2466" w:type="dxa"/>
            <w:vAlign w:val="center"/>
          </w:tcPr>
          <w:p>
            <w:pPr>
              <w:pStyle w:val="14"/>
            </w:pPr>
            <w:r>
              <w:t>系统运行质量</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采购及时率</w:t>
            </w:r>
          </w:p>
        </w:tc>
        <w:tc>
          <w:tcPr>
            <w:tcW w:w="2466" w:type="dxa"/>
            <w:vAlign w:val="center"/>
          </w:tcPr>
          <w:p>
            <w:pPr>
              <w:pStyle w:val="14"/>
            </w:pPr>
            <w:r>
              <w:t>软硬件采购完成时间</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≤5%</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社会组织管理能力提升</w:t>
            </w:r>
          </w:p>
        </w:tc>
        <w:tc>
          <w:tcPr>
            <w:tcW w:w="2466" w:type="dxa"/>
            <w:vAlign w:val="center"/>
          </w:tcPr>
          <w:p>
            <w:pPr>
              <w:pStyle w:val="14"/>
            </w:pPr>
            <w:r>
              <w:t>社会组织管理能力提升</w:t>
            </w:r>
          </w:p>
        </w:tc>
        <w:tc>
          <w:tcPr>
            <w:tcW w:w="2466" w:type="dxa"/>
            <w:vAlign w:val="center"/>
          </w:tcPr>
          <w:p>
            <w:pPr>
              <w:pStyle w:val="14"/>
            </w:pPr>
            <w:r>
              <w:t>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2023年，石家庄市藁城区医疗保障局本级安排政府采购预算0.00万元。具体内容见下表。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石家庄市藁城区医疗保障局本级上年末固定资产金额为11.80万元（详见下表）。本年度拟购置固定资产总额为0.00万元，已按要求列入政府采购预算，详见政府采购预算表。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435001石家庄市藁城区医疗保障局本级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ascii="Times New Roman" w:hAnsi="Times New Roman" w:eastAsia="方正仿宋_GBK" w:cs="Times New Roman"/>
          <w:b w:val="0"/>
          <w:color w:val="000000"/>
          <w:sz w:val="28"/>
        </w:rPr>
        <w:t>13010922D11AFAC214E072022年人员经费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B4320D"/>
    <w:rsid w:val="555B6B2F"/>
    <w:rsid w:val="5F1D1217"/>
    <w:rsid w:val="659570F7"/>
    <w:rsid w:val="6CD450E8"/>
    <w:rsid w:val="703D5CAD"/>
    <w:rsid w:val="76071A87"/>
    <w:rsid w:val="FFB676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132</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2023-01-31T18:52:00Z</dcterms:created>
  <dc:creator>Administrator</dc:creator>
  <cp:lastModifiedBy>晴朗</cp:lastModifiedBy>
  <dcterms:modified xsi:type="dcterms:W3CDTF">2024-01-18T08:58:00Z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