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eastAsia="zh-CN"/>
        </w:rPr>
      </w:pPr>
      <w:r>
        <w:rPr>
          <w:rFonts w:ascii="方正小标宋_GBK" w:hAnsi="方正小标宋_GBK" w:eastAsia="方正小标宋_GBK" w:cs="方正小标宋_GBK"/>
          <w:color w:val="000000"/>
          <w:sz w:val="72"/>
        </w:rPr>
        <w:t xml:space="preserve">  </w:t>
      </w:r>
      <w:bookmarkStart w:id="0" w:name="_Toc9537"/>
      <w:r>
        <w:rPr>
          <w:rFonts w:hint="eastAsia" w:ascii="黑体" w:hAnsi="黑体" w:eastAsia="黑体" w:cs="黑体"/>
          <w:b/>
          <w:color w:val="000000"/>
          <w:sz w:val="44"/>
          <w:lang w:eastAsia="zh-CN"/>
        </w:rPr>
        <w:t>中共藁城区委统战部所属单位</w:t>
      </w:r>
      <w:r>
        <w:rPr>
          <w:rFonts w:hint="eastAsia" w:ascii="黑体" w:hAnsi="黑体" w:eastAsia="黑体" w:cs="黑体"/>
          <w:b/>
          <w:color w:val="000000"/>
          <w:sz w:val="44"/>
          <w:lang w:val="en-US" w:eastAsia="zh-CN"/>
        </w:rPr>
        <w:t>2023年单位</w:t>
      </w:r>
      <w:r>
        <w:rPr>
          <w:rFonts w:hint="eastAsia" w:ascii="黑体" w:hAnsi="黑体" w:eastAsia="黑体" w:cs="黑体"/>
          <w:b/>
          <w:color w:val="000000"/>
          <w:sz w:val="44"/>
          <w:lang w:eastAsia="zh-CN"/>
        </w:rPr>
        <w:t>预算公开</w:t>
      </w:r>
      <w:bookmarkEnd w:id="0"/>
    </w:p>
    <w:p>
      <w:pPr>
        <w:spacing w:before="0" w:after="0" w:line="240" w:lineRule="auto"/>
        <w:ind w:firstLine="0"/>
        <w:jc w:val="center"/>
        <w:outlineLvl w:val="9"/>
        <w:rPr>
          <w:rFonts w:hint="eastAsia" w:ascii="黑体" w:hAnsi="黑体" w:eastAsia="黑体" w:cs="黑体"/>
          <w:b/>
          <w:color w:val="000000"/>
          <w:sz w:val="44"/>
          <w:lang w:eastAsia="zh-CN"/>
        </w:rPr>
      </w:pPr>
    </w:p>
    <w:sdt>
      <w:sdtPr>
        <w:rPr>
          <w:rFonts w:ascii="宋体" w:hAnsi="宋体" w:eastAsia="宋体" w:cstheme="minorBidi"/>
          <w:sz w:val="21"/>
          <w:szCs w:val="24"/>
          <w:lang w:val="en-US" w:eastAsia="uk-UA" w:bidi="ar-SA"/>
        </w:rPr>
        <w:id w:val="147480506"/>
        <w15:color w:val="DBDBDB"/>
        <w:docPartObj>
          <w:docPartGallery w:val="Table of Contents"/>
          <w:docPartUnique/>
        </w:docPartObj>
      </w:sdtPr>
      <w:sdtEndPr>
        <w:rPr>
          <w:rFonts w:hint="eastAsia" w:ascii="黑体" w:hAnsi="黑体" w:eastAsia="黑体" w:cs="黑体"/>
          <w:color w:val="000000"/>
          <w:sz w:val="24"/>
          <w:szCs w:val="24"/>
          <w:lang w:val="en-US" w:eastAsia="zh-CN" w:bidi="ar-SA"/>
        </w:rPr>
      </w:sdtEndPr>
      <w:sdtContent>
        <w:p>
          <w:pPr>
            <w:spacing w:before="0" w:beforeLines="0" w:after="0" w:afterLines="0" w:line="240" w:lineRule="auto"/>
            <w:ind w:left="0" w:leftChars="0" w:right="0" w:rightChars="0" w:firstLine="0" w:firstLineChars="0"/>
            <w:jc w:val="center"/>
          </w:pPr>
          <w:r>
            <w:rPr>
              <w:rFonts w:ascii="宋体" w:hAnsi="宋体" w:eastAsia="宋体"/>
              <w:sz w:val="21"/>
            </w:rPr>
            <w:t>目录</w:t>
          </w:r>
        </w:p>
        <w:p>
          <w:pPr>
            <w:pStyle w:val="3"/>
            <w:tabs>
              <w:tab w:val="right" w:leader="dot" w:pos="14800"/>
            </w:tabs>
          </w:pPr>
          <w:r>
            <w:rPr>
              <w:rFonts w:hint="eastAsia" w:ascii="黑体" w:hAnsi="黑体" w:eastAsia="黑体" w:cs="黑体"/>
              <w:b/>
              <w:color w:val="000000"/>
              <w:sz w:val="44"/>
              <w:lang w:eastAsia="zh-CN"/>
            </w:rPr>
            <w:fldChar w:fldCharType="begin"/>
          </w:r>
          <w:r>
            <w:rPr>
              <w:rFonts w:hint="eastAsia" w:ascii="黑体" w:hAnsi="黑体" w:eastAsia="黑体" w:cs="黑体"/>
              <w:b/>
              <w:color w:val="000000"/>
              <w:sz w:val="44"/>
              <w:lang w:eastAsia="zh-CN"/>
            </w:rPr>
            <w:instrText xml:space="preserve">TOC \o "1-1" \h \u </w:instrText>
          </w:r>
          <w:r>
            <w:rPr>
              <w:rFonts w:hint="eastAsia" w:ascii="黑体" w:hAnsi="黑体" w:eastAsia="黑体" w:cs="黑体"/>
              <w:b/>
              <w:color w:val="000000"/>
              <w:sz w:val="44"/>
              <w:lang w:eastAsia="zh-CN"/>
            </w:rPr>
            <w:fldChar w:fldCharType="separate"/>
          </w: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_Toc9537 </w:instrText>
          </w:r>
          <w:r>
            <w:rPr>
              <w:rFonts w:hint="eastAsia" w:ascii="黑体" w:hAnsi="黑体" w:eastAsia="黑体" w:cs="黑体"/>
              <w:lang w:eastAsia="zh-CN"/>
            </w:rPr>
            <w:fldChar w:fldCharType="separate"/>
          </w:r>
          <w:r>
            <w:rPr>
              <w:rFonts w:hint="eastAsia" w:ascii="黑体" w:hAnsi="黑体" w:eastAsia="黑体" w:cs="黑体"/>
              <w:lang w:eastAsia="zh-CN"/>
            </w:rPr>
            <w:t>中共藁城区委统战部所属单位</w:t>
          </w:r>
          <w:r>
            <w:rPr>
              <w:rFonts w:hint="eastAsia" w:ascii="黑体" w:hAnsi="黑体" w:eastAsia="黑体" w:cs="黑体"/>
              <w:lang w:val="en-US" w:eastAsia="zh-CN"/>
            </w:rPr>
            <w:t>2023年单位</w:t>
          </w:r>
          <w:r>
            <w:rPr>
              <w:rFonts w:hint="eastAsia" w:ascii="黑体" w:hAnsi="黑体" w:eastAsia="黑体" w:cs="黑体"/>
              <w:lang w:eastAsia="zh-CN"/>
            </w:rPr>
            <w:t>预算公开</w:t>
          </w:r>
          <w:r>
            <w:tab/>
          </w:r>
          <w:r>
            <w:fldChar w:fldCharType="begin"/>
          </w:r>
          <w:r>
            <w:instrText xml:space="preserve"> PAGEREF _Toc9537 \h </w:instrText>
          </w:r>
          <w:r>
            <w:fldChar w:fldCharType="separate"/>
          </w:r>
          <w:r>
            <w:t>1</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_Toc18014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单位预算收支总表</w:t>
          </w:r>
          <w:r>
            <w:tab/>
          </w:r>
          <w:r>
            <w:fldChar w:fldCharType="begin"/>
          </w:r>
          <w:r>
            <w:instrText xml:space="preserve"> PAGEREF _Toc18014 \h </w:instrText>
          </w:r>
          <w:r>
            <w:fldChar w:fldCharType="separate"/>
          </w:r>
          <w:r>
            <w:t>3</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_Toc13899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单位预算收入总表</w:t>
          </w:r>
          <w:r>
            <w:tab/>
          </w:r>
          <w:r>
            <w:fldChar w:fldCharType="begin"/>
          </w:r>
          <w:r>
            <w:instrText xml:space="preserve"> PAGEREF _Toc13899 \h </w:instrText>
          </w:r>
          <w:r>
            <w:fldChar w:fldCharType="separate"/>
          </w:r>
          <w:r>
            <w:t>6</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_Toc9192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单位预算支出总表</w:t>
          </w:r>
          <w:r>
            <w:tab/>
          </w:r>
          <w:r>
            <w:fldChar w:fldCharType="begin"/>
          </w:r>
          <w:r>
            <w:instrText xml:space="preserve"> PAGEREF _Toc9192 \h </w:instrText>
          </w:r>
          <w:r>
            <w:fldChar w:fldCharType="separate"/>
          </w:r>
          <w:r>
            <w:t>8</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_Toc15701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单位预算财政拨款收支总表</w:t>
          </w:r>
          <w:r>
            <w:tab/>
          </w:r>
          <w:r>
            <w:fldChar w:fldCharType="begin"/>
          </w:r>
          <w:r>
            <w:instrText xml:space="preserve"> PAGEREF _Toc15701 \h </w:instrText>
          </w:r>
          <w:r>
            <w:fldChar w:fldCharType="separate"/>
          </w:r>
          <w:r>
            <w:t>9</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_Toc15088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单位预算一般公共预算财政拨款支出表</w:t>
          </w:r>
          <w:r>
            <w:tab/>
          </w:r>
          <w:r>
            <w:fldChar w:fldCharType="begin"/>
          </w:r>
          <w:r>
            <w:instrText xml:space="preserve"> PAGEREF _Toc15088 \h </w:instrText>
          </w:r>
          <w:r>
            <w:fldChar w:fldCharType="separate"/>
          </w:r>
          <w:r>
            <w:t>16</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_Toc21095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单位预算一般公共预算财政拨款基本支出表</w:t>
          </w:r>
          <w:r>
            <w:tab/>
          </w:r>
          <w:r>
            <w:fldChar w:fldCharType="begin"/>
          </w:r>
          <w:r>
            <w:instrText xml:space="preserve"> PAGEREF _Toc21095 \h </w:instrText>
          </w:r>
          <w:r>
            <w:fldChar w:fldCharType="separate"/>
          </w:r>
          <w:r>
            <w:t>17</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_Toc20827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单位预算政府基金预算财政拨款支出表</w:t>
          </w:r>
          <w:r>
            <w:tab/>
          </w:r>
          <w:r>
            <w:fldChar w:fldCharType="begin"/>
          </w:r>
          <w:r>
            <w:instrText xml:space="preserve"> PAGEREF _Toc20827 \h </w:instrText>
          </w:r>
          <w:r>
            <w:fldChar w:fldCharType="separate"/>
          </w:r>
          <w:r>
            <w:t>19</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_Toc25061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单位预算国有资本经营预算财政拨款支出表</w:t>
          </w:r>
          <w:r>
            <w:tab/>
          </w:r>
          <w:r>
            <w:fldChar w:fldCharType="begin"/>
          </w:r>
          <w:r>
            <w:instrText xml:space="preserve"> PAGEREF _Toc25061 \h </w:instrText>
          </w:r>
          <w:r>
            <w:fldChar w:fldCharType="separate"/>
          </w:r>
          <w:r>
            <w:t>20</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_Toc12228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单位预算财政拨款“三公”经费支出表</w:t>
          </w:r>
          <w:r>
            <w:tab/>
          </w:r>
          <w:r>
            <w:fldChar w:fldCharType="begin"/>
          </w:r>
          <w:r>
            <w:instrText xml:space="preserve"> PAGEREF _Toc12228 \h </w:instrText>
          </w:r>
          <w:r>
            <w:fldChar w:fldCharType="separate"/>
          </w:r>
          <w:r>
            <w:t>21</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_Toc4256 </w:instrText>
          </w:r>
          <w:r>
            <w:rPr>
              <w:rFonts w:hint="eastAsia" w:ascii="黑体" w:hAnsi="黑体" w:eastAsia="黑体" w:cs="黑体"/>
              <w:lang w:eastAsia="zh-CN"/>
            </w:rPr>
            <w:fldChar w:fldCharType="separate"/>
          </w:r>
          <w:r>
            <w:rPr>
              <w:rFonts w:ascii="方正小标宋_GBK" w:hAnsi="方正小标宋_GBK" w:eastAsia="方正小标宋_GBK" w:cs="方正小标宋_GBK"/>
            </w:rPr>
            <w:t>中国共产党石家庄市藁城区委员会统战部本级2023年单位预算信息公开情况说明</w:t>
          </w:r>
          <w:r>
            <w:tab/>
          </w:r>
          <w:r>
            <w:fldChar w:fldCharType="begin"/>
          </w:r>
          <w:r>
            <w:instrText xml:space="preserve"> PAGEREF _Toc4256 \h </w:instrText>
          </w:r>
          <w:r>
            <w:fldChar w:fldCharType="separate"/>
          </w:r>
          <w:r>
            <w:t>22</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_Toc29651 </w:instrText>
          </w:r>
          <w:r>
            <w:rPr>
              <w:rFonts w:hint="eastAsia" w:ascii="黑体" w:hAnsi="黑体" w:eastAsia="黑体" w:cs="黑体"/>
              <w:lang w:eastAsia="zh-CN"/>
            </w:rPr>
            <w:fldChar w:fldCharType="separate"/>
          </w:r>
          <w:r>
            <w:rPr>
              <w:rFonts w:ascii="黑体" w:hAnsi="黑体" w:eastAsia="黑体" w:cs="黑体"/>
            </w:rPr>
            <w:t>一、单位职责及机构设置情况</w:t>
          </w:r>
          <w:r>
            <w:tab/>
          </w:r>
          <w:r>
            <w:fldChar w:fldCharType="begin"/>
          </w:r>
          <w:r>
            <w:instrText xml:space="preserve"> PAGEREF _Toc29651 \h </w:instrText>
          </w:r>
          <w:r>
            <w:fldChar w:fldCharType="separate"/>
          </w:r>
          <w:r>
            <w:t>22</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_Toc18766 </w:instrText>
          </w:r>
          <w:r>
            <w:rPr>
              <w:rFonts w:hint="eastAsia" w:ascii="黑体" w:hAnsi="黑体" w:eastAsia="黑体" w:cs="黑体"/>
              <w:lang w:eastAsia="zh-CN"/>
            </w:rPr>
            <w:fldChar w:fldCharType="separate"/>
          </w:r>
          <w:r>
            <w:rPr>
              <w:rFonts w:ascii="黑体" w:hAnsi="黑体" w:eastAsia="黑体" w:cs="黑体"/>
            </w:rPr>
            <w:t>二、单位预算安排的总体情况</w:t>
          </w:r>
          <w:r>
            <w:tab/>
          </w:r>
          <w:r>
            <w:fldChar w:fldCharType="begin"/>
          </w:r>
          <w:r>
            <w:instrText xml:space="preserve"> PAGEREF _Toc18766 \h </w:instrText>
          </w:r>
          <w:r>
            <w:fldChar w:fldCharType="separate"/>
          </w:r>
          <w:r>
            <w:t>24</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_Toc23122 </w:instrText>
          </w:r>
          <w:r>
            <w:rPr>
              <w:rFonts w:hint="eastAsia" w:ascii="黑体" w:hAnsi="黑体" w:eastAsia="黑体" w:cs="黑体"/>
              <w:lang w:eastAsia="zh-CN"/>
            </w:rPr>
            <w:fldChar w:fldCharType="separate"/>
          </w:r>
          <w:r>
            <w:rPr>
              <w:rFonts w:ascii="黑体" w:hAnsi="黑体" w:eastAsia="黑体" w:cs="黑体"/>
            </w:rPr>
            <w:t>三、机关运行经费安排情况</w:t>
          </w:r>
          <w:r>
            <w:tab/>
          </w:r>
          <w:r>
            <w:fldChar w:fldCharType="begin"/>
          </w:r>
          <w:r>
            <w:instrText xml:space="preserve"> PAGEREF _Toc23122 \h </w:instrText>
          </w:r>
          <w:r>
            <w:fldChar w:fldCharType="separate"/>
          </w:r>
          <w:r>
            <w:t>25</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_Toc1755 </w:instrText>
          </w:r>
          <w:r>
            <w:rPr>
              <w:rFonts w:hint="eastAsia" w:ascii="黑体" w:hAnsi="黑体" w:eastAsia="黑体" w:cs="黑体"/>
              <w:lang w:eastAsia="zh-CN"/>
            </w:rPr>
            <w:fldChar w:fldCharType="separate"/>
          </w:r>
          <w:r>
            <w:rPr>
              <w:rFonts w:ascii="黑体" w:hAnsi="黑体" w:eastAsia="黑体" w:cs="黑体"/>
            </w:rPr>
            <w:t>四、财政拨款“三公”经费预算情况及增减变化原因</w:t>
          </w:r>
          <w:r>
            <w:tab/>
          </w:r>
          <w:r>
            <w:fldChar w:fldCharType="begin"/>
          </w:r>
          <w:r>
            <w:instrText xml:space="preserve"> PAGEREF _Toc1755 \h </w:instrText>
          </w:r>
          <w:r>
            <w:fldChar w:fldCharType="separate"/>
          </w:r>
          <w:r>
            <w:t>25</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_Toc26293 </w:instrText>
          </w:r>
          <w:r>
            <w:rPr>
              <w:rFonts w:hint="eastAsia" w:ascii="黑体" w:hAnsi="黑体" w:eastAsia="黑体" w:cs="黑体"/>
              <w:lang w:eastAsia="zh-CN"/>
            </w:rPr>
            <w:fldChar w:fldCharType="separate"/>
          </w:r>
          <w:r>
            <w:rPr>
              <w:rFonts w:ascii="黑体" w:hAnsi="黑体" w:eastAsia="黑体" w:cs="黑体"/>
            </w:rPr>
            <w:t>五、预算绩效信息</w:t>
          </w:r>
          <w:r>
            <w:tab/>
          </w:r>
          <w:r>
            <w:fldChar w:fldCharType="begin"/>
          </w:r>
          <w:r>
            <w:instrText xml:space="preserve"> PAGEREF _Toc26293 \h </w:instrText>
          </w:r>
          <w:r>
            <w:fldChar w:fldCharType="separate"/>
          </w:r>
          <w:r>
            <w:t>26</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_Toc18996 </w:instrText>
          </w:r>
          <w:r>
            <w:rPr>
              <w:rFonts w:hint="eastAsia" w:ascii="黑体" w:hAnsi="黑体" w:eastAsia="黑体" w:cs="黑体"/>
              <w:lang w:eastAsia="zh-CN"/>
            </w:rPr>
            <w:fldChar w:fldCharType="separate"/>
          </w:r>
          <w:r>
            <w:rPr>
              <w:rFonts w:ascii="黑体" w:hAnsi="黑体" w:eastAsia="黑体" w:cs="黑体"/>
            </w:rPr>
            <w:t>六、政府采购预算情况</w:t>
          </w:r>
          <w:r>
            <w:tab/>
          </w:r>
          <w:r>
            <w:fldChar w:fldCharType="begin"/>
          </w:r>
          <w:r>
            <w:instrText xml:space="preserve"> PAGEREF _Toc18996 \h </w:instrText>
          </w:r>
          <w:r>
            <w:fldChar w:fldCharType="separate"/>
          </w:r>
          <w:r>
            <w:t>33</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_Toc15422 </w:instrText>
          </w:r>
          <w:r>
            <w:rPr>
              <w:rFonts w:hint="eastAsia" w:ascii="黑体" w:hAnsi="黑体" w:eastAsia="黑体" w:cs="黑体"/>
              <w:lang w:eastAsia="zh-CN"/>
            </w:rPr>
            <w:fldChar w:fldCharType="separate"/>
          </w:r>
          <w:r>
            <w:rPr>
              <w:rFonts w:ascii="黑体" w:hAnsi="黑体" w:eastAsia="黑体" w:cs="黑体"/>
            </w:rPr>
            <w:t>七、国有资产信息</w:t>
          </w:r>
          <w:r>
            <w:tab/>
          </w:r>
          <w:r>
            <w:fldChar w:fldCharType="begin"/>
          </w:r>
          <w:r>
            <w:instrText xml:space="preserve"> PAGEREF _Toc15422 \h </w:instrText>
          </w:r>
          <w:r>
            <w:fldChar w:fldCharType="separate"/>
          </w:r>
          <w:r>
            <w:t>33</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_Toc24444 </w:instrText>
          </w:r>
          <w:r>
            <w:rPr>
              <w:rFonts w:hint="eastAsia" w:ascii="黑体" w:hAnsi="黑体" w:eastAsia="黑体" w:cs="黑体"/>
              <w:lang w:eastAsia="zh-CN"/>
            </w:rPr>
            <w:fldChar w:fldCharType="separate"/>
          </w:r>
          <w:r>
            <w:rPr>
              <w:rFonts w:ascii="黑体" w:hAnsi="黑体" w:eastAsia="黑体" w:cs="黑体"/>
            </w:rPr>
            <w:t>八、名词解释</w:t>
          </w:r>
          <w:r>
            <w:tab/>
          </w:r>
          <w:r>
            <w:fldChar w:fldCharType="begin"/>
          </w:r>
          <w:r>
            <w:instrText xml:space="preserve"> PAGEREF _Toc24444 \h </w:instrText>
          </w:r>
          <w:r>
            <w:fldChar w:fldCharType="separate"/>
          </w:r>
          <w:r>
            <w:t>34</w:t>
          </w:r>
          <w:r>
            <w:fldChar w:fldCharType="end"/>
          </w:r>
          <w:r>
            <w:rPr>
              <w:rFonts w:hint="eastAsia" w:ascii="黑体" w:hAnsi="黑体" w:eastAsia="黑体" w:cs="黑体"/>
              <w:color w:val="000000"/>
              <w:lang w:eastAsia="zh-CN"/>
            </w:rPr>
            <w:fldChar w:fldCharType="end"/>
          </w:r>
        </w:p>
        <w:p>
          <w:pPr>
            <w:pStyle w:val="3"/>
            <w:tabs>
              <w:tab w:val="right" w:leader="dot" w:pos="14800"/>
            </w:tabs>
          </w:pPr>
          <w:r>
            <w:rPr>
              <w:rFonts w:hint="eastAsia" w:ascii="黑体" w:hAnsi="黑体" w:eastAsia="黑体" w:cs="黑体"/>
              <w:color w:val="000000"/>
              <w:lang w:eastAsia="zh-CN"/>
            </w:rPr>
            <w:fldChar w:fldCharType="begin"/>
          </w:r>
          <w:r>
            <w:rPr>
              <w:rFonts w:hint="eastAsia" w:ascii="黑体" w:hAnsi="黑体" w:eastAsia="黑体" w:cs="黑体"/>
              <w:lang w:eastAsia="zh-CN"/>
            </w:rPr>
            <w:instrText xml:space="preserve"> HYPERLINK \l _Toc23777 </w:instrText>
          </w:r>
          <w:r>
            <w:rPr>
              <w:rFonts w:hint="eastAsia" w:ascii="黑体" w:hAnsi="黑体" w:eastAsia="黑体" w:cs="黑体"/>
              <w:lang w:eastAsia="zh-CN"/>
            </w:rPr>
            <w:fldChar w:fldCharType="separate"/>
          </w:r>
          <w:r>
            <w:rPr>
              <w:rFonts w:ascii="黑体" w:hAnsi="黑体" w:eastAsia="黑体" w:cs="黑体"/>
            </w:rPr>
            <w:t>九、其他需要说明的事项</w:t>
          </w:r>
          <w:r>
            <w:tab/>
          </w:r>
          <w:r>
            <w:fldChar w:fldCharType="begin"/>
          </w:r>
          <w:r>
            <w:instrText xml:space="preserve"> PAGEREF _Toc23777 \h </w:instrText>
          </w:r>
          <w:r>
            <w:fldChar w:fldCharType="separate"/>
          </w:r>
          <w:r>
            <w:t>35</w:t>
          </w:r>
          <w:r>
            <w:fldChar w:fldCharType="end"/>
          </w:r>
          <w:r>
            <w:rPr>
              <w:rFonts w:hint="eastAsia" w:ascii="黑体" w:hAnsi="黑体" w:eastAsia="黑体" w:cs="黑体"/>
              <w:color w:val="000000"/>
              <w:lang w:eastAsia="zh-CN"/>
            </w:rPr>
            <w:fldChar w:fldCharType="end"/>
          </w:r>
        </w:p>
        <w:p>
          <w:pPr>
            <w:spacing w:before="0" w:after="0" w:line="240" w:lineRule="auto"/>
            <w:ind w:firstLine="0"/>
            <w:jc w:val="center"/>
            <w:outlineLvl w:val="9"/>
            <w:rPr>
              <w:rFonts w:hint="eastAsia" w:ascii="黑体" w:hAnsi="黑体" w:eastAsia="黑体" w:cs="黑体"/>
              <w:b/>
              <w:color w:val="000000"/>
              <w:sz w:val="44"/>
              <w:lang w:eastAsia="zh-CN"/>
            </w:rPr>
            <w:sectPr>
              <w:footerReference r:id="rId3" w:type="default"/>
              <w:footerReference r:id="rId4" w:type="even"/>
              <w:pgSz w:w="16840" w:h="11900" w:orient="landscape"/>
              <w:pgMar w:top="1361" w:right="1020" w:bottom="1134" w:left="1020" w:header="720" w:footer="720" w:gutter="0"/>
              <w:cols w:space="720" w:num="1"/>
            </w:sectPr>
          </w:pPr>
          <w:r>
            <w:rPr>
              <w:rFonts w:hint="eastAsia" w:ascii="黑体" w:hAnsi="黑体" w:eastAsia="黑体" w:cs="黑体"/>
              <w:color w:val="000000"/>
              <w:lang w:eastAsia="zh-CN"/>
            </w:rPr>
            <w:fldChar w:fldCharType="end"/>
          </w:r>
        </w:p>
      </w:sdtContent>
    </w:sdt>
    <w:p>
      <w:pPr>
        <w:spacing w:before="0" w:after="0" w:line="240" w:lineRule="auto"/>
        <w:ind w:firstLine="0"/>
        <w:jc w:val="center"/>
        <w:outlineLvl w:val="0"/>
      </w:pPr>
      <w:bookmarkStart w:id="1" w:name="_Toc18014"/>
      <w:r>
        <w:rPr>
          <w:rFonts w:ascii="方正小标宋_GBK" w:hAnsi="方正小标宋_GBK" w:eastAsia="方正小标宋_GBK" w:cs="方正小标宋_GBK"/>
          <w:color w:val="000000"/>
          <w:sz w:val="36"/>
        </w:rPr>
        <w:t>单位预算收支总表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282.12</w:t>
            </w:r>
          </w:p>
        </w:tc>
        <w:tc>
          <w:tcPr>
            <w:tcW w:w="4535" w:type="dxa"/>
            <w:vAlign w:val="center"/>
          </w:tcPr>
          <w:p>
            <w:pPr>
              <w:pStyle w:val="14"/>
            </w:pPr>
            <w:r>
              <w:t>一、一般公共服务支出</w:t>
            </w:r>
          </w:p>
        </w:tc>
        <w:tc>
          <w:tcPr>
            <w:tcW w:w="2126" w:type="dxa"/>
            <w:vAlign w:val="center"/>
          </w:tcPr>
          <w:p>
            <w:pPr>
              <w:pStyle w:val="13"/>
            </w:pPr>
            <w:r>
              <w:t>289.12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282.12</w:t>
            </w:r>
          </w:p>
        </w:tc>
        <w:tc>
          <w:tcPr>
            <w:tcW w:w="4535" w:type="dxa"/>
            <w:vAlign w:val="center"/>
          </w:tcPr>
          <w:p>
            <w:pPr>
              <w:pStyle w:val="16"/>
            </w:pPr>
            <w:r>
              <w:t>本年支出合计</w:t>
            </w:r>
          </w:p>
        </w:tc>
        <w:tc>
          <w:tcPr>
            <w:tcW w:w="2126" w:type="dxa"/>
            <w:vAlign w:val="center"/>
          </w:tcPr>
          <w:p>
            <w:pPr>
              <w:pStyle w:val="17"/>
            </w:pPr>
            <w:r>
              <w:t>289.12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289.12</w:t>
            </w:r>
          </w:p>
        </w:tc>
        <w:tc>
          <w:tcPr>
            <w:tcW w:w="4535" w:type="dxa"/>
            <w:vAlign w:val="center"/>
          </w:tcPr>
          <w:p>
            <w:pPr>
              <w:pStyle w:val="16"/>
            </w:pPr>
            <w:r>
              <w:t>支出总计</w:t>
            </w:r>
          </w:p>
        </w:tc>
        <w:tc>
          <w:tcPr>
            <w:tcW w:w="2126" w:type="dxa"/>
            <w:vAlign w:val="center"/>
          </w:tcPr>
          <w:p>
            <w:pPr>
              <w:pStyle w:val="17"/>
            </w:pPr>
            <w:r>
              <w:t>289.12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2" w:name="_Toc13899"/>
      <w:r>
        <w:rPr>
          <w:rFonts w:ascii="方正小标宋_GBK" w:hAnsi="方正小标宋_GBK" w:eastAsia="方正小标宋_GBK" w:cs="方正小标宋_GBK"/>
          <w:color w:val="000000"/>
          <w:sz w:val="36"/>
        </w:rPr>
        <w:t>单位预算收入总表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289.12</w:t>
            </w:r>
          </w:p>
        </w:tc>
        <w:tc>
          <w:tcPr>
            <w:tcW w:w="1134" w:type="dxa"/>
            <w:vAlign w:val="center"/>
          </w:tcPr>
          <w:p>
            <w:pPr>
              <w:pStyle w:val="17"/>
            </w:pPr>
            <w:r>
              <w:t>282.12</w:t>
            </w:r>
          </w:p>
        </w:tc>
        <w:tc>
          <w:tcPr>
            <w:tcW w:w="1134" w:type="dxa"/>
            <w:vAlign w:val="center"/>
          </w:tcPr>
          <w:p>
            <w:pPr>
              <w:pStyle w:val="17"/>
            </w:pPr>
            <w:r>
              <w:t>282.12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289.12</w:t>
            </w:r>
          </w:p>
        </w:tc>
        <w:tc>
          <w:tcPr>
            <w:tcW w:w="1134" w:type="dxa"/>
            <w:vAlign w:val="center"/>
          </w:tcPr>
          <w:p>
            <w:pPr>
              <w:pStyle w:val="13"/>
            </w:pPr>
            <w:r>
              <w:t>282.12</w:t>
            </w:r>
          </w:p>
        </w:tc>
        <w:tc>
          <w:tcPr>
            <w:tcW w:w="1134" w:type="dxa"/>
            <w:vAlign w:val="center"/>
          </w:tcPr>
          <w:p>
            <w:pPr>
              <w:pStyle w:val="13"/>
            </w:pPr>
            <w:r>
              <w:t>282.12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289.12</w:t>
            </w:r>
          </w:p>
        </w:tc>
        <w:tc>
          <w:tcPr>
            <w:tcW w:w="1134" w:type="dxa"/>
            <w:vAlign w:val="center"/>
          </w:tcPr>
          <w:p>
            <w:pPr>
              <w:pStyle w:val="13"/>
            </w:pPr>
            <w:r>
              <w:t>282.12</w:t>
            </w:r>
          </w:p>
        </w:tc>
        <w:tc>
          <w:tcPr>
            <w:tcW w:w="1134" w:type="dxa"/>
            <w:vAlign w:val="center"/>
          </w:tcPr>
          <w:p>
            <w:pPr>
              <w:pStyle w:val="13"/>
            </w:pPr>
            <w:r>
              <w:t>282.12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258.38</w:t>
            </w:r>
          </w:p>
        </w:tc>
        <w:tc>
          <w:tcPr>
            <w:tcW w:w="1134" w:type="dxa"/>
            <w:vAlign w:val="center"/>
          </w:tcPr>
          <w:p>
            <w:pPr>
              <w:pStyle w:val="13"/>
            </w:pPr>
            <w:r>
              <w:t>258.38</w:t>
            </w:r>
          </w:p>
        </w:tc>
        <w:tc>
          <w:tcPr>
            <w:tcW w:w="1134" w:type="dxa"/>
            <w:vAlign w:val="center"/>
          </w:tcPr>
          <w:p>
            <w:pPr>
              <w:pStyle w:val="13"/>
            </w:pPr>
            <w:r>
              <w:t>258.38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17.00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2013405</w:t>
            </w:r>
          </w:p>
        </w:tc>
        <w:tc>
          <w:tcPr>
            <w:tcW w:w="1559" w:type="dxa"/>
            <w:vAlign w:val="center"/>
          </w:tcPr>
          <w:p>
            <w:pPr>
              <w:pStyle w:val="14"/>
            </w:pPr>
            <w:r>
              <w:t>华侨事务</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3" w:name="_Toc9192"/>
      <w:r>
        <w:rPr>
          <w:rFonts w:ascii="方正小标宋_GBK" w:hAnsi="方正小标宋_GBK" w:eastAsia="方正小标宋_GBK" w:cs="方正小标宋_GBK"/>
          <w:color w:val="000000"/>
          <w:sz w:val="36"/>
        </w:rPr>
        <w:t>单位预算支出总表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289.12</w:t>
            </w:r>
          </w:p>
        </w:tc>
        <w:tc>
          <w:tcPr>
            <w:tcW w:w="1361" w:type="dxa"/>
            <w:vAlign w:val="center"/>
          </w:tcPr>
          <w:p>
            <w:pPr>
              <w:pStyle w:val="17"/>
            </w:pPr>
            <w:r>
              <w:t>258.38</w:t>
            </w:r>
          </w:p>
        </w:tc>
        <w:tc>
          <w:tcPr>
            <w:tcW w:w="1361" w:type="dxa"/>
            <w:vAlign w:val="center"/>
          </w:tcPr>
          <w:p>
            <w:pPr>
              <w:pStyle w:val="17"/>
            </w:pPr>
            <w:r>
              <w:t>30.74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289.12</w:t>
            </w:r>
          </w:p>
        </w:tc>
        <w:tc>
          <w:tcPr>
            <w:tcW w:w="1361" w:type="dxa"/>
            <w:vAlign w:val="center"/>
          </w:tcPr>
          <w:p>
            <w:pPr>
              <w:pStyle w:val="13"/>
            </w:pPr>
            <w:r>
              <w:t>258.38</w:t>
            </w:r>
          </w:p>
        </w:tc>
        <w:tc>
          <w:tcPr>
            <w:tcW w:w="1361" w:type="dxa"/>
            <w:vAlign w:val="center"/>
          </w:tcPr>
          <w:p>
            <w:pPr>
              <w:pStyle w:val="13"/>
            </w:pPr>
            <w:r>
              <w:t>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289.12</w:t>
            </w:r>
          </w:p>
        </w:tc>
        <w:tc>
          <w:tcPr>
            <w:tcW w:w="1361" w:type="dxa"/>
            <w:vAlign w:val="center"/>
          </w:tcPr>
          <w:p>
            <w:pPr>
              <w:pStyle w:val="13"/>
            </w:pPr>
            <w:r>
              <w:t>258.38</w:t>
            </w:r>
          </w:p>
        </w:tc>
        <w:tc>
          <w:tcPr>
            <w:tcW w:w="1361" w:type="dxa"/>
            <w:vAlign w:val="center"/>
          </w:tcPr>
          <w:p>
            <w:pPr>
              <w:pStyle w:val="13"/>
            </w:pPr>
            <w:r>
              <w:t>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5" w:type="dxa"/>
            <w:vAlign w:val="center"/>
          </w:tcPr>
          <w:p>
            <w:pPr>
              <w:pStyle w:val="14"/>
            </w:pPr>
            <w:r>
              <w:t>行政运行</w:t>
            </w:r>
          </w:p>
        </w:tc>
        <w:tc>
          <w:tcPr>
            <w:tcW w:w="1361" w:type="dxa"/>
            <w:vAlign w:val="center"/>
          </w:tcPr>
          <w:p>
            <w:pPr>
              <w:pStyle w:val="13"/>
            </w:pPr>
            <w:r>
              <w:t>258.38</w:t>
            </w:r>
          </w:p>
        </w:tc>
        <w:tc>
          <w:tcPr>
            <w:tcW w:w="1361" w:type="dxa"/>
            <w:vAlign w:val="center"/>
          </w:tcPr>
          <w:p>
            <w:pPr>
              <w:pStyle w:val="13"/>
            </w:pPr>
            <w:r>
              <w:t>258.38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5" w:type="dxa"/>
            <w:vAlign w:val="center"/>
          </w:tcPr>
          <w:p>
            <w:pPr>
              <w:pStyle w:val="14"/>
            </w:pPr>
            <w:r>
              <w:t>一般行政管理事务</w:t>
            </w: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2013405</w:t>
            </w:r>
          </w:p>
        </w:tc>
        <w:tc>
          <w:tcPr>
            <w:tcW w:w="4535" w:type="dxa"/>
            <w:vAlign w:val="center"/>
          </w:tcPr>
          <w:p>
            <w:pPr>
              <w:pStyle w:val="14"/>
            </w:pPr>
            <w:r>
              <w:t>华侨事务</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4" w:name="_Toc15701"/>
      <w:r>
        <w:rPr>
          <w:rFonts w:ascii="方正小标宋_GBK" w:hAnsi="方正小标宋_GBK" w:eastAsia="方正小标宋_GBK" w:cs="方正小标宋_GBK"/>
          <w:color w:val="000000"/>
          <w:sz w:val="36"/>
        </w:rPr>
        <w:t>单位预算财政拨款收支总表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282.12</w:t>
            </w:r>
          </w:p>
        </w:tc>
        <w:tc>
          <w:tcPr>
            <w:tcW w:w="3402" w:type="dxa"/>
            <w:vAlign w:val="center"/>
          </w:tcPr>
          <w:p>
            <w:pPr>
              <w:pStyle w:val="14"/>
            </w:pPr>
            <w:r>
              <w:t>一、一般公共服务支出</w:t>
            </w:r>
          </w:p>
        </w:tc>
        <w:tc>
          <w:tcPr>
            <w:tcW w:w="1474" w:type="dxa"/>
            <w:vAlign w:val="center"/>
          </w:tcPr>
          <w:p>
            <w:pPr>
              <w:pStyle w:val="13"/>
            </w:pPr>
            <w:r>
              <w:t>289.12</w:t>
            </w:r>
          </w:p>
        </w:tc>
        <w:tc>
          <w:tcPr>
            <w:tcW w:w="1474" w:type="dxa"/>
            <w:vAlign w:val="center"/>
          </w:tcPr>
          <w:p>
            <w:pPr>
              <w:pStyle w:val="13"/>
            </w:pPr>
            <w:r>
              <w:t>289.12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282.12</w:t>
            </w:r>
          </w:p>
        </w:tc>
        <w:tc>
          <w:tcPr>
            <w:tcW w:w="3402" w:type="dxa"/>
            <w:vAlign w:val="center"/>
          </w:tcPr>
          <w:p>
            <w:pPr>
              <w:pStyle w:val="16"/>
            </w:pPr>
            <w:r>
              <w:t>本年支出合计</w:t>
            </w:r>
          </w:p>
        </w:tc>
        <w:tc>
          <w:tcPr>
            <w:tcW w:w="1474" w:type="dxa"/>
            <w:vAlign w:val="center"/>
          </w:tcPr>
          <w:p>
            <w:pPr>
              <w:pStyle w:val="17"/>
            </w:pPr>
            <w:r>
              <w:t>289.12</w:t>
            </w:r>
          </w:p>
        </w:tc>
        <w:tc>
          <w:tcPr>
            <w:tcW w:w="1474" w:type="dxa"/>
            <w:vAlign w:val="center"/>
          </w:tcPr>
          <w:p>
            <w:pPr>
              <w:pStyle w:val="17"/>
            </w:pPr>
            <w:r>
              <w:t>289.12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289.12</w:t>
            </w:r>
          </w:p>
        </w:tc>
        <w:tc>
          <w:tcPr>
            <w:tcW w:w="3402" w:type="dxa"/>
            <w:vAlign w:val="center"/>
          </w:tcPr>
          <w:p>
            <w:pPr>
              <w:pStyle w:val="16"/>
            </w:pPr>
            <w:r>
              <w:t>支出总计</w:t>
            </w:r>
          </w:p>
        </w:tc>
        <w:tc>
          <w:tcPr>
            <w:tcW w:w="1474" w:type="dxa"/>
            <w:vAlign w:val="center"/>
          </w:tcPr>
          <w:p>
            <w:pPr>
              <w:pStyle w:val="17"/>
            </w:pPr>
            <w:r>
              <w:t>289.12</w:t>
            </w:r>
          </w:p>
        </w:tc>
        <w:tc>
          <w:tcPr>
            <w:tcW w:w="1474" w:type="dxa"/>
            <w:vAlign w:val="center"/>
          </w:tcPr>
          <w:p>
            <w:pPr>
              <w:pStyle w:val="17"/>
            </w:pPr>
            <w:r>
              <w:t>289.12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5" w:name="_Toc15088"/>
      <w:r>
        <w:rPr>
          <w:rFonts w:ascii="方正小标宋_GBK" w:hAnsi="方正小标宋_GBK" w:eastAsia="方正小标宋_GBK" w:cs="方正小标宋_GBK"/>
          <w:color w:val="000000"/>
          <w:sz w:val="36"/>
        </w:rPr>
        <w:t>单位预算一般公共预算财政拨款支出表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289.12</w:t>
            </w:r>
          </w:p>
        </w:tc>
        <w:tc>
          <w:tcPr>
            <w:tcW w:w="2551" w:type="dxa"/>
            <w:vAlign w:val="center"/>
          </w:tcPr>
          <w:p>
            <w:pPr>
              <w:pStyle w:val="17"/>
            </w:pPr>
            <w:r>
              <w:t>258.38</w:t>
            </w:r>
          </w:p>
        </w:tc>
        <w:tc>
          <w:tcPr>
            <w:tcW w:w="2551" w:type="dxa"/>
            <w:vAlign w:val="center"/>
          </w:tcPr>
          <w:p>
            <w:pPr>
              <w:pStyle w:val="17"/>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289.12</w:t>
            </w:r>
          </w:p>
        </w:tc>
        <w:tc>
          <w:tcPr>
            <w:tcW w:w="2551" w:type="dxa"/>
            <w:vAlign w:val="center"/>
          </w:tcPr>
          <w:p>
            <w:pPr>
              <w:pStyle w:val="13"/>
            </w:pPr>
            <w:r>
              <w:t>258.38</w:t>
            </w:r>
          </w:p>
        </w:tc>
        <w:tc>
          <w:tcPr>
            <w:tcW w:w="2551" w:type="dxa"/>
            <w:vAlign w:val="center"/>
          </w:tcPr>
          <w:p>
            <w:pPr>
              <w:pStyle w:val="13"/>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289.12</w:t>
            </w:r>
          </w:p>
        </w:tc>
        <w:tc>
          <w:tcPr>
            <w:tcW w:w="2551" w:type="dxa"/>
            <w:vAlign w:val="center"/>
          </w:tcPr>
          <w:p>
            <w:pPr>
              <w:pStyle w:val="13"/>
            </w:pPr>
            <w:r>
              <w:t>258.38</w:t>
            </w:r>
          </w:p>
        </w:tc>
        <w:tc>
          <w:tcPr>
            <w:tcW w:w="2551" w:type="dxa"/>
            <w:vAlign w:val="center"/>
          </w:tcPr>
          <w:p>
            <w:pPr>
              <w:pStyle w:val="13"/>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258.38</w:t>
            </w:r>
          </w:p>
        </w:tc>
        <w:tc>
          <w:tcPr>
            <w:tcW w:w="2551" w:type="dxa"/>
            <w:vAlign w:val="center"/>
          </w:tcPr>
          <w:p>
            <w:pPr>
              <w:pStyle w:val="13"/>
            </w:pPr>
            <w:r>
              <w:t>258.38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13.50</w:t>
            </w:r>
          </w:p>
        </w:tc>
        <w:tc>
          <w:tcPr>
            <w:tcW w:w="2551" w:type="dxa"/>
            <w:vAlign w:val="center"/>
          </w:tcPr>
          <w:p>
            <w:pPr>
              <w:pStyle w:val="13"/>
            </w:pPr>
          </w:p>
        </w:tc>
        <w:tc>
          <w:tcPr>
            <w:tcW w:w="2551"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2013405</w:t>
            </w:r>
          </w:p>
        </w:tc>
        <w:tc>
          <w:tcPr>
            <w:tcW w:w="4535" w:type="dxa"/>
            <w:vAlign w:val="center"/>
          </w:tcPr>
          <w:p>
            <w:pPr>
              <w:pStyle w:val="14"/>
            </w:pPr>
            <w:r>
              <w:t>华侨事务</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6" w:name="_Toc21095"/>
      <w:r>
        <w:rPr>
          <w:rFonts w:ascii="方正小标宋_GBK" w:hAnsi="方正小标宋_GBK" w:eastAsia="方正小标宋_GBK" w:cs="方正小标宋_GBK"/>
          <w:color w:val="000000"/>
          <w:sz w:val="36"/>
        </w:rPr>
        <w:t>单位预算一般公共预算财政拨款基本支出表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258.38</w:t>
            </w:r>
          </w:p>
        </w:tc>
        <w:tc>
          <w:tcPr>
            <w:tcW w:w="2551" w:type="dxa"/>
            <w:vAlign w:val="center"/>
          </w:tcPr>
          <w:p>
            <w:pPr>
              <w:pStyle w:val="17"/>
            </w:pPr>
            <w:r>
              <w:t>240.46</w:t>
            </w:r>
          </w:p>
        </w:tc>
        <w:tc>
          <w:tcPr>
            <w:tcW w:w="2551" w:type="dxa"/>
            <w:vAlign w:val="center"/>
          </w:tcPr>
          <w:p>
            <w:pPr>
              <w:pStyle w:val="17"/>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200.95</w:t>
            </w:r>
          </w:p>
        </w:tc>
        <w:tc>
          <w:tcPr>
            <w:tcW w:w="2551" w:type="dxa"/>
            <w:vAlign w:val="center"/>
          </w:tcPr>
          <w:p>
            <w:pPr>
              <w:pStyle w:val="13"/>
            </w:pPr>
            <w:r>
              <w:t>200.95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49.93</w:t>
            </w:r>
          </w:p>
        </w:tc>
        <w:tc>
          <w:tcPr>
            <w:tcW w:w="2551" w:type="dxa"/>
            <w:vAlign w:val="center"/>
          </w:tcPr>
          <w:p>
            <w:pPr>
              <w:pStyle w:val="13"/>
            </w:pPr>
            <w:r>
              <w:t>49.93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47.66</w:t>
            </w:r>
          </w:p>
        </w:tc>
        <w:tc>
          <w:tcPr>
            <w:tcW w:w="2551" w:type="dxa"/>
            <w:vAlign w:val="center"/>
          </w:tcPr>
          <w:p>
            <w:pPr>
              <w:pStyle w:val="13"/>
            </w:pPr>
            <w:r>
              <w:t>47.66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3.31</w:t>
            </w:r>
          </w:p>
        </w:tc>
        <w:tc>
          <w:tcPr>
            <w:tcW w:w="2551" w:type="dxa"/>
            <w:vAlign w:val="center"/>
          </w:tcPr>
          <w:p>
            <w:pPr>
              <w:pStyle w:val="13"/>
            </w:pPr>
            <w:r>
              <w:t>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37.52</w:t>
            </w:r>
          </w:p>
        </w:tc>
        <w:tc>
          <w:tcPr>
            <w:tcW w:w="2551" w:type="dxa"/>
            <w:vAlign w:val="center"/>
          </w:tcPr>
          <w:p>
            <w:pPr>
              <w:pStyle w:val="13"/>
            </w:pPr>
            <w:r>
              <w:t>37.52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23.08</w:t>
            </w:r>
          </w:p>
        </w:tc>
        <w:tc>
          <w:tcPr>
            <w:tcW w:w="2551" w:type="dxa"/>
            <w:vAlign w:val="center"/>
          </w:tcPr>
          <w:p>
            <w:pPr>
              <w:pStyle w:val="13"/>
            </w:pPr>
            <w:r>
              <w:t>23.08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7.99</w:t>
            </w:r>
          </w:p>
        </w:tc>
        <w:tc>
          <w:tcPr>
            <w:tcW w:w="2551" w:type="dxa"/>
            <w:vAlign w:val="center"/>
          </w:tcPr>
          <w:p>
            <w:pPr>
              <w:pStyle w:val="13"/>
            </w:pPr>
            <w:r>
              <w:t>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6.18</w:t>
            </w:r>
          </w:p>
        </w:tc>
        <w:tc>
          <w:tcPr>
            <w:tcW w:w="2551" w:type="dxa"/>
            <w:vAlign w:val="center"/>
          </w:tcPr>
          <w:p>
            <w:pPr>
              <w:pStyle w:val="13"/>
            </w:pPr>
            <w:r>
              <w:t>6.18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7.95</w:t>
            </w:r>
          </w:p>
        </w:tc>
        <w:tc>
          <w:tcPr>
            <w:tcW w:w="2551" w:type="dxa"/>
            <w:vAlign w:val="center"/>
          </w:tcPr>
          <w:p>
            <w:pPr>
              <w:pStyle w:val="13"/>
            </w:pPr>
            <w:r>
              <w:t>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17.31</w:t>
            </w:r>
          </w:p>
        </w:tc>
        <w:tc>
          <w:tcPr>
            <w:tcW w:w="2551" w:type="dxa"/>
            <w:vAlign w:val="center"/>
          </w:tcPr>
          <w:p>
            <w:pPr>
              <w:pStyle w:val="13"/>
            </w:pPr>
            <w:r>
              <w:t>17.31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17.92</w:t>
            </w:r>
          </w:p>
        </w:tc>
        <w:tc>
          <w:tcPr>
            <w:tcW w:w="2551" w:type="dxa"/>
            <w:vAlign w:val="center"/>
          </w:tcPr>
          <w:p>
            <w:pPr>
              <w:pStyle w:val="13"/>
            </w:pPr>
          </w:p>
        </w:tc>
        <w:tc>
          <w:tcPr>
            <w:tcW w:w="2551" w:type="dxa"/>
            <w:vAlign w:val="center"/>
          </w:tcPr>
          <w:p>
            <w:pPr>
              <w:pStyle w:val="13"/>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3.30</w:t>
            </w:r>
          </w:p>
        </w:tc>
        <w:tc>
          <w:tcPr>
            <w:tcW w:w="2551" w:type="dxa"/>
            <w:vAlign w:val="center"/>
          </w:tcPr>
          <w:p>
            <w:pPr>
              <w:pStyle w:val="13"/>
            </w:pP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4.78</w:t>
            </w:r>
          </w:p>
        </w:tc>
        <w:tc>
          <w:tcPr>
            <w:tcW w:w="2551" w:type="dxa"/>
            <w:vAlign w:val="center"/>
          </w:tcPr>
          <w:p>
            <w:pPr>
              <w:pStyle w:val="13"/>
            </w:pPr>
          </w:p>
        </w:tc>
        <w:tc>
          <w:tcPr>
            <w:tcW w:w="2551" w:type="dxa"/>
            <w:vAlign w:val="center"/>
          </w:tcPr>
          <w:p>
            <w:pPr>
              <w:pStyle w:val="13"/>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1.25</w:t>
            </w:r>
          </w:p>
        </w:tc>
        <w:tc>
          <w:tcPr>
            <w:tcW w:w="2551" w:type="dxa"/>
            <w:vAlign w:val="center"/>
          </w:tcPr>
          <w:p>
            <w:pPr>
              <w:pStyle w:val="13"/>
            </w:pPr>
          </w:p>
        </w:tc>
        <w:tc>
          <w:tcPr>
            <w:tcW w:w="2551"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6.42</w:t>
            </w:r>
          </w:p>
        </w:tc>
        <w:tc>
          <w:tcPr>
            <w:tcW w:w="2551" w:type="dxa"/>
            <w:vAlign w:val="center"/>
          </w:tcPr>
          <w:p>
            <w:pPr>
              <w:pStyle w:val="13"/>
            </w:pPr>
          </w:p>
        </w:tc>
        <w:tc>
          <w:tcPr>
            <w:tcW w:w="2551" w:type="dxa"/>
            <w:vAlign w:val="center"/>
          </w:tcPr>
          <w:p>
            <w:pPr>
              <w:pStyle w:val="13"/>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39.51</w:t>
            </w:r>
          </w:p>
        </w:tc>
        <w:tc>
          <w:tcPr>
            <w:tcW w:w="2551" w:type="dxa"/>
            <w:vAlign w:val="center"/>
          </w:tcPr>
          <w:p>
            <w:pPr>
              <w:pStyle w:val="13"/>
            </w:pPr>
            <w:r>
              <w:t>39.51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39.51</w:t>
            </w:r>
          </w:p>
        </w:tc>
        <w:tc>
          <w:tcPr>
            <w:tcW w:w="2551" w:type="dxa"/>
            <w:vAlign w:val="center"/>
          </w:tcPr>
          <w:p>
            <w:pPr>
              <w:pStyle w:val="13"/>
            </w:pPr>
            <w:r>
              <w:t>39.51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7" w:name="_Toc20827"/>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0"/>
      </w:pPr>
      <w:bookmarkStart w:id="8" w:name="_Toc25061"/>
      <w:r>
        <w:rPr>
          <w:rFonts w:ascii="方正小标宋_GBK" w:hAnsi="方正小标宋_GBK" w:eastAsia="方正小标宋_GBK" w:cs="方正小标宋_GBK"/>
          <w:color w:val="000000"/>
          <w:sz w:val="36"/>
        </w:rPr>
        <w:t>单位预算国有资本经营预算财政拨款支出表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0"/>
      </w:pPr>
      <w:bookmarkStart w:id="9" w:name="_Toc12228"/>
      <w:r>
        <w:rPr>
          <w:rFonts w:ascii="方正小标宋_GBK" w:hAnsi="方正小标宋_GBK" w:eastAsia="方正小标宋_GBK" w:cs="方正小标宋_GBK"/>
          <w:color w:val="000000"/>
          <w:sz w:val="36"/>
        </w:rPr>
        <w:t>单位预算财政拨款“三公”经费支出表</w:t>
      </w:r>
      <w:bookmarkEnd w:id="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pPr>
      <w:bookmarkStart w:id="10" w:name="_Toc4256"/>
      <w:r>
        <w:rPr>
          <w:rFonts w:ascii="方正小标宋_GBK" w:hAnsi="方正小标宋_GBK" w:eastAsia="方正小标宋_GBK" w:cs="方正小标宋_GBK"/>
          <w:b w:val="0"/>
          <w:color w:val="000000"/>
          <w:sz w:val="44"/>
        </w:rPr>
        <w:t>中国共产党石家庄市藁城区委员会统战部本级2023年单位预算信息公开情况说明</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、《地方预决算公开操作规程》和《关于进一步推进预算公开工作的实施意见》规定，现将中国共产党石家庄市藁城区委员会统战部本级2023年单位预算公开如下：</w:t>
      </w:r>
    </w:p>
    <w:p>
      <w:pPr>
        <w:spacing w:before="10" w:after="10" w:line="240" w:lineRule="auto"/>
        <w:ind w:firstLine="640"/>
        <w:jc w:val="left"/>
        <w:outlineLvl w:val="0"/>
      </w:pPr>
      <w:bookmarkStart w:id="11" w:name="_Toc29651"/>
      <w:r>
        <w:rPr>
          <w:rFonts w:ascii="黑体" w:hAnsi="黑体" w:eastAsia="黑体" w:cs="黑体"/>
          <w:color w:val="000000"/>
          <w:sz w:val="32"/>
        </w:rPr>
        <w:t>一、单位职责及机构设置情况</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pStyle w:val="27"/>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pStyle w:val="2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27"/>
      </w:pPr>
      <w:r>
        <w:t>（四）贯彻落实党的宣传工作方针，统筹推进全区统一战线宣传工作，拟订全区统一战线宣传工作规划并组织实施，研判涉及统一战线的舆情并协调有关部门应对处置。</w:t>
      </w:r>
    </w:p>
    <w:p>
      <w:pPr>
        <w:pStyle w:val="2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27"/>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pStyle w:val="2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pStyle w:val="2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2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2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27"/>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pStyle w:val="27"/>
      </w:pPr>
      <w:r>
        <w:t>（十二)负责统战系统干部的培训工作；协助做好民族宗教部门领导班子成员推荐工作；受区委委托，领导区工商联党组，指导区工商联工作。做好统一战线有关单位和团体的管理工作。</w:t>
      </w:r>
    </w:p>
    <w:p>
      <w:pPr>
        <w:pStyle w:val="27"/>
      </w:pPr>
      <w:r>
        <w:t>（十三)完成区委交办的其他任务。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中国共产党石家庄市藁城区委员会统战部本级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0"/>
      </w:pPr>
      <w:bookmarkStart w:id="12" w:name="_Toc18766"/>
      <w:r>
        <w:rPr>
          <w:rFonts w:ascii="黑体" w:hAnsi="黑体" w:eastAsia="黑体" w:cs="黑体"/>
          <w:color w:val="000000"/>
          <w:sz w:val="32"/>
        </w:rPr>
        <w:t>二、单位预算安排的总体情况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反映本单位当年全年收入。2023年预算收入289.12万元，其中：一般公共预算收入289.12万元，基金预算收入0万元，财政专户核拨收入0万元，其他来源收入0万元。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w:t>
      </w:r>
      <w:r>
        <w:rPr>
          <w:rFonts w:hint="eastAsia"/>
          <w:lang w:eastAsia="zh-CN"/>
        </w:rPr>
        <w:t>单位</w:t>
      </w:r>
      <w:r>
        <w:t>支出预算为289.12万元，其中基本支出258.38万元，包括人员经费240.46万元和日常公用经费17.92万元；项目支出30.74万元。主要为省市级基层宗教补助经费7万元，归国华侨退休职工补贴经费0.24万元，民营紧急统战工作经费5万元，民主党派工作经费3.5万元，民族宗教领域社会稳定专项经费10万元，新的社会阶层人士统战工作经费5万元</w:t>
      </w:r>
    </w:p>
    <w:p>
      <w:pPr>
        <w:pStyle w:val="28"/>
      </w:pPr>
      <w:r>
        <w:t>3、比上年增减情况</w:t>
      </w:r>
    </w:p>
    <w:p>
      <w:pPr>
        <w:pStyle w:val="28"/>
      </w:pPr>
      <w:r>
        <w:t>2023年单位预算收支安排289.12万元，较2022年增加106.11万元，其中：基本支出增加102.61万元，主要是人员增加，相应增加人员经费和日常公用经费。项目支出增加3.5万元，主要是结转上一年度省市级基层宗教补助经费；其他支出无增减变化。</w:t>
      </w:r>
    </w:p>
    <w:p>
      <w:pPr>
        <w:spacing w:before="10" w:after="10" w:line="240" w:lineRule="auto"/>
        <w:ind w:firstLine="640"/>
        <w:jc w:val="left"/>
        <w:outlineLvl w:val="0"/>
      </w:pPr>
      <w:bookmarkStart w:id="13" w:name="_Toc23122"/>
      <w:r>
        <w:rPr>
          <w:rFonts w:ascii="黑体" w:hAnsi="黑体" w:eastAsia="黑体" w:cs="黑体"/>
          <w:color w:val="000000"/>
          <w:sz w:val="32"/>
        </w:rPr>
        <w:t>三、机关运行经费安排情况</w:t>
      </w:r>
      <w:bookmarkEnd w:id="13"/>
    </w:p>
    <w:p>
      <w:pPr>
        <w:pStyle w:val="29"/>
      </w:pPr>
      <w:r>
        <w:t>2023年，我</w:t>
      </w:r>
      <w:r>
        <w:rPr>
          <w:rFonts w:hint="eastAsia"/>
          <w:lang w:eastAsia="zh-CN"/>
        </w:rPr>
        <w:t>单位</w:t>
      </w:r>
      <w:r>
        <w:t>机关运行经费共计安排17.92万元，主要用于保证机关正常运转的办公及邮电费、离退休干部经费、公务交通补贴、工会费、福利费、党组织活动经费等支出。</w:t>
      </w:r>
    </w:p>
    <w:p>
      <w:pPr>
        <w:spacing w:before="10" w:after="10" w:line="240" w:lineRule="auto"/>
        <w:ind w:firstLine="640"/>
        <w:jc w:val="left"/>
        <w:outlineLvl w:val="0"/>
      </w:pPr>
      <w:bookmarkStart w:id="14" w:name="_Toc1755"/>
      <w:r>
        <w:rPr>
          <w:rFonts w:ascii="黑体" w:hAnsi="黑体" w:eastAsia="黑体" w:cs="黑体"/>
          <w:color w:val="000000"/>
          <w:sz w:val="32"/>
        </w:rPr>
        <w:t>四、财政拨款“三公”经费预算情况及增减变化原因</w:t>
      </w:r>
      <w:bookmarkEnd w:id="14"/>
    </w:p>
    <w:p>
      <w:pPr>
        <w:pStyle w:val="30"/>
      </w:pPr>
      <w:r>
        <w:t>2023年，我单位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pPr>
        <w:spacing w:before="10" w:after="10" w:line="240" w:lineRule="auto"/>
        <w:ind w:firstLine="640"/>
        <w:jc w:val="left"/>
        <w:outlineLvl w:val="0"/>
        <w:sectPr>
          <w:pgSz w:w="16840" w:h="11900" w:orient="landscape"/>
          <w:pgMar w:top="1361" w:right="1020" w:bottom="1361" w:left="1020" w:header="720" w:footer="720" w:gutter="0"/>
          <w:cols w:space="720" w:num="1"/>
        </w:sectPr>
      </w:pPr>
      <w:bookmarkStart w:id="15" w:name="_Toc26293"/>
      <w:r>
        <w:rPr>
          <w:rFonts w:ascii="黑体" w:hAnsi="黑体" w:eastAsia="黑体" w:cs="黑体"/>
          <w:color w:val="000000"/>
          <w:sz w:val="32"/>
        </w:rPr>
        <w:t>五、预算绩效信息</w:t>
      </w:r>
      <w:bookmarkEnd w:id="15"/>
    </w:p>
    <w:p>
      <w:pPr>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1.使广大归侨退休职工的生活得到了基本保障，得到广大归侨侨眷和海外侨胞的衷心拥护和赞扬，较好的凝聚侨心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归侨职工退休补贴人数</w:t>
            </w:r>
          </w:p>
        </w:tc>
        <w:tc>
          <w:tcPr>
            <w:tcW w:w="2835" w:type="dxa"/>
            <w:vAlign w:val="center"/>
          </w:tcPr>
          <w:p>
            <w:pPr>
              <w:pStyle w:val="14"/>
            </w:pPr>
            <w:r>
              <w:t>归侨职工退休补贴人数</w:t>
            </w:r>
          </w:p>
        </w:tc>
        <w:tc>
          <w:tcPr>
            <w:tcW w:w="2551" w:type="dxa"/>
            <w:vAlign w:val="center"/>
          </w:tcPr>
          <w:p>
            <w:pPr>
              <w:pStyle w:val="14"/>
            </w:pPr>
            <w:r>
              <w:t>2人</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是否全部按标准发放率</w:t>
            </w:r>
          </w:p>
        </w:tc>
        <w:tc>
          <w:tcPr>
            <w:tcW w:w="2835" w:type="dxa"/>
            <w:vAlign w:val="center"/>
          </w:tcPr>
          <w:p>
            <w:pPr>
              <w:pStyle w:val="14"/>
            </w:pPr>
            <w:r>
              <w:t>是否全部按标准发放率</w:t>
            </w:r>
          </w:p>
        </w:tc>
        <w:tc>
          <w:tcPr>
            <w:tcW w:w="2551" w:type="dxa"/>
            <w:vAlign w:val="center"/>
          </w:tcPr>
          <w:p>
            <w:pPr>
              <w:pStyle w:val="14"/>
            </w:pPr>
            <w:r>
              <w:t>100%，年底一次性足额发放</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按照进度完成支出计划及时率</w:t>
            </w:r>
          </w:p>
        </w:tc>
        <w:tc>
          <w:tcPr>
            <w:tcW w:w="2835" w:type="dxa"/>
            <w:vAlign w:val="center"/>
          </w:tcPr>
          <w:p>
            <w:pPr>
              <w:pStyle w:val="14"/>
            </w:pPr>
            <w:r>
              <w:t>按照进度完成支出计划及时率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2835" w:type="dxa"/>
            <w:vAlign w:val="center"/>
          </w:tcPr>
          <w:p>
            <w:pPr>
              <w:pStyle w:val="14"/>
            </w:pPr>
            <w:r>
              <w:t>严格控制预算成本</w:t>
            </w:r>
          </w:p>
        </w:tc>
        <w:tc>
          <w:tcPr>
            <w:tcW w:w="2551" w:type="dxa"/>
            <w:vAlign w:val="center"/>
          </w:tcPr>
          <w:p>
            <w:pPr>
              <w:pStyle w:val="14"/>
            </w:pPr>
            <w:r>
              <w:t>不超过年度预算</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使归</w:t>
            </w:r>
            <w:r>
              <w:rPr>
                <w:rFonts w:hint="eastAsia"/>
                <w:lang w:eastAsia="zh-CN"/>
              </w:rPr>
              <w:t>侨退休职工</w:t>
            </w:r>
            <w:r>
              <w:t>生活得到了基本保障</w:t>
            </w:r>
          </w:p>
        </w:tc>
        <w:tc>
          <w:tcPr>
            <w:tcW w:w="2835" w:type="dxa"/>
            <w:vAlign w:val="center"/>
          </w:tcPr>
          <w:p>
            <w:pPr>
              <w:pStyle w:val="14"/>
            </w:pPr>
            <w:r>
              <w:t>使广大归侨退休职工的生活得到了基本保障，得到广大归侨侨眷和海外侨胞的衷心拥护和赞扬，较好的凝聚侨心。</w:t>
            </w:r>
          </w:p>
        </w:tc>
        <w:tc>
          <w:tcPr>
            <w:tcW w:w="2551" w:type="dxa"/>
            <w:vAlign w:val="center"/>
          </w:tcPr>
          <w:p>
            <w:pPr>
              <w:pStyle w:val="14"/>
            </w:pPr>
            <w:r>
              <w:t>≥</w:t>
            </w:r>
            <w:bookmarkStart w:id="20" w:name="_GoBack"/>
            <w:bookmarkEnd w:id="20"/>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归侨职工满意度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2、民营经济统战工作经费绩效目标表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1.通过教育培训和思想引领，提升民营经济人士思想政治水平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组织开展爱国主义教育活动</w:t>
            </w:r>
          </w:p>
        </w:tc>
        <w:tc>
          <w:tcPr>
            <w:tcW w:w="2835" w:type="dxa"/>
            <w:vAlign w:val="center"/>
          </w:tcPr>
          <w:p>
            <w:pPr>
              <w:pStyle w:val="14"/>
            </w:pPr>
            <w:r>
              <w:t>引导民营经济人士增强爱党爱国情怀</w:t>
            </w:r>
          </w:p>
        </w:tc>
        <w:tc>
          <w:tcPr>
            <w:tcW w:w="2551" w:type="dxa"/>
            <w:vAlign w:val="center"/>
          </w:tcPr>
          <w:p>
            <w:pPr>
              <w:pStyle w:val="14"/>
            </w:pPr>
            <w:r>
              <w:t>≥3次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民营经济统战工作完成率</w:t>
            </w:r>
          </w:p>
        </w:tc>
        <w:tc>
          <w:tcPr>
            <w:tcW w:w="2835" w:type="dxa"/>
            <w:vAlign w:val="center"/>
          </w:tcPr>
          <w:p>
            <w:pPr>
              <w:pStyle w:val="14"/>
            </w:pPr>
            <w:r>
              <w:t>民营经济统战工作完成率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w:t>
            </w:r>
          </w:p>
        </w:tc>
        <w:tc>
          <w:tcPr>
            <w:tcW w:w="2835" w:type="dxa"/>
            <w:vAlign w:val="center"/>
          </w:tcPr>
          <w:p>
            <w:pPr>
              <w:pStyle w:val="14"/>
            </w:pPr>
            <w:r>
              <w:t>按照进度完成支出计划</w:t>
            </w:r>
          </w:p>
        </w:tc>
        <w:tc>
          <w:tcPr>
            <w:tcW w:w="2551" w:type="dxa"/>
            <w:vAlign w:val="center"/>
          </w:tcPr>
          <w:p>
            <w:pPr>
              <w:pStyle w:val="14"/>
            </w:pPr>
            <w:r>
              <w:t>≥12月</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2835" w:type="dxa"/>
            <w:vAlign w:val="center"/>
          </w:tcPr>
          <w:p>
            <w:pPr>
              <w:pStyle w:val="14"/>
            </w:pPr>
            <w:r>
              <w:t>严格控制预算成本</w:t>
            </w:r>
          </w:p>
        </w:tc>
        <w:tc>
          <w:tcPr>
            <w:tcW w:w="2551" w:type="dxa"/>
            <w:vAlign w:val="center"/>
          </w:tcPr>
          <w:p>
            <w:pPr>
              <w:pStyle w:val="14"/>
            </w:pPr>
            <w:r>
              <w:t>≤5万元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发展民营企业公益组织</w:t>
            </w:r>
          </w:p>
        </w:tc>
        <w:tc>
          <w:tcPr>
            <w:tcW w:w="2835" w:type="dxa"/>
            <w:vAlign w:val="center"/>
          </w:tcPr>
          <w:p>
            <w:pPr>
              <w:pStyle w:val="14"/>
            </w:pPr>
            <w:r>
              <w:t>组织民营企业开展公益慈善活动</w:t>
            </w:r>
          </w:p>
        </w:tc>
        <w:tc>
          <w:tcPr>
            <w:tcW w:w="2551" w:type="dxa"/>
            <w:vAlign w:val="center"/>
          </w:tcPr>
          <w:p>
            <w:pPr>
              <w:pStyle w:val="14"/>
            </w:pPr>
            <w:r>
              <w:t>≥3次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民营经济人士满意度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3、民主党派工作经费绩效目标表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1.进一步加强中国共产党领导的多党合作和政治协商制度建设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学习培训</w:t>
            </w:r>
          </w:p>
        </w:tc>
        <w:tc>
          <w:tcPr>
            <w:tcW w:w="2835" w:type="dxa"/>
            <w:vAlign w:val="center"/>
          </w:tcPr>
          <w:p>
            <w:pPr>
              <w:pStyle w:val="14"/>
            </w:pPr>
            <w:r>
              <w:t>每季度组织学习培训</w:t>
            </w:r>
          </w:p>
        </w:tc>
        <w:tc>
          <w:tcPr>
            <w:tcW w:w="2551" w:type="dxa"/>
            <w:vAlign w:val="center"/>
          </w:tcPr>
          <w:p>
            <w:pPr>
              <w:pStyle w:val="14"/>
            </w:pPr>
            <w:r>
              <w:t>≥4次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组织调研视察活动</w:t>
            </w:r>
          </w:p>
        </w:tc>
        <w:tc>
          <w:tcPr>
            <w:tcW w:w="2835" w:type="dxa"/>
            <w:vAlign w:val="center"/>
          </w:tcPr>
          <w:p>
            <w:pPr>
              <w:pStyle w:val="14"/>
            </w:pPr>
            <w:r>
              <w:t>组织规划开展调研视察活动</w:t>
            </w:r>
          </w:p>
        </w:tc>
        <w:tc>
          <w:tcPr>
            <w:tcW w:w="2551" w:type="dxa"/>
            <w:vAlign w:val="center"/>
          </w:tcPr>
          <w:p>
            <w:pPr>
              <w:pStyle w:val="14"/>
            </w:pPr>
            <w:r>
              <w:t>≥5次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w:t>
            </w:r>
          </w:p>
        </w:tc>
        <w:tc>
          <w:tcPr>
            <w:tcW w:w="2835" w:type="dxa"/>
            <w:vAlign w:val="center"/>
          </w:tcPr>
          <w:p>
            <w:pPr>
              <w:pStyle w:val="14"/>
            </w:pPr>
            <w:r>
              <w:t>按照进度完成支出计划</w:t>
            </w:r>
          </w:p>
        </w:tc>
        <w:tc>
          <w:tcPr>
            <w:tcW w:w="2551" w:type="dxa"/>
            <w:vAlign w:val="center"/>
          </w:tcPr>
          <w:p>
            <w:pPr>
              <w:pStyle w:val="14"/>
            </w:pPr>
            <w:r>
              <w:t>≤12月</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厉行节约，基层调研、矛盾排查、政策宣传尽量减少开支</w:t>
            </w:r>
          </w:p>
        </w:tc>
        <w:tc>
          <w:tcPr>
            <w:tcW w:w="2551" w:type="dxa"/>
            <w:vAlign w:val="center"/>
          </w:tcPr>
          <w:p>
            <w:pPr>
              <w:pStyle w:val="14"/>
            </w:pPr>
            <w:r>
              <w:t>≤3.5万元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组织开展社会服务活动</w:t>
            </w:r>
          </w:p>
        </w:tc>
        <w:tc>
          <w:tcPr>
            <w:tcW w:w="2835" w:type="dxa"/>
            <w:vAlign w:val="center"/>
          </w:tcPr>
          <w:p>
            <w:pPr>
              <w:pStyle w:val="14"/>
            </w:pPr>
            <w:r>
              <w:t>组织规划开展服务社会活动</w:t>
            </w:r>
          </w:p>
        </w:tc>
        <w:tc>
          <w:tcPr>
            <w:tcW w:w="2551" w:type="dxa"/>
            <w:vAlign w:val="center"/>
          </w:tcPr>
          <w:p>
            <w:pPr>
              <w:pStyle w:val="14"/>
            </w:pPr>
            <w:r>
              <w:t>≥3次</w:t>
            </w:r>
            <w:r>
              <w:tab/>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民主党派人士满意度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4、民族宗教领域社会稳定专项经费绩效目标表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1.调查研究、协调检查落实有关民族和宗教工作的重大方针、政策问题，教育团结少数民族和宗教界代表人物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教育培训、走访慰问</w:t>
            </w:r>
          </w:p>
        </w:tc>
        <w:tc>
          <w:tcPr>
            <w:tcW w:w="2835" w:type="dxa"/>
            <w:vAlign w:val="center"/>
          </w:tcPr>
          <w:p>
            <w:pPr>
              <w:pStyle w:val="14"/>
            </w:pPr>
            <w:r>
              <w:t>进行政策宣传</w:t>
            </w:r>
          </w:p>
        </w:tc>
        <w:tc>
          <w:tcPr>
            <w:tcW w:w="2551" w:type="dxa"/>
            <w:vAlign w:val="center"/>
          </w:tcPr>
          <w:p>
            <w:pPr>
              <w:pStyle w:val="14"/>
            </w:pPr>
            <w:r>
              <w:t>≥4次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工作专干能力提高率</w:t>
            </w:r>
          </w:p>
        </w:tc>
        <w:tc>
          <w:tcPr>
            <w:tcW w:w="2835" w:type="dxa"/>
            <w:vAlign w:val="center"/>
          </w:tcPr>
          <w:p>
            <w:pPr>
              <w:pStyle w:val="14"/>
            </w:pPr>
            <w:r>
              <w:t>民族宗教工作专干能力提高率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w:t>
            </w:r>
          </w:p>
        </w:tc>
        <w:tc>
          <w:tcPr>
            <w:tcW w:w="2835" w:type="dxa"/>
            <w:vAlign w:val="center"/>
          </w:tcPr>
          <w:p>
            <w:pPr>
              <w:pStyle w:val="14"/>
            </w:pPr>
            <w:r>
              <w:t>按照进度完成支出计划</w:t>
            </w:r>
          </w:p>
        </w:tc>
        <w:tc>
          <w:tcPr>
            <w:tcW w:w="2551" w:type="dxa"/>
            <w:vAlign w:val="center"/>
          </w:tcPr>
          <w:p>
            <w:pPr>
              <w:pStyle w:val="14"/>
            </w:pPr>
            <w:r>
              <w:t>≤12月</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2835" w:type="dxa"/>
            <w:vAlign w:val="center"/>
          </w:tcPr>
          <w:p>
            <w:pPr>
              <w:pStyle w:val="14"/>
            </w:pPr>
            <w:r>
              <w:t>严格控制预算成本</w:t>
            </w:r>
          </w:p>
        </w:tc>
        <w:tc>
          <w:tcPr>
            <w:tcW w:w="2551" w:type="dxa"/>
            <w:vAlign w:val="center"/>
          </w:tcPr>
          <w:p>
            <w:pPr>
              <w:pStyle w:val="14"/>
            </w:pPr>
            <w:r>
              <w:t>≥10万元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宗教领域社会稳定水平</w:t>
            </w:r>
          </w:p>
        </w:tc>
        <w:tc>
          <w:tcPr>
            <w:tcW w:w="2835" w:type="dxa"/>
            <w:vAlign w:val="center"/>
          </w:tcPr>
          <w:p>
            <w:pPr>
              <w:pStyle w:val="14"/>
            </w:pPr>
            <w:r>
              <w:t>通过教育培训提高民族宗教界人士的素质和能力；深入基层调研，矛盾排查，促进宗教领域稳定水平逐步提高</w:t>
            </w:r>
          </w:p>
        </w:tc>
        <w:tc>
          <w:tcPr>
            <w:tcW w:w="2551" w:type="dxa"/>
            <w:vAlign w:val="center"/>
          </w:tcPr>
          <w:p>
            <w:pPr>
              <w:pStyle w:val="14"/>
            </w:pPr>
            <w:r>
              <w:t>确保民族宗教领域社会稳定</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民族宗教界人士满意度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5、石财行[2022]19号关于下达2022年省市级基层宗教补助经费的通知绩效目标表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1.调查研究、协调检查落实有关民族和宗教工作的重大方针、政策问题，教育团结少数民族和宗教界代表人物</w:t>
            </w:r>
          </w:p>
          <w:p>
            <w:pPr>
              <w:pStyle w:val="14"/>
            </w:pPr>
            <w:r>
              <w:t>2.积极引导宗教与社会主义社会相适应，维护宗教领域社会稳定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政策宣传</w:t>
            </w:r>
          </w:p>
        </w:tc>
        <w:tc>
          <w:tcPr>
            <w:tcW w:w="2835" w:type="dxa"/>
            <w:vAlign w:val="center"/>
          </w:tcPr>
          <w:p>
            <w:pPr>
              <w:pStyle w:val="14"/>
            </w:pPr>
            <w:r>
              <w:t>进行政策宣传</w:t>
            </w:r>
          </w:p>
        </w:tc>
        <w:tc>
          <w:tcPr>
            <w:tcW w:w="2551" w:type="dxa"/>
            <w:vAlign w:val="center"/>
          </w:tcPr>
          <w:p>
            <w:pPr>
              <w:pStyle w:val="14"/>
            </w:pPr>
            <w:r>
              <w:t>≥4次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工作专干能力提高率</w:t>
            </w:r>
          </w:p>
        </w:tc>
        <w:tc>
          <w:tcPr>
            <w:tcW w:w="2835" w:type="dxa"/>
            <w:vAlign w:val="center"/>
          </w:tcPr>
          <w:p>
            <w:pPr>
              <w:pStyle w:val="14"/>
            </w:pPr>
            <w:r>
              <w:t>民族宗教工作专干能力提高率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w:t>
            </w:r>
          </w:p>
        </w:tc>
        <w:tc>
          <w:tcPr>
            <w:tcW w:w="2835" w:type="dxa"/>
            <w:vAlign w:val="center"/>
          </w:tcPr>
          <w:p>
            <w:pPr>
              <w:pStyle w:val="14"/>
            </w:pPr>
            <w:r>
              <w:t>按照进度完成支出计划</w:t>
            </w:r>
          </w:p>
        </w:tc>
        <w:tc>
          <w:tcPr>
            <w:tcW w:w="2551" w:type="dxa"/>
            <w:vAlign w:val="center"/>
          </w:tcPr>
          <w:p>
            <w:pPr>
              <w:pStyle w:val="14"/>
            </w:pPr>
            <w:r>
              <w:t>≤12月</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2835" w:type="dxa"/>
            <w:vAlign w:val="center"/>
          </w:tcPr>
          <w:p>
            <w:pPr>
              <w:pStyle w:val="14"/>
            </w:pPr>
            <w:r>
              <w:t>严格控制预算成本</w:t>
            </w:r>
          </w:p>
        </w:tc>
        <w:tc>
          <w:tcPr>
            <w:tcW w:w="2551" w:type="dxa"/>
            <w:vAlign w:val="center"/>
          </w:tcPr>
          <w:p>
            <w:pPr>
              <w:pStyle w:val="14"/>
            </w:pPr>
            <w:r>
              <w:t>7万元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宗教领域社会稳定水平</w:t>
            </w:r>
          </w:p>
        </w:tc>
        <w:tc>
          <w:tcPr>
            <w:tcW w:w="2835" w:type="dxa"/>
            <w:vAlign w:val="center"/>
          </w:tcPr>
          <w:p>
            <w:pPr>
              <w:pStyle w:val="14"/>
            </w:pPr>
            <w:r>
              <w:t>通过教育培训提高民族宗教界人士的素质和能力；深入基层调研，矛盾排查，促进宗教领域稳定水平逐步提高</w:t>
            </w:r>
          </w:p>
        </w:tc>
        <w:tc>
          <w:tcPr>
            <w:tcW w:w="2551" w:type="dxa"/>
            <w:vAlign w:val="center"/>
          </w:tcPr>
          <w:p>
            <w:pPr>
              <w:pStyle w:val="14"/>
            </w:pPr>
            <w:r>
              <w:t>确保民族宗教领域社会稳定</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宗教界人士满意度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6、新的社会阶层人士统战工作经费绩效目标表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1.加强政治引领，提升思想政治水平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组织开展培训学习、服务社会活动</w:t>
            </w:r>
          </w:p>
        </w:tc>
        <w:tc>
          <w:tcPr>
            <w:tcW w:w="2835" w:type="dxa"/>
            <w:vAlign w:val="center"/>
          </w:tcPr>
          <w:p>
            <w:pPr>
              <w:pStyle w:val="14"/>
            </w:pPr>
            <w:r>
              <w:t>引导新的社会阶层人士关注民主、服务社会</w:t>
            </w:r>
          </w:p>
        </w:tc>
        <w:tc>
          <w:tcPr>
            <w:tcW w:w="2551" w:type="dxa"/>
            <w:vAlign w:val="center"/>
          </w:tcPr>
          <w:p>
            <w:pPr>
              <w:pStyle w:val="14"/>
            </w:pPr>
            <w:r>
              <w:t>≥4次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工作专干能力提高</w:t>
            </w:r>
          </w:p>
        </w:tc>
        <w:tc>
          <w:tcPr>
            <w:tcW w:w="2835" w:type="dxa"/>
            <w:vAlign w:val="center"/>
          </w:tcPr>
          <w:p>
            <w:pPr>
              <w:pStyle w:val="14"/>
            </w:pPr>
            <w:r>
              <w:t>工作专干能力提高</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按照进度完成支出计划</w:t>
            </w:r>
          </w:p>
        </w:tc>
        <w:tc>
          <w:tcPr>
            <w:tcW w:w="2835" w:type="dxa"/>
            <w:vAlign w:val="center"/>
          </w:tcPr>
          <w:p>
            <w:pPr>
              <w:pStyle w:val="14"/>
            </w:pPr>
            <w:r>
              <w:t>按照进度完成支出计划</w:t>
            </w:r>
          </w:p>
        </w:tc>
        <w:tc>
          <w:tcPr>
            <w:tcW w:w="2551" w:type="dxa"/>
            <w:vAlign w:val="center"/>
          </w:tcPr>
          <w:p>
            <w:pPr>
              <w:pStyle w:val="14"/>
            </w:pPr>
            <w:r>
              <w:t>≤12月</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2835" w:type="dxa"/>
            <w:vAlign w:val="center"/>
          </w:tcPr>
          <w:p>
            <w:pPr>
              <w:pStyle w:val="14"/>
            </w:pPr>
            <w:r>
              <w:t>控制预算成本</w:t>
            </w:r>
          </w:p>
        </w:tc>
        <w:tc>
          <w:tcPr>
            <w:tcW w:w="2551" w:type="dxa"/>
            <w:vAlign w:val="center"/>
          </w:tcPr>
          <w:p>
            <w:pPr>
              <w:pStyle w:val="14"/>
            </w:pPr>
            <w:r>
              <w:t>≤5万元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利用各种渠道扩大协商参与面</w:t>
            </w:r>
          </w:p>
        </w:tc>
        <w:tc>
          <w:tcPr>
            <w:tcW w:w="2835" w:type="dxa"/>
            <w:vAlign w:val="center"/>
          </w:tcPr>
          <w:p>
            <w:pPr>
              <w:pStyle w:val="14"/>
            </w:pPr>
            <w:r>
              <w:t>组织新的社会阶层人士参与到人大协商、政府协商、人民团体协商、基层协商以及社会组织协商中</w:t>
            </w:r>
          </w:p>
        </w:tc>
        <w:tc>
          <w:tcPr>
            <w:tcW w:w="2551" w:type="dxa"/>
            <w:vAlign w:val="center"/>
          </w:tcPr>
          <w:p>
            <w:pPr>
              <w:pStyle w:val="14"/>
            </w:pPr>
            <w:r>
              <w:t>进行社会调研、举办社会公益等活动不少于3次</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新的社会阶层人士满意度</w:t>
            </w:r>
          </w:p>
        </w:tc>
        <w:tc>
          <w:tcPr>
            <w:tcW w:w="2835" w:type="dxa"/>
            <w:vAlign w:val="center"/>
          </w:tcPr>
          <w:p>
            <w:pPr>
              <w:pStyle w:val="14"/>
            </w:pPr>
            <w:r>
              <w:t>满意度调查</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0"/>
      </w:pPr>
      <w:bookmarkStart w:id="16" w:name="_Toc18996"/>
      <w:r>
        <w:rPr>
          <w:rFonts w:ascii="黑体" w:hAnsi="黑体" w:eastAsia="黑体" w:cs="黑体"/>
          <w:color w:val="000000"/>
          <w:sz w:val="32"/>
        </w:rPr>
        <w:t>六、政府采购预算情况</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2023年，中国共产党石家庄市藁城区委员会统战部本级安排政府采购预算0.00万元。具体内容见下表。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17" w:name="_Toc15422"/>
      <w:r>
        <w:rPr>
          <w:rFonts w:ascii="黑体" w:hAnsi="黑体" w:eastAsia="黑体" w:cs="黑体"/>
          <w:color w:val="000000"/>
          <w:sz w:val="32"/>
        </w:rPr>
        <w:t>七、国有资产信息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中国共产党石家庄市藁城区委员会统战部本级上年末固定资产金额为18.96万元（详见下表）。本年度拟购置固定资产总额为0.00万元，已按要求列入政府采购预算，详见政府采购预算表。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19</w:t>
            </w:r>
          </w:p>
        </w:tc>
        <w:tc>
          <w:tcPr>
            <w:tcW w:w="2835" w:type="dxa"/>
            <w:vAlign w:val="center"/>
          </w:tcPr>
          <w:p>
            <w:pPr>
              <w:pStyle w:val="13"/>
            </w:pPr>
            <w:r>
              <w:t>18.96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18" w:name="_Toc24444"/>
      <w:r>
        <w:rPr>
          <w:rFonts w:ascii="黑体" w:hAnsi="黑体" w:eastAsia="黑体" w:cs="黑体"/>
          <w:color w:val="000000"/>
          <w:sz w:val="32"/>
        </w:rPr>
        <w:t>八、名词解释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pPr>
      <w:bookmarkStart w:id="19" w:name="_Toc23777"/>
      <w:r>
        <w:rPr>
          <w:rFonts w:ascii="黑体" w:hAnsi="黑体" w:eastAsia="黑体" w:cs="黑体"/>
          <w:color w:val="000000"/>
          <w:sz w:val="32"/>
        </w:rPr>
        <w:t>九、其他需要说明的事项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U4MzFjZWRlMzcxMzg0NGE0NGE1ODM2ZmU5Mzk3YjAifQ=="/>
  </w:docVars>
  <w:rsids>
    <w:rsidRoot w:val="00000000"/>
    <w:rsid w:val="075C1CD4"/>
    <w:rsid w:val="0EEF0710"/>
    <w:rsid w:val="11923676"/>
    <w:rsid w:val="1DB22149"/>
    <w:rsid w:val="2AFF7497"/>
    <w:rsid w:val="2BCA23E3"/>
    <w:rsid w:val="2BD42A3D"/>
    <w:rsid w:val="2E1336CB"/>
    <w:rsid w:val="30F5110F"/>
    <w:rsid w:val="373566A3"/>
    <w:rsid w:val="3EB708CF"/>
    <w:rsid w:val="498A46C4"/>
    <w:rsid w:val="4C2F4EF9"/>
    <w:rsid w:val="5E3922AD"/>
    <w:rsid w:val="699762C9"/>
    <w:rsid w:val="6BFD6A38"/>
    <w:rsid w:val="6C3F65A7"/>
    <w:rsid w:val="736D6C6F"/>
    <w:rsid w:val="76D950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WPSOffice手动目录 1"/>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2023-01-30T16:56:58Z</dcterms:created>
  <dcterms:modified xsi:type="dcterms:W3CDTF">2023-01-30T08:56:58Z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2023-01-30T16:56:42Z</dcterms:created>
  <dcterms:modified xsi:type="dcterms:W3CDTF">2023-01-30T08:56:42Z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2023-01-30T16:56:58Z</dcterms:created>
  <dcterms:modified xsi:type="dcterms:W3CDTF">2023-01-30T08:56:57Z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2023-01-30T16:56:56Z</dcterms:created>
  <dcterms:modified xsi:type="dcterms:W3CDTF">2023-01-30T08:56:56Z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2023-01-30T16:56:55Z</dcterms:created>
  <dcterms:modified xsi:type="dcterms:W3CDTF">2023-01-30T08:56:54Z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2023-01-30T16:56:46Z</dcterms:created>
  <dcterms:modified xsi:type="dcterms:W3CDTF">2023-01-30T08:56:46Z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2023-01-30T16:56:43Z</dcterms:created>
  <dcterms:modified xsi:type="dcterms:W3CDTF">2023-01-30T08:56:43Z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2023-01-30T16:56:39Z</dcterms:created>
  <dcterms:modified xsi:type="dcterms:W3CDTF">2023-01-30T08:56:39Z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2023-01-30T16:56:43Z</dcterms:created>
  <dcterms:modified xsi:type="dcterms:W3CDTF">2023-01-30T08:56:43Z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393f626-3b97-42a8-b8f8-abad644db0ec}">
  <ds:schemaRefs/>
</ds:datastoreItem>
</file>

<file path=customXml/itemProps10.xml><?xml version="1.0" encoding="utf-8"?>
<ds:datastoreItem xmlns:ds="http://schemas.openxmlformats.org/officeDocument/2006/customXml" ds:itemID="{994baf95-76f4-44c7-b71e-0b62cab9a007}">
  <ds:schemaRefs/>
</ds:datastoreItem>
</file>

<file path=customXml/itemProps11.xml><?xml version="1.0" encoding="utf-8"?>
<ds:datastoreItem xmlns:ds="http://schemas.openxmlformats.org/officeDocument/2006/customXml" ds:itemID="{96e0568e-b14a-4a17-a20b-2615686a3052}">
  <ds:schemaRefs/>
</ds:datastoreItem>
</file>

<file path=customXml/itemProps12.xml><?xml version="1.0" encoding="utf-8"?>
<ds:datastoreItem xmlns:ds="http://schemas.openxmlformats.org/officeDocument/2006/customXml" ds:itemID="{6809c43d-91b1-444c-baa1-68877f241705}">
  <ds:schemaRefs/>
</ds:datastoreItem>
</file>

<file path=customXml/itemProps13.xml><?xml version="1.0" encoding="utf-8"?>
<ds:datastoreItem xmlns:ds="http://schemas.openxmlformats.org/officeDocument/2006/customXml" ds:itemID="{033e28da-0e01-49a0-9c9a-c4e6156b2836}">
  <ds:schemaRefs/>
</ds:datastoreItem>
</file>

<file path=customXml/itemProps14.xml><?xml version="1.0" encoding="utf-8"?>
<ds:datastoreItem xmlns:ds="http://schemas.openxmlformats.org/officeDocument/2006/customXml" ds:itemID="{60e3a786-4994-4de0-ae1d-08ca8d555a85}">
  <ds:schemaRefs/>
</ds:datastoreItem>
</file>

<file path=customXml/itemProps15.xml><?xml version="1.0" encoding="utf-8"?>
<ds:datastoreItem xmlns:ds="http://schemas.openxmlformats.org/officeDocument/2006/customXml" ds:itemID="{34070b61-d2f7-48e0-a821-12dc62944a1f}">
  <ds:schemaRefs/>
</ds:datastoreItem>
</file>

<file path=customXml/itemProps16.xml><?xml version="1.0" encoding="utf-8"?>
<ds:datastoreItem xmlns:ds="http://schemas.openxmlformats.org/officeDocument/2006/customXml" ds:itemID="{0171b3c7-09c9-4c61-8253-0ad6edbd16a9}">
  <ds:schemaRefs/>
</ds:datastoreItem>
</file>

<file path=customXml/itemProps17.xml><?xml version="1.0" encoding="utf-8"?>
<ds:datastoreItem xmlns:ds="http://schemas.openxmlformats.org/officeDocument/2006/customXml" ds:itemID="{b4b563db-4538-42e9-9893-e2463fea0782}">
  <ds:schemaRefs/>
</ds:datastoreItem>
</file>

<file path=customXml/itemProps18.xml><?xml version="1.0" encoding="utf-8"?>
<ds:datastoreItem xmlns:ds="http://schemas.openxmlformats.org/officeDocument/2006/customXml" ds:itemID="{fe75f628-c81b-4fee-a974-19bcf383504f}">
  <ds:schemaRefs/>
</ds:datastoreItem>
</file>

<file path=customXml/itemProps19.xml><?xml version="1.0" encoding="utf-8"?>
<ds:datastoreItem xmlns:ds="http://schemas.openxmlformats.org/officeDocument/2006/customXml" ds:itemID="{dddab33c-486d-4476-8f44-87f28688adec}">
  <ds:schemaRefs/>
</ds:datastoreItem>
</file>

<file path=customXml/itemProps2.xml><?xml version="1.0" encoding="utf-8"?>
<ds:datastoreItem xmlns:ds="http://schemas.openxmlformats.org/officeDocument/2006/customXml" ds:itemID="{41043198-d5b6-4267-bf06-6ce44b9346ed}">
  <ds:schemaRefs/>
</ds:datastoreItem>
</file>

<file path=customXml/itemProps20.xml><?xml version="1.0" encoding="utf-8"?>
<ds:datastoreItem xmlns:ds="http://schemas.openxmlformats.org/officeDocument/2006/customXml" ds:itemID="{fa310e72-1312-4dbf-aeed-f524bff239e4}">
  <ds:schemaRefs/>
</ds:datastoreItem>
</file>

<file path=customXml/itemProps21.xml><?xml version="1.0" encoding="utf-8"?>
<ds:datastoreItem xmlns:ds="http://schemas.openxmlformats.org/officeDocument/2006/customXml" ds:itemID="{66840b20-4706-44c7-9133-cdb823abd04c}">
  <ds:schemaRefs/>
</ds:datastoreItem>
</file>

<file path=customXml/itemProps22.xml><?xml version="1.0" encoding="utf-8"?>
<ds:datastoreItem xmlns:ds="http://schemas.openxmlformats.org/officeDocument/2006/customXml" ds:itemID="{3a33f2b3-62ff-46e3-8dc2-0d2833ca574e}">
  <ds:schemaRefs/>
</ds:datastoreItem>
</file>

<file path=customXml/itemProps23.xml><?xml version="1.0" encoding="utf-8"?>
<ds:datastoreItem xmlns:ds="http://schemas.openxmlformats.org/officeDocument/2006/customXml" ds:itemID="{841d927b-81c9-448e-b57e-21be4b83a11c}">
  <ds:schemaRefs/>
</ds:datastoreItem>
</file>

<file path=customXml/itemProps24.xml><?xml version="1.0" encoding="utf-8"?>
<ds:datastoreItem xmlns:ds="http://schemas.openxmlformats.org/officeDocument/2006/customXml" ds:itemID="{293d985d-436f-4b7e-a69b-34987c2b511e}">
  <ds:schemaRefs/>
</ds:datastoreItem>
</file>

<file path=customXml/itemProps25.xml><?xml version="1.0" encoding="utf-8"?>
<ds:datastoreItem xmlns:ds="http://schemas.openxmlformats.org/officeDocument/2006/customXml" ds:itemID="{c629218f-7ee5-46fe-adf5-f3980076cb90}">
  <ds:schemaRefs/>
</ds:datastoreItem>
</file>

<file path=customXml/itemProps26.xml><?xml version="1.0" encoding="utf-8"?>
<ds:datastoreItem xmlns:ds="http://schemas.openxmlformats.org/officeDocument/2006/customXml" ds:itemID="{6051f68c-4704-4028-a4a8-f53d1a812a0f}">
  <ds:schemaRefs/>
</ds:datastoreItem>
</file>

<file path=customXml/itemProps27.xml><?xml version="1.0" encoding="utf-8"?>
<ds:datastoreItem xmlns:ds="http://schemas.openxmlformats.org/officeDocument/2006/customXml" ds:itemID="{ff4e26c9-8551-47be-87c7-207a20ce2b4d}">
  <ds:schemaRefs/>
</ds:datastoreItem>
</file>

<file path=customXml/itemProps28.xml><?xml version="1.0" encoding="utf-8"?>
<ds:datastoreItem xmlns:ds="http://schemas.openxmlformats.org/officeDocument/2006/customXml" ds:itemID="{d9426748-9f44-47bc-8e62-08d491115195}">
  <ds:schemaRefs/>
</ds:datastoreItem>
</file>

<file path=customXml/itemProps29.xml><?xml version="1.0" encoding="utf-8"?>
<ds:datastoreItem xmlns:ds="http://schemas.openxmlformats.org/officeDocument/2006/customXml" ds:itemID="{ab921bdc-6b84-4636-bdc7-c177d800b9f7}">
  <ds:schemaRefs/>
</ds:datastoreItem>
</file>

<file path=customXml/itemProps3.xml><?xml version="1.0" encoding="utf-8"?>
<ds:datastoreItem xmlns:ds="http://schemas.openxmlformats.org/officeDocument/2006/customXml" ds:itemID="{aa92f336-6335-4566-bbf3-fe718b53bcb8}">
  <ds:schemaRefs/>
</ds:datastoreItem>
</file>

<file path=customXml/itemProps30.xml><?xml version="1.0" encoding="utf-8"?>
<ds:datastoreItem xmlns:ds="http://schemas.openxmlformats.org/officeDocument/2006/customXml" ds:itemID="{95113bfc-f63f-446c-94d3-c330912cf041}">
  <ds:schemaRefs/>
</ds:datastoreItem>
</file>

<file path=customXml/itemProps31.xml><?xml version="1.0" encoding="utf-8"?>
<ds:datastoreItem xmlns:ds="http://schemas.openxmlformats.org/officeDocument/2006/customXml" ds:itemID="{931b714b-5d84-4ab8-b67a-11d9befb54ef}">
  <ds:schemaRefs/>
</ds:datastoreItem>
</file>

<file path=customXml/itemProps32.xml><?xml version="1.0" encoding="utf-8"?>
<ds:datastoreItem xmlns:ds="http://schemas.openxmlformats.org/officeDocument/2006/customXml" ds:itemID="{9dfc205d-3258-4872-9442-197ca89a4777}">
  <ds:schemaRefs/>
</ds:datastoreItem>
</file>

<file path=customXml/itemProps33.xml><?xml version="1.0" encoding="utf-8"?>
<ds:datastoreItem xmlns:ds="http://schemas.openxmlformats.org/officeDocument/2006/customXml" ds:itemID="{db18bdba-4534-4292-b471-6168bfddce00}">
  <ds:schemaRefs/>
</ds:datastoreItem>
</file>

<file path=customXml/itemProps34.xml><?xml version="1.0" encoding="utf-8"?>
<ds:datastoreItem xmlns:ds="http://schemas.openxmlformats.org/officeDocument/2006/customXml" ds:itemID="{367f5faf-43de-4ed9-97dd-026d813ace3e}">
  <ds:schemaRefs/>
</ds:datastoreItem>
</file>

<file path=customXml/itemProps4.xml><?xml version="1.0" encoding="utf-8"?>
<ds:datastoreItem xmlns:ds="http://schemas.openxmlformats.org/officeDocument/2006/customXml" ds:itemID="{d1556051-be9e-40c0-86cf-f1c9c6675c65}">
  <ds:schemaRefs/>
</ds:datastoreItem>
</file>

<file path=customXml/itemProps5.xml><?xml version="1.0" encoding="utf-8"?>
<ds:datastoreItem xmlns:ds="http://schemas.openxmlformats.org/officeDocument/2006/customXml" ds:itemID="{b418574e-95c7-4861-bf75-16495c6da1da}">
  <ds:schemaRefs/>
</ds:datastoreItem>
</file>

<file path=customXml/itemProps6.xml><?xml version="1.0" encoding="utf-8"?>
<ds:datastoreItem xmlns:ds="http://schemas.openxmlformats.org/officeDocument/2006/customXml" ds:itemID="{0ce55820-cb90-464d-ac59-81d6a82dd100}">
  <ds:schemaRefs/>
</ds:datastoreItem>
</file>

<file path=customXml/itemProps7.xml><?xml version="1.0" encoding="utf-8"?>
<ds:datastoreItem xmlns:ds="http://schemas.openxmlformats.org/officeDocument/2006/customXml" ds:itemID="{b61d6323-90bf-4601-84d4-695ead506bd7}">
  <ds:schemaRefs/>
</ds:datastoreItem>
</file>

<file path=customXml/itemProps8.xml><?xml version="1.0" encoding="utf-8"?>
<ds:datastoreItem xmlns:ds="http://schemas.openxmlformats.org/officeDocument/2006/customXml" ds:itemID="{8c758e4c-a04c-45a2-91da-61538e871e5f}">
  <ds:schemaRefs/>
</ds:datastoreItem>
</file>

<file path=customXml/itemProps9.xml><?xml version="1.0" encoding="utf-8"?>
<ds:datastoreItem xmlns:ds="http://schemas.openxmlformats.org/officeDocument/2006/customXml" ds:itemID="{fe2e1a14-0c2a-40a9-b066-428fb3e130a8}">
  <ds:schemaRefs/>
</ds:datastoreItem>
</file>

<file path=docProps/app.xml><?xml version="1.0" encoding="utf-8"?>
<Properties xmlns="http://schemas.openxmlformats.org/officeDocument/2006/extended-properties" xmlns:vt="http://schemas.openxmlformats.org/officeDocument/2006/docPropsVTypes">
  <Pages>74</Pages>
  <Words>18109</Words>
  <Characters>20039</Characters>
  <TotalTime>11</TotalTime>
  <ScaleCrop>false</ScaleCrop>
  <LinksUpToDate>false</LinksUpToDate>
  <CharactersWithSpaces>20322</CharactersWithSpaces>
  <Application>WPS Office_11.8.2.11734_F1E327BC-269C-435d-A152-05C5408002CA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2023-01-30T16:56:00Z</dcterms:created>
  <dc:creator>Administrator</dc:creator>
  <cp:lastModifiedBy>Administrator</cp:lastModifiedBy>
  <dcterms:modified xsi:type="dcterms:W3CDTF">2024-09-18T03:15:03Z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D87EFA1EDBE94F03A98CDFEA5F88D53C</vt:lpwstr>
  </property>
</Properties>
</file>