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石家庄市藁城区档案馆</w:t>
      </w:r>
      <w:r>
        <w:rPr>
          <w:rFonts w:ascii="黑体" w:hAnsi="黑体" w:eastAsia="黑体" w:cs="黑体"/>
          <w:b/>
          <w:color w:val="000000"/>
          <w:sz w:val="44"/>
        </w:rPr>
        <w:t>2023年部门预算公开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_Toc15110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_Toc15110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_Toc25464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_Toc25464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_Toc22212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_Toc22212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_Toc8749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_Toc8749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_Toc20090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_Toc20090 \h </w:instrText>
      </w:r>
      <w:r>
        <w:fldChar w:fldCharType="separate"/>
      </w:r>
      <w:r>
        <w:t>13</w:t>
      </w:r>
      <w:r>
        <w:fldChar w:fldCharType="end"/>
      </w:r>
      <w:r>
        <w:fldChar w:fldCharType="end"/>
      </w:r>
    </w:p>
    <w:p>
      <w:pPr>
        <w:pStyle w:val="4"/>
        <w:tabs>
          <w:tab w:val="right" w:leader="dot" w:pos="14800"/>
        </w:tabs>
      </w:pPr>
      <w:r>
        <w:fldChar w:fldCharType="begin"/>
      </w:r>
      <w:r>
        <w:instrText xml:space="preserve"> HYPERLINK \l _Toc25254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_Toc25254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_Toc19672 </w:instrText>
      </w:r>
      <w:r>
        <w:fldChar w:fldCharType="separate"/>
      </w:r>
      <w:r>
        <w:rPr>
          <w:rFonts w:ascii="方正小标宋_GBK" w:hAnsi="方正小标宋_GBK" w:eastAsia="方正小标宋_GBK" w:cs="方正小标宋_GBK"/>
        </w:rPr>
        <w:t>部门预算</w:t>
      </w:r>
      <w:r>
        <w:rPr>
          <w:rFonts w:hint="eastAsia" w:ascii="方正小标宋_GBK" w:hAnsi="方正小标宋_GBK" w:eastAsia="方正小标宋_GBK" w:cs="方正小标宋_GBK"/>
          <w:lang w:eastAsia="zh-CN"/>
        </w:rPr>
        <w:t>政府性基金</w:t>
      </w:r>
      <w:r>
        <w:rPr>
          <w:rFonts w:ascii="方正小标宋_GBK" w:hAnsi="方正小标宋_GBK" w:eastAsia="方正小标宋_GBK" w:cs="方正小标宋_GBK"/>
        </w:rPr>
        <w:t>预算财政拨款支出表</w:t>
      </w:r>
      <w:r>
        <w:tab/>
      </w:r>
      <w:r>
        <w:fldChar w:fldCharType="begin"/>
      </w:r>
      <w:r>
        <w:instrText xml:space="preserve"> PAGEREF _Toc19672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_Toc1108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_Toc1108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_Toc32026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_Toc32026 \h </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_Toc31961 </w:instrText>
      </w:r>
      <w:r>
        <w:fldChar w:fldCharType="separate"/>
      </w:r>
      <w:r>
        <w:rPr>
          <w:rFonts w:ascii="黑体" w:hAnsi="黑体" w:eastAsia="黑体" w:cs="黑体"/>
        </w:rPr>
        <w:t>一、部门职责及机构设置情况</w:t>
      </w:r>
      <w:r>
        <w:tab/>
      </w:r>
      <w:r>
        <w:fldChar w:fldCharType="begin"/>
      </w:r>
      <w:r>
        <w:instrText xml:space="preserve"> PAGEREF _Toc31961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_Toc19469 </w:instrText>
      </w:r>
      <w:r>
        <w:fldChar w:fldCharType="separate"/>
      </w:r>
      <w:r>
        <w:rPr>
          <w:rFonts w:ascii="黑体" w:hAnsi="黑体" w:eastAsia="黑体" w:cs="黑体"/>
        </w:rPr>
        <w:t>二、部门预算安排的总体情况</w:t>
      </w:r>
      <w:r>
        <w:tab/>
      </w:r>
      <w:r>
        <w:fldChar w:fldCharType="begin"/>
      </w:r>
      <w:r>
        <w:instrText xml:space="preserve"> PAGEREF _Toc19469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_Toc19820 </w:instrText>
      </w:r>
      <w:r>
        <w:fldChar w:fldCharType="separate"/>
      </w:r>
      <w:r>
        <w:rPr>
          <w:rFonts w:ascii="黑体" w:hAnsi="黑体" w:eastAsia="黑体" w:cs="黑体"/>
        </w:rPr>
        <w:t>三、机关运行经费安排情况</w:t>
      </w:r>
      <w:r>
        <w:tab/>
      </w:r>
      <w:r>
        <w:fldChar w:fldCharType="begin"/>
      </w:r>
      <w:r>
        <w:instrText xml:space="preserve"> PAGEREF _Toc19820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_Toc15693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_Toc15693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_Toc3810 </w:instrText>
      </w:r>
      <w:r>
        <w:fldChar w:fldCharType="separate"/>
      </w:r>
      <w:r>
        <w:rPr>
          <w:rFonts w:ascii="黑体" w:hAnsi="黑体" w:eastAsia="黑体" w:cs="黑体"/>
        </w:rPr>
        <w:t>五、预算绩效信息</w:t>
      </w:r>
      <w:r>
        <w:tab/>
      </w:r>
      <w:r>
        <w:fldChar w:fldCharType="begin"/>
      </w:r>
      <w:r>
        <w:instrText xml:space="preserve"> PAGEREF _Toc3810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_Toc32493 </w:instrText>
      </w:r>
      <w:r>
        <w:fldChar w:fldCharType="separate"/>
      </w:r>
      <w:r>
        <w:rPr>
          <w:rFonts w:ascii="黑体" w:hAnsi="黑体" w:eastAsia="黑体" w:cs="黑体"/>
        </w:rPr>
        <w:t>六、政府采购预算情况</w:t>
      </w:r>
      <w:r>
        <w:tab/>
      </w:r>
      <w:r>
        <w:fldChar w:fldCharType="begin"/>
      </w:r>
      <w:r>
        <w:instrText xml:space="preserve"> PAGEREF _Toc32493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_Toc26398 </w:instrText>
      </w:r>
      <w:r>
        <w:fldChar w:fldCharType="separate"/>
      </w:r>
      <w:r>
        <w:rPr>
          <w:rFonts w:ascii="黑体" w:hAnsi="黑体" w:eastAsia="黑体" w:cs="黑体"/>
        </w:rPr>
        <w:t>七、国有资产信息</w:t>
      </w:r>
      <w:r>
        <w:tab/>
      </w:r>
      <w:r>
        <w:fldChar w:fldCharType="begin"/>
      </w:r>
      <w:r>
        <w:instrText xml:space="preserve"> PAGEREF _Toc26398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_Toc4484 </w:instrText>
      </w:r>
      <w:r>
        <w:fldChar w:fldCharType="separate"/>
      </w:r>
      <w:r>
        <w:rPr>
          <w:rFonts w:ascii="黑体" w:hAnsi="黑体" w:eastAsia="黑体" w:cs="黑体"/>
        </w:rPr>
        <w:t>八、名词解释</w:t>
      </w:r>
      <w:r>
        <w:tab/>
      </w:r>
      <w:r>
        <w:fldChar w:fldCharType="begin"/>
      </w:r>
      <w:r>
        <w:instrText xml:space="preserve"> PAGEREF _Toc4484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_Toc1429 </w:instrText>
      </w:r>
      <w:r>
        <w:fldChar w:fldCharType="separate"/>
      </w:r>
      <w:r>
        <w:rPr>
          <w:rFonts w:ascii="黑体" w:hAnsi="黑体" w:eastAsia="黑体" w:cs="黑体"/>
        </w:rPr>
        <w:t>九、其他需要说明的事项</w:t>
      </w:r>
      <w:r>
        <w:tab/>
      </w:r>
      <w:r>
        <w:fldChar w:fldCharType="begin"/>
      </w:r>
      <w:r>
        <w:instrText xml:space="preserve"> PAGEREF _Toc1429 \h </w:instrText>
      </w:r>
      <w:r>
        <w:fldChar w:fldCharType="separate"/>
      </w:r>
      <w:r>
        <w:t>28</w:t>
      </w:r>
      <w:r>
        <w:fldChar w:fldCharType="end"/>
      </w:r>
      <w:r>
        <w:fldChar w:fldCharType="end"/>
      </w:r>
    </w:p>
    <w:p>
      <w:pPr>
        <w:spacing w:before="0" w:after="0" w:line="240" w:lineRule="auto"/>
        <w:ind w:firstLine="0"/>
        <w:jc w:val="center"/>
        <w:outlineLvl w:val="0"/>
      </w:pPr>
      <w:r>
        <w:fldChar w:fldCharType="end"/>
      </w:r>
    </w:p>
    <w:p>
      <w:pPr>
        <w:spacing w:before="0" w:after="0" w:line="240" w:lineRule="auto"/>
        <w:ind w:firstLine="0"/>
        <w:jc w:val="center"/>
        <w:outlineLvl w:val="0"/>
      </w:pPr>
    </w:p>
    <w:p>
      <w:pPr>
        <w:spacing w:before="0" w:after="0" w:line="240" w:lineRule="auto"/>
        <w:ind w:firstLine="0"/>
        <w:jc w:val="center"/>
        <w:outlineLvl w:val="0"/>
      </w:pPr>
    </w:p>
    <w:p>
      <w:pPr>
        <w:spacing w:before="0" w:after="0" w:line="240" w:lineRule="auto"/>
        <w:ind w:firstLine="0"/>
        <w:jc w:val="center"/>
        <w:outlineLvl w:val="0"/>
      </w:pPr>
    </w:p>
    <w:p>
      <w:pPr>
        <w:spacing w:before="0" w:after="0" w:line="240" w:lineRule="auto"/>
        <w:ind w:firstLine="0"/>
        <w:jc w:val="center"/>
        <w:outlineLvl w:val="0"/>
      </w:pPr>
    </w:p>
    <w:p>
      <w:pPr>
        <w:spacing w:before="0" w:after="0" w:line="240" w:lineRule="auto"/>
        <w:ind w:firstLine="0"/>
        <w:jc w:val="center"/>
        <w:outlineLvl w:val="0"/>
      </w:pPr>
    </w:p>
    <w:p>
      <w:pPr>
        <w:spacing w:before="0" w:after="0" w:line="240" w:lineRule="auto"/>
        <w:ind w:firstLine="0"/>
        <w:jc w:val="center"/>
        <w:outlineLvl w:val="1"/>
      </w:pPr>
      <w:bookmarkStart w:id="0" w:name="_Toc15110"/>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241石家庄市藁城区档案馆</w:t>
            </w:r>
          </w:p>
        </w:tc>
        <w:tc>
          <w:tcPr>
            <w:tcW w:w="1971" w:type="dxa"/>
            <w:tcBorders>
              <w:top w:val="single" w:color="FFFFFF" w:sz="6" w:space="0"/>
              <w:left w:val="single" w:color="FFFFFF" w:sz="6" w:space="0"/>
              <w:right w:val="single" w:color="FFFFFF" w:sz="6" w:space="0"/>
            </w:tcBorders>
            <w:vAlign w:val="center"/>
          </w:tcPr>
          <w:p>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179.76</w:t>
            </w:r>
          </w:p>
        </w:tc>
        <w:tc>
          <w:tcPr>
            <w:tcW w:w="1971" w:type="dxa"/>
            <w:vAlign w:val="center"/>
          </w:tcPr>
          <w:p>
            <w:pPr>
              <w:pStyle w:val="12"/>
            </w:pPr>
            <w:r>
              <w:t>一、一般公共服务支出</w:t>
            </w:r>
          </w:p>
        </w:tc>
        <w:tc>
          <w:tcPr>
            <w:tcW w:w="1971" w:type="dxa"/>
            <w:vAlign w:val="center"/>
          </w:tcPr>
          <w:p>
            <w:pPr>
              <w:pStyle w:val="13"/>
            </w:pPr>
            <w:r>
              <w:t>179.76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4"/>
            </w:pPr>
            <w:r>
              <w:t>本年收入合计</w:t>
            </w:r>
          </w:p>
        </w:tc>
        <w:tc>
          <w:tcPr>
            <w:tcW w:w="1971" w:type="dxa"/>
            <w:vAlign w:val="center"/>
          </w:tcPr>
          <w:p>
            <w:pPr>
              <w:pStyle w:val="15"/>
            </w:pPr>
            <w:r>
              <w:t>179.76</w:t>
            </w:r>
          </w:p>
        </w:tc>
        <w:tc>
          <w:tcPr>
            <w:tcW w:w="1971" w:type="dxa"/>
            <w:vAlign w:val="center"/>
          </w:tcPr>
          <w:p>
            <w:pPr>
              <w:pStyle w:val="14"/>
            </w:pPr>
            <w:r>
              <w:t>本年支出合计</w:t>
            </w:r>
          </w:p>
        </w:tc>
        <w:tc>
          <w:tcPr>
            <w:tcW w:w="1971" w:type="dxa"/>
            <w:vAlign w:val="center"/>
          </w:tcPr>
          <w:p>
            <w:pPr>
              <w:pStyle w:val="15"/>
            </w:pPr>
            <w:r>
              <w:t>179.76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34</w:t>
            </w:r>
          </w:p>
        </w:tc>
        <w:tc>
          <w:tcPr>
            <w:tcW w:w="1971" w:type="dxa"/>
            <w:vAlign w:val="center"/>
          </w:tcPr>
          <w:p>
            <w:pPr>
              <w:pStyle w:val="14"/>
            </w:pPr>
            <w:r>
              <w:t>收入总计</w:t>
            </w:r>
          </w:p>
        </w:tc>
        <w:tc>
          <w:tcPr>
            <w:tcW w:w="1971" w:type="dxa"/>
            <w:vAlign w:val="center"/>
          </w:tcPr>
          <w:p>
            <w:pPr>
              <w:pStyle w:val="15"/>
            </w:pPr>
            <w:r>
              <w:t>179.76</w:t>
            </w:r>
          </w:p>
        </w:tc>
        <w:tc>
          <w:tcPr>
            <w:tcW w:w="1971" w:type="dxa"/>
            <w:vAlign w:val="center"/>
          </w:tcPr>
          <w:p>
            <w:pPr>
              <w:pStyle w:val="14"/>
            </w:pPr>
            <w:r>
              <w:t>支出总计</w:t>
            </w:r>
          </w:p>
        </w:tc>
        <w:tc>
          <w:tcPr>
            <w:tcW w:w="1971" w:type="dxa"/>
            <w:vAlign w:val="center"/>
          </w:tcPr>
          <w:p>
            <w:pPr>
              <w:pStyle w:val="15"/>
            </w:pPr>
            <w:r>
              <w:t>179.76</w:t>
            </w:r>
          </w:p>
        </w:tc>
      </w:tr>
    </w:tbl>
    <w:p>
      <w:pPr>
        <w:sectPr>
          <w:footerReference r:id="rId3" w:type="default"/>
          <w:pgSz w:w="16840" w:h="11900" w:orient="landscape"/>
          <w:pgMar w:top="1361" w:right="1020" w:bottom="1134" w:left="1020" w:header="720" w:footer="720" w:gutter="0"/>
        </w:sectPr>
      </w:pPr>
    </w:p>
    <w:p>
      <w:pPr>
        <w:spacing w:before="0" w:after="0" w:line="240" w:lineRule="auto"/>
        <w:ind w:firstLine="0"/>
        <w:jc w:val="center"/>
        <w:outlineLvl w:val="1"/>
      </w:pPr>
      <w:bookmarkStart w:id="1" w:name="_Toc25464"/>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241石家庄市藁城区档案馆</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20126</w:t>
            </w:r>
          </w:p>
        </w:tc>
        <w:tc>
          <w:tcPr>
            <w:tcW w:w="758" w:type="dxa"/>
            <w:vAlign w:val="center"/>
          </w:tcPr>
          <w:p>
            <w:pPr>
              <w:pStyle w:val="12"/>
            </w:pPr>
            <w:r>
              <w:t>档案事务</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2012604</w:t>
            </w:r>
          </w:p>
        </w:tc>
        <w:tc>
          <w:tcPr>
            <w:tcW w:w="758" w:type="dxa"/>
            <w:vAlign w:val="center"/>
          </w:tcPr>
          <w:p>
            <w:pPr>
              <w:pStyle w:val="12"/>
            </w:pPr>
            <w:r>
              <w:t>档案馆</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r>
              <w:t>179.76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22212"/>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179.76</w:t>
            </w:r>
          </w:p>
        </w:tc>
        <w:tc>
          <w:tcPr>
            <w:tcW w:w="1095" w:type="dxa"/>
            <w:vAlign w:val="center"/>
          </w:tcPr>
          <w:p>
            <w:pPr>
              <w:pStyle w:val="15"/>
            </w:pPr>
            <w:r>
              <w:t>164.76</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179.76</w:t>
            </w:r>
          </w:p>
        </w:tc>
        <w:tc>
          <w:tcPr>
            <w:tcW w:w="1095" w:type="dxa"/>
            <w:vAlign w:val="center"/>
          </w:tcPr>
          <w:p>
            <w:pPr>
              <w:pStyle w:val="13"/>
            </w:pPr>
            <w:r>
              <w:t>164.76</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20126</w:t>
            </w:r>
          </w:p>
        </w:tc>
        <w:tc>
          <w:tcPr>
            <w:tcW w:w="1095" w:type="dxa"/>
            <w:vAlign w:val="center"/>
          </w:tcPr>
          <w:p>
            <w:pPr>
              <w:pStyle w:val="12"/>
            </w:pPr>
            <w:r>
              <w:t>档案事务</w:t>
            </w:r>
          </w:p>
        </w:tc>
        <w:tc>
          <w:tcPr>
            <w:tcW w:w="1095" w:type="dxa"/>
            <w:vAlign w:val="center"/>
          </w:tcPr>
          <w:p>
            <w:pPr>
              <w:pStyle w:val="13"/>
            </w:pPr>
            <w:r>
              <w:t>179.76</w:t>
            </w:r>
          </w:p>
        </w:tc>
        <w:tc>
          <w:tcPr>
            <w:tcW w:w="1095" w:type="dxa"/>
            <w:vAlign w:val="center"/>
          </w:tcPr>
          <w:p>
            <w:pPr>
              <w:pStyle w:val="13"/>
            </w:pPr>
            <w:r>
              <w:t>164.76</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2012604</w:t>
            </w:r>
          </w:p>
        </w:tc>
        <w:tc>
          <w:tcPr>
            <w:tcW w:w="1095" w:type="dxa"/>
            <w:vAlign w:val="center"/>
          </w:tcPr>
          <w:p>
            <w:pPr>
              <w:pStyle w:val="12"/>
            </w:pPr>
            <w:r>
              <w:t>档案馆</w:t>
            </w:r>
          </w:p>
        </w:tc>
        <w:tc>
          <w:tcPr>
            <w:tcW w:w="1095" w:type="dxa"/>
            <w:vAlign w:val="center"/>
          </w:tcPr>
          <w:p>
            <w:pPr>
              <w:pStyle w:val="13"/>
            </w:pPr>
            <w:r>
              <w:t>179.76</w:t>
            </w:r>
          </w:p>
        </w:tc>
        <w:tc>
          <w:tcPr>
            <w:tcW w:w="1095" w:type="dxa"/>
            <w:vAlign w:val="center"/>
          </w:tcPr>
          <w:p>
            <w:pPr>
              <w:pStyle w:val="13"/>
            </w:pPr>
            <w:r>
              <w:t>164.76</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8749"/>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179.76</w:t>
            </w:r>
          </w:p>
        </w:tc>
        <w:tc>
          <w:tcPr>
            <w:tcW w:w="1232" w:type="dxa"/>
            <w:vAlign w:val="center"/>
          </w:tcPr>
          <w:p>
            <w:pPr>
              <w:pStyle w:val="12"/>
            </w:pPr>
            <w:r>
              <w:t>一、一般公共服务支出</w:t>
            </w:r>
          </w:p>
        </w:tc>
        <w:tc>
          <w:tcPr>
            <w:tcW w:w="1232" w:type="dxa"/>
            <w:vAlign w:val="center"/>
          </w:tcPr>
          <w:p>
            <w:pPr>
              <w:pStyle w:val="13"/>
            </w:pPr>
            <w:r>
              <w:t>179.76</w:t>
            </w:r>
          </w:p>
        </w:tc>
        <w:tc>
          <w:tcPr>
            <w:tcW w:w="1232" w:type="dxa"/>
            <w:vAlign w:val="center"/>
          </w:tcPr>
          <w:p>
            <w:pPr>
              <w:pStyle w:val="13"/>
            </w:pPr>
            <w:r>
              <w:t>179.76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w:t>
            </w:r>
            <w:bookmarkStart w:id="18" w:name="_GoBack"/>
            <w:bookmarkEnd w:id="18"/>
            <w:r>
              <w:t>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179.76</w:t>
            </w:r>
          </w:p>
        </w:tc>
        <w:tc>
          <w:tcPr>
            <w:tcW w:w="1232" w:type="dxa"/>
            <w:vAlign w:val="center"/>
          </w:tcPr>
          <w:p>
            <w:pPr>
              <w:pStyle w:val="14"/>
            </w:pPr>
            <w:r>
              <w:t>本年支出合计</w:t>
            </w:r>
          </w:p>
        </w:tc>
        <w:tc>
          <w:tcPr>
            <w:tcW w:w="1232" w:type="dxa"/>
            <w:vAlign w:val="center"/>
          </w:tcPr>
          <w:p>
            <w:pPr>
              <w:pStyle w:val="15"/>
            </w:pPr>
            <w:r>
              <w:t>179.76</w:t>
            </w:r>
          </w:p>
        </w:tc>
        <w:tc>
          <w:tcPr>
            <w:tcW w:w="1232" w:type="dxa"/>
            <w:vAlign w:val="center"/>
          </w:tcPr>
          <w:p>
            <w:pPr>
              <w:pStyle w:val="15"/>
            </w:pPr>
            <w:r>
              <w:t>179.76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179.76</w:t>
            </w:r>
          </w:p>
        </w:tc>
        <w:tc>
          <w:tcPr>
            <w:tcW w:w="1232" w:type="dxa"/>
            <w:vAlign w:val="center"/>
          </w:tcPr>
          <w:p>
            <w:pPr>
              <w:pStyle w:val="14"/>
            </w:pPr>
            <w:r>
              <w:t>支出总计</w:t>
            </w:r>
          </w:p>
        </w:tc>
        <w:tc>
          <w:tcPr>
            <w:tcW w:w="1232" w:type="dxa"/>
            <w:vAlign w:val="center"/>
          </w:tcPr>
          <w:p>
            <w:pPr>
              <w:pStyle w:val="15"/>
            </w:pPr>
            <w:r>
              <w:t>179.76</w:t>
            </w:r>
          </w:p>
        </w:tc>
        <w:tc>
          <w:tcPr>
            <w:tcW w:w="1232" w:type="dxa"/>
            <w:vAlign w:val="center"/>
          </w:tcPr>
          <w:p>
            <w:pPr>
              <w:pStyle w:val="15"/>
            </w:pPr>
            <w:r>
              <w:t>179.76</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20090"/>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179.76</w:t>
            </w:r>
          </w:p>
        </w:tc>
        <w:tc>
          <w:tcPr>
            <w:tcW w:w="1643" w:type="dxa"/>
            <w:vAlign w:val="center"/>
          </w:tcPr>
          <w:p>
            <w:pPr>
              <w:pStyle w:val="15"/>
            </w:pPr>
            <w:r>
              <w:t>164.76</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179.76</w:t>
            </w:r>
          </w:p>
        </w:tc>
        <w:tc>
          <w:tcPr>
            <w:tcW w:w="1643" w:type="dxa"/>
            <w:vAlign w:val="center"/>
          </w:tcPr>
          <w:p>
            <w:pPr>
              <w:pStyle w:val="13"/>
            </w:pPr>
            <w:r>
              <w:t>164.76</w:t>
            </w: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20126</w:t>
            </w:r>
          </w:p>
        </w:tc>
        <w:tc>
          <w:tcPr>
            <w:tcW w:w="1643" w:type="dxa"/>
            <w:vAlign w:val="center"/>
          </w:tcPr>
          <w:p>
            <w:pPr>
              <w:pStyle w:val="12"/>
            </w:pPr>
            <w:r>
              <w:t>档案事务</w:t>
            </w:r>
          </w:p>
        </w:tc>
        <w:tc>
          <w:tcPr>
            <w:tcW w:w="1643" w:type="dxa"/>
            <w:vAlign w:val="center"/>
          </w:tcPr>
          <w:p>
            <w:pPr>
              <w:pStyle w:val="13"/>
            </w:pPr>
            <w:r>
              <w:t>179.76</w:t>
            </w:r>
          </w:p>
        </w:tc>
        <w:tc>
          <w:tcPr>
            <w:tcW w:w="1643" w:type="dxa"/>
            <w:vAlign w:val="center"/>
          </w:tcPr>
          <w:p>
            <w:pPr>
              <w:pStyle w:val="13"/>
            </w:pPr>
            <w:r>
              <w:t>164.76</w:t>
            </w: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2012604</w:t>
            </w:r>
          </w:p>
        </w:tc>
        <w:tc>
          <w:tcPr>
            <w:tcW w:w="1643" w:type="dxa"/>
            <w:vAlign w:val="center"/>
          </w:tcPr>
          <w:p>
            <w:pPr>
              <w:pStyle w:val="12"/>
            </w:pPr>
            <w:r>
              <w:t>档案馆</w:t>
            </w:r>
          </w:p>
        </w:tc>
        <w:tc>
          <w:tcPr>
            <w:tcW w:w="1643" w:type="dxa"/>
            <w:vAlign w:val="center"/>
          </w:tcPr>
          <w:p>
            <w:pPr>
              <w:pStyle w:val="13"/>
            </w:pPr>
            <w:r>
              <w:t>179.76</w:t>
            </w:r>
          </w:p>
        </w:tc>
        <w:tc>
          <w:tcPr>
            <w:tcW w:w="1643" w:type="dxa"/>
            <w:vAlign w:val="center"/>
          </w:tcPr>
          <w:p>
            <w:pPr>
              <w:pStyle w:val="13"/>
            </w:pPr>
            <w:r>
              <w:t>164.76</w:t>
            </w:r>
          </w:p>
        </w:tc>
        <w:tc>
          <w:tcPr>
            <w:tcW w:w="1643" w:type="dxa"/>
            <w:vAlign w:val="center"/>
          </w:tcPr>
          <w:p>
            <w:pPr>
              <w:pStyle w:val="13"/>
            </w:pPr>
            <w:r>
              <w:t>15.00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5254"/>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164.76</w:t>
            </w:r>
          </w:p>
        </w:tc>
        <w:tc>
          <w:tcPr>
            <w:tcW w:w="1643" w:type="dxa"/>
            <w:vAlign w:val="center"/>
          </w:tcPr>
          <w:p>
            <w:pPr>
              <w:pStyle w:val="15"/>
            </w:pPr>
            <w:r>
              <w:t>160.33</w:t>
            </w:r>
          </w:p>
        </w:tc>
        <w:tc>
          <w:tcPr>
            <w:tcW w:w="1643" w:type="dxa"/>
            <w:vAlign w:val="center"/>
          </w:tcPr>
          <w:p>
            <w:pPr>
              <w:pStyle w:val="15"/>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129.60</w:t>
            </w:r>
          </w:p>
        </w:tc>
        <w:tc>
          <w:tcPr>
            <w:tcW w:w="1643" w:type="dxa"/>
            <w:vAlign w:val="center"/>
          </w:tcPr>
          <w:p>
            <w:pPr>
              <w:pStyle w:val="13"/>
            </w:pPr>
            <w:r>
              <w:t>129.60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34.33</w:t>
            </w:r>
          </w:p>
        </w:tc>
        <w:tc>
          <w:tcPr>
            <w:tcW w:w="1643" w:type="dxa"/>
            <w:vAlign w:val="center"/>
          </w:tcPr>
          <w:p>
            <w:pPr>
              <w:pStyle w:val="13"/>
            </w:pPr>
            <w:r>
              <w:t>34.33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14.63</w:t>
            </w:r>
          </w:p>
        </w:tc>
        <w:tc>
          <w:tcPr>
            <w:tcW w:w="1643" w:type="dxa"/>
            <w:vAlign w:val="center"/>
          </w:tcPr>
          <w:p>
            <w:pPr>
              <w:pStyle w:val="13"/>
            </w:pPr>
            <w:r>
              <w:t>14.63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40.38</w:t>
            </w:r>
          </w:p>
        </w:tc>
        <w:tc>
          <w:tcPr>
            <w:tcW w:w="1643" w:type="dxa"/>
            <w:vAlign w:val="center"/>
          </w:tcPr>
          <w:p>
            <w:pPr>
              <w:pStyle w:val="13"/>
            </w:pPr>
            <w:r>
              <w:t>40.38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14.86</w:t>
            </w:r>
          </w:p>
        </w:tc>
        <w:tc>
          <w:tcPr>
            <w:tcW w:w="1643" w:type="dxa"/>
            <w:vAlign w:val="center"/>
          </w:tcPr>
          <w:p>
            <w:pPr>
              <w:pStyle w:val="13"/>
            </w:pPr>
            <w:r>
              <w:t>14.86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5.17</w:t>
            </w:r>
          </w:p>
        </w:tc>
        <w:tc>
          <w:tcPr>
            <w:tcW w:w="1643" w:type="dxa"/>
            <w:vAlign w:val="center"/>
          </w:tcPr>
          <w:p>
            <w:pPr>
              <w:pStyle w:val="13"/>
            </w:pPr>
            <w:r>
              <w:t>5.17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4.00</w:t>
            </w:r>
          </w:p>
        </w:tc>
        <w:tc>
          <w:tcPr>
            <w:tcW w:w="1643" w:type="dxa"/>
            <w:vAlign w:val="center"/>
          </w:tcPr>
          <w:p>
            <w:pPr>
              <w:pStyle w:val="13"/>
            </w:pPr>
            <w:r>
              <w:t>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5.07</w:t>
            </w:r>
          </w:p>
        </w:tc>
        <w:tc>
          <w:tcPr>
            <w:tcW w:w="1643" w:type="dxa"/>
            <w:vAlign w:val="center"/>
          </w:tcPr>
          <w:p>
            <w:pPr>
              <w:pStyle w:val="13"/>
            </w:pPr>
            <w:r>
              <w:t>5.07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11.15</w:t>
            </w:r>
          </w:p>
        </w:tc>
        <w:tc>
          <w:tcPr>
            <w:tcW w:w="1643" w:type="dxa"/>
            <w:vAlign w:val="center"/>
          </w:tcPr>
          <w:p>
            <w:pPr>
              <w:pStyle w:val="13"/>
            </w:pPr>
            <w:r>
              <w:t>11.15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4.43</w:t>
            </w:r>
          </w:p>
        </w:tc>
        <w:tc>
          <w:tcPr>
            <w:tcW w:w="1643" w:type="dxa"/>
            <w:vAlign w:val="center"/>
          </w:tcPr>
          <w:p>
            <w:pPr>
              <w:pStyle w:val="13"/>
            </w:pPr>
          </w:p>
        </w:tc>
        <w:tc>
          <w:tcPr>
            <w:tcW w:w="1643" w:type="dxa"/>
            <w:vAlign w:val="center"/>
          </w:tcPr>
          <w:p>
            <w:pPr>
              <w:pStyle w:val="13"/>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2.10</w:t>
            </w:r>
          </w:p>
        </w:tc>
        <w:tc>
          <w:tcPr>
            <w:tcW w:w="1643"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0.90</w:t>
            </w:r>
          </w:p>
        </w:tc>
        <w:tc>
          <w:tcPr>
            <w:tcW w:w="1643" w:type="dxa"/>
            <w:vAlign w:val="center"/>
          </w:tcPr>
          <w:p>
            <w:pPr>
              <w:pStyle w:val="13"/>
            </w:pPr>
          </w:p>
        </w:tc>
        <w:tc>
          <w:tcPr>
            <w:tcW w:w="1643"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0.86</w:t>
            </w:r>
          </w:p>
        </w:tc>
        <w:tc>
          <w:tcPr>
            <w:tcW w:w="1643" w:type="dxa"/>
            <w:vAlign w:val="center"/>
          </w:tcPr>
          <w:p>
            <w:pPr>
              <w:pStyle w:val="13"/>
            </w:pPr>
          </w:p>
        </w:tc>
        <w:tc>
          <w:tcPr>
            <w:tcW w:w="1643"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0.58</w:t>
            </w:r>
          </w:p>
        </w:tc>
        <w:tc>
          <w:tcPr>
            <w:tcW w:w="1643" w:type="dxa"/>
            <w:vAlign w:val="center"/>
          </w:tcPr>
          <w:p>
            <w:pPr>
              <w:pStyle w:val="13"/>
            </w:pPr>
          </w:p>
        </w:tc>
        <w:tc>
          <w:tcPr>
            <w:tcW w:w="1643"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3"/>
            </w:pPr>
            <w:r>
              <w:t>30.73</w:t>
            </w:r>
          </w:p>
        </w:tc>
        <w:tc>
          <w:tcPr>
            <w:tcW w:w="1643" w:type="dxa"/>
            <w:vAlign w:val="center"/>
          </w:tcPr>
          <w:p>
            <w:pPr>
              <w:pStyle w:val="13"/>
            </w:pPr>
            <w:r>
              <w:t>30.73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3"/>
            </w:pPr>
            <w:r>
              <w:t>30.73</w:t>
            </w:r>
          </w:p>
        </w:tc>
        <w:tc>
          <w:tcPr>
            <w:tcW w:w="1643" w:type="dxa"/>
            <w:vAlign w:val="center"/>
          </w:tcPr>
          <w:p>
            <w:pPr>
              <w:pStyle w:val="13"/>
            </w:pPr>
            <w:r>
              <w:t>30.73</w:t>
            </w:r>
          </w:p>
        </w:tc>
        <w:tc>
          <w:tcPr>
            <w:tcW w:w="1643"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19672"/>
      <w:r>
        <w:rPr>
          <w:rFonts w:ascii="方正小标宋_GBK" w:hAnsi="方正小标宋_GBK" w:eastAsia="方正小标宋_GBK" w:cs="方正小标宋_GBK"/>
          <w:color w:val="000000"/>
          <w:sz w:val="36"/>
        </w:rPr>
        <w:t>部门预算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1"/>
      </w:pPr>
      <w:bookmarkStart w:id="7" w:name="_Toc11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2026"/>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241石家庄市藁城区档案馆</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石家庄市藁城区档案馆2023年部门预算信息公开情况说明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按照《预算法》、《地方预决算公开操作规程》和《关于进一步推进预算公开工作的实施意见》规定，现将石家庄市藁城区档案馆2023年部门预算公开如下：</w:t>
      </w:r>
    </w:p>
    <w:p>
      <w:pPr>
        <w:spacing w:before="10" w:after="10" w:line="360" w:lineRule="auto"/>
        <w:ind w:firstLine="640"/>
        <w:jc w:val="left"/>
        <w:outlineLvl w:val="2"/>
      </w:pPr>
      <w:bookmarkStart w:id="9" w:name="_Toc31961"/>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p>
    <w:p>
      <w:pPr>
        <w:pStyle w:val="17"/>
      </w:pPr>
      <w:r>
        <w:t>根据《石家庄市藁城区档案馆职能配置、内设机构和人员编制规定》， 石家庄市藁城区档案馆的主要职责是：</w:t>
      </w:r>
    </w:p>
    <w:p>
      <w:pPr>
        <w:pStyle w:val="17"/>
      </w:pPr>
      <w:r>
        <w:t>为贯彻落实党中央、省委、市委和区委关于档案工作的方针政策和决策部署，坚持和加强党对档案工作的集中统一领导。区档案馆主要职责是：</w:t>
      </w:r>
    </w:p>
    <w:p>
      <w:pPr>
        <w:pStyle w:val="17"/>
      </w:pPr>
      <w:r>
        <w:t>一、贯彻执行国家和本省有关档案管理的法律、法规、规章。</w:t>
      </w:r>
    </w:p>
    <w:p>
      <w:pPr>
        <w:pStyle w:val="17"/>
      </w:pPr>
      <w:r>
        <w:t>二、集中统一管理区直机关、乡镇各历史时期的档案资料，保守党和国家机密，维护档案完整，确保档案资料安全。</w:t>
      </w:r>
    </w:p>
    <w:p>
      <w:pPr>
        <w:pStyle w:val="17"/>
      </w:pPr>
      <w:r>
        <w:t>三、接收区委，区人大，区政府，区政协，区纪委，及区直各机关单位、乡镇应进馆的档案资料。</w:t>
      </w:r>
    </w:p>
    <w:p>
      <w:pPr>
        <w:pStyle w:val="17"/>
      </w:pPr>
      <w:r>
        <w:t>四、收集和接收本馆保管范围内对国家和社会有保存价值的档案，征集社会珍贵档案资料。</w:t>
      </w:r>
    </w:p>
    <w:p>
      <w:pPr>
        <w:pStyle w:val="17"/>
      </w:pPr>
      <w:r>
        <w:t>五、负责馆藏档案资料完整的整理、编目、鉴定、统计和技术保护工作。</w:t>
      </w:r>
    </w:p>
    <w:p>
      <w:pPr>
        <w:pStyle w:val="17"/>
      </w:pPr>
      <w:r>
        <w:t>六、依法开放档案，为党和政府及社会各方面提供利用服务。</w:t>
      </w:r>
    </w:p>
    <w:p>
      <w:pPr>
        <w:pStyle w:val="17"/>
      </w:pPr>
      <w:r>
        <w:t>七、承担政府公开信息的收集、管理和集中查阅工作。</w:t>
      </w:r>
    </w:p>
    <w:p>
      <w:pPr>
        <w:pStyle w:val="17"/>
      </w:pPr>
      <w:r>
        <w:t>八、制定馆藏档案信息资源开发规划，开发档案信息资源，开展馆藏档案史料的编研出版、展览陈列和社会教育活动。</w:t>
      </w:r>
    </w:p>
    <w:p>
      <w:pPr>
        <w:pStyle w:val="17"/>
      </w:pPr>
      <w:r>
        <w:t>九、运用现代化技术手段，开展馆藏档案信息化建设。</w:t>
      </w:r>
    </w:p>
    <w:p>
      <w:pPr>
        <w:pStyle w:val="17"/>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石家庄市藁城区档案馆本级</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360" w:lineRule="auto"/>
        <w:ind w:firstLine="640"/>
        <w:jc w:val="left"/>
        <w:outlineLvl w:val="2"/>
      </w:pPr>
      <w:bookmarkStart w:id="10" w:name="_Toc19469"/>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按照预算管理有关规定，目前我省部门预算的编制实行综合预算管理，即全部收入和支出都反映在预算中。石家庄市藁城区档案馆机关及所属事业单位的收支包含在部门预算中。</w:t>
      </w:r>
    </w:p>
    <w:p>
      <w:pPr>
        <w:pStyle w:val="18"/>
      </w:pPr>
      <w:r>
        <w:t>1、收入说明</w:t>
      </w:r>
    </w:p>
    <w:p>
      <w:pPr>
        <w:pStyle w:val="18"/>
      </w:pPr>
      <w:r>
        <w:t>反映本部门当年全部收入。2023年预算收入179.76万元，其中：一般公共预算收入179.76万元，基金预算收入0万元，财政专户核拨收入0万元，其他来源收入0万元。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收支预算总表支出栏、基本支出表、项目支出表按经济分类和支出功能分类科目编制，反映本部门预算中支出预算的总体情况。2023年部门支出预算为</w:t>
      </w:r>
      <w:r>
        <w:rPr>
          <w:rFonts w:hint="eastAsia"/>
          <w:lang w:val="en-US" w:eastAsia="zh-CN"/>
        </w:rPr>
        <w:t>179.76</w:t>
      </w:r>
      <w:r>
        <w:t>万元，其中基本支出164.76万元，包括人员经费160.33万元和日常公用经费4.43万元；项目支出15万元，主要为档案日常管理维护费15万元；其他支出0万元。</w:t>
      </w:r>
    </w:p>
    <w:p>
      <w:pPr>
        <w:pStyle w:val="18"/>
      </w:pPr>
      <w:r>
        <w:t>3、比上年增减情况</w:t>
      </w:r>
    </w:p>
    <w:p>
      <w:pPr>
        <w:pStyle w:val="18"/>
      </w:pPr>
      <w:r>
        <w:t>2023年部门预算收支安排179.76万元，较2022年增加40.04万元，其中：基本支出增加40.04万元，主要是人员增加，相应增加人员经费和日常公用经费；项目支出15万元，较上年持平；  其他支出无增减变化。</w:t>
      </w:r>
    </w:p>
    <w:p>
      <w:pPr>
        <w:spacing w:before="10" w:after="10" w:line="360" w:lineRule="auto"/>
        <w:ind w:firstLine="640"/>
        <w:jc w:val="left"/>
        <w:outlineLvl w:val="2"/>
      </w:pPr>
      <w:bookmarkStart w:id="11" w:name="_Toc19820"/>
      <w:r>
        <w:rPr>
          <w:rFonts w:ascii="黑体" w:hAnsi="黑体" w:eastAsia="黑体" w:cs="黑体"/>
          <w:color w:val="000000"/>
          <w:sz w:val="32"/>
        </w:rPr>
        <w:t>三、机关运行经费安排情况</w:t>
      </w:r>
      <w:bookmarkEnd w:id="11"/>
    </w:p>
    <w:p>
      <w:pPr>
        <w:pStyle w:val="19"/>
      </w:pPr>
      <w:r>
        <w:t>2023年，我部门机关运行经费共计安排4.43万元，主要用于保证机关正常运转的办公及印刷费、邮电费、差旅费、福利费、日常维修费等支出。</w:t>
      </w:r>
    </w:p>
    <w:p>
      <w:pPr>
        <w:spacing w:before="10" w:after="10" w:line="360" w:lineRule="auto"/>
        <w:ind w:firstLine="640"/>
        <w:jc w:val="left"/>
        <w:outlineLvl w:val="2"/>
      </w:pPr>
      <w:bookmarkStart w:id="12" w:name="_Toc15693"/>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3810"/>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一、总体绩效目标</w:t>
      </w:r>
    </w:p>
    <w:p>
      <w:pPr>
        <w:pStyle w:val="21"/>
      </w:pPr>
      <w:r>
        <w:t>集中统一管理乡镇（区）、区直机关各历史时期的档案资料，保守党和国家机密，维护档案完整，确保档案资料安全；接收区委、区人大、区政府、区政协、区纪委监委等区直各机关单位、乡镇（区）应进馆的档案资料；做好全区各类档案保管保密工作，确保档案资料安全；征集散存在社会上对国家和社会有保存价值的珍贵档案资料；负责馆藏档案资料的整理、编目、鉴定、统计和技术保护工作；依法开放年满25年的馆藏档案，为党和政府及社会各方面提供利用服务；运用现代化技术手段，开展馆藏档案信息化建设。贯彻执行国家、省、市及我区有关档案管理的法律、法规和制度。完成区委交办的其他任务。</w:t>
      </w:r>
    </w:p>
    <w:p>
      <w:pPr>
        <w:pStyle w:val="21"/>
      </w:pPr>
      <w:r>
        <w:t>二、分项绩效目标</w:t>
      </w:r>
    </w:p>
    <w:p>
      <w:pPr>
        <w:pStyle w:val="21"/>
      </w:pPr>
      <w:r>
        <w:t>（一）推进档案治理现代化</w:t>
      </w:r>
    </w:p>
    <w:p>
      <w:pPr>
        <w:pStyle w:val="21"/>
      </w:pPr>
      <w:r>
        <w:t>绩效目标：对馆藏档案进行整理，对年满25年的馆藏档案进行鉴定和开放；配合馆藏档案数字化，继续开展档案修复工作。</w:t>
      </w:r>
    </w:p>
    <w:p>
      <w:pPr>
        <w:pStyle w:val="21"/>
      </w:pPr>
      <w:r>
        <w:t>绩效指标：对符合开放的馆藏档案，应开尽开；预计修复、整理档案10000件，延长档案寿命，提高档案利用率，便于提供利用。</w:t>
      </w:r>
    </w:p>
    <w:p>
      <w:pPr>
        <w:pStyle w:val="21"/>
      </w:pPr>
      <w:r>
        <w:t>（二）推进档案信息化建设</w:t>
      </w:r>
    </w:p>
    <w:p>
      <w:pPr>
        <w:pStyle w:val="21"/>
      </w:pPr>
      <w:r>
        <w:t>绩效目标：加快档案信息化建设步伐，加速档案信息系统整合和资源共享。</w:t>
      </w:r>
    </w:p>
    <w:p>
      <w:pPr>
        <w:pStyle w:val="21"/>
      </w:pPr>
      <w:r>
        <w:t>绩效指标：根据年初工作计划，如期完成馆藏档案数字化扫描工作，不断提升档案利用效率。</w:t>
      </w:r>
    </w:p>
    <w:p>
      <w:pPr>
        <w:pStyle w:val="21"/>
      </w:pPr>
      <w:r>
        <w:t>（三）确保库房存放档案安全</w:t>
      </w:r>
    </w:p>
    <w:p>
      <w:pPr>
        <w:pStyle w:val="21"/>
      </w:pPr>
      <w:r>
        <w:t>绩效目标：不断改善库房存放环境，确保档案资料完整、安全。</w:t>
      </w:r>
    </w:p>
    <w:p>
      <w:pPr>
        <w:pStyle w:val="21"/>
      </w:pPr>
      <w:r>
        <w:t>绩效指标：确保库房存放条件符合十防标准；全天24小时有人值班，做好值班值守；设备维护及时到位，5个库房能正常运转。</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二、分项绩效目标</w:t>
      </w:r>
    </w:p>
    <w:p>
      <w:pPr>
        <w:pStyle w:val="22"/>
      </w:pPr>
      <w:r>
        <w:t>（一）推进档案治理现代化</w:t>
      </w:r>
    </w:p>
    <w:p>
      <w:pPr>
        <w:pStyle w:val="22"/>
      </w:pPr>
      <w:r>
        <w:t>绩效目标：对馆藏档案进行整理，对年满25年的馆藏档案进行鉴定和开放；配合馆藏档案数字化，继续开展档案修复工作。</w:t>
      </w:r>
    </w:p>
    <w:p>
      <w:pPr>
        <w:pStyle w:val="22"/>
      </w:pPr>
      <w:r>
        <w:t>绩效指标：对符合开放的馆藏档案，应开尽开；预计修复、整理档案10000件，延长档案寿命，提高档案利用率，便于提供利用。</w:t>
      </w:r>
    </w:p>
    <w:p>
      <w:pPr>
        <w:pStyle w:val="22"/>
      </w:pPr>
      <w:r>
        <w:t>（二）推进档案信息化建设</w:t>
      </w:r>
    </w:p>
    <w:p>
      <w:pPr>
        <w:pStyle w:val="22"/>
      </w:pPr>
      <w:r>
        <w:t>绩效目标：加快档案信息化建设步伐，加速档案信息系统整合和资源共享。</w:t>
      </w:r>
    </w:p>
    <w:p>
      <w:pPr>
        <w:pStyle w:val="22"/>
      </w:pPr>
      <w:r>
        <w:t>绩效指标：根据年初工作计划，如期完成馆藏档案数字化扫描工作，不断提升档案利用效率。</w:t>
      </w:r>
    </w:p>
    <w:p>
      <w:pPr>
        <w:pStyle w:val="22"/>
      </w:pPr>
      <w:r>
        <w:t>（三）确保库房存放档案安全</w:t>
      </w:r>
    </w:p>
    <w:p>
      <w:pPr>
        <w:pStyle w:val="22"/>
      </w:pPr>
      <w:r>
        <w:t>绩效目标：不断改善库房存放环境，确保档案资料完整、安全。</w:t>
      </w:r>
    </w:p>
    <w:p>
      <w:pPr>
        <w:pStyle w:val="22"/>
      </w:pPr>
      <w:r>
        <w:t>绩效指标：确保库房存放条件符合十防标准；全天24小时有人值班，做好值班值守；设备维护及时到位，5个库房能正常运转。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三、工作保障措施</w:t>
      </w:r>
    </w:p>
    <w:p>
      <w:pPr>
        <w:pStyle w:val="23"/>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pPr>
        <w:pStyle w:val="23"/>
      </w:pPr>
      <w:r>
        <w:t>（一）强化政治和制度保障。一是切实提高政治站位，始终牢记“档案工作姓党”。要旗帜鲜明讲政治，不断增强档案工作的政治敏锐性和政治鉴别力，以高度的政治自觉和强烈的政治担当做好档案工作。三是保证预算编制合理细致、资产及物品采购程序合理合法，资产管理到位，支出合理，物尽其用，项目资金安全高效使用。</w:t>
      </w:r>
    </w:p>
    <w:p>
      <w:pPr>
        <w:pStyle w:val="23"/>
      </w:pPr>
      <w:r>
        <w:t>（二）强化项目支出进度和绩效运行监控。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pPr>
        <w:pStyle w:val="23"/>
      </w:pPr>
      <w:r>
        <w:t>（三）做好绩效自评。按要求开展上年度部门预算绩效自评和重点评价工作，对评价中发现的问题及时整改，调整优化支出结构，提高财政资金使用效益。</w:t>
      </w:r>
    </w:p>
    <w:p>
      <w:pPr>
        <w:pStyle w:val="23"/>
      </w:pPr>
      <w:r>
        <w:t>（四）强化内部监督。一是健全内控制度，严格按照内控制度进行运转，对绩效运行情况、重大支出决策、资产处置及其他重要经济业务事项的决策和执行进行督导。二是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pPr>
        <w:pStyle w:val="23"/>
      </w:pPr>
      <w:r>
        <w:t>（五）强化宣传培训。着力抓好干部教育和培训，扎实做好人才培养工作；加大宣传力度，强化预算绩效管理意识，促进预算绩效管理水平进一步提升。</w:t>
      </w:r>
    </w:p>
    <w:p>
      <w:pPr>
        <w:pStyle w:val="23"/>
      </w:pPr>
      <w:r>
        <w:t>（六）强化安全保障。深入贯彻落实国家档案局《关于进一步加强档案安全工作的意见》，建立健全人防、物防、技防三位一体的档案安全保障体系，强化隐患排查治理，防范安全风险挑战，始终把档案安全作为头等大事来抓。</w:t>
      </w:r>
    </w:p>
    <w:p>
      <w:pPr>
        <w:pStyle w:val="23"/>
      </w:pPr>
      <w:r>
        <w:t>（七）加强财务资产管理。完善财务管理规定，健全预算管理制度、货币资金管理办法、资产及物品采购管理办法和项目资金管理办法。</w:t>
      </w:r>
    </w:p>
    <w:p>
      <w:pPr>
        <w:spacing w:before="0" w:after="0" w:line="240" w:lineRule="auto"/>
        <w:ind w:firstLine="640"/>
        <w:jc w:val="left"/>
        <w:outlineLvl w:val="9"/>
        <w:sectPr>
          <w:pgSz w:w="16840" w:h="11900" w:orient="landscape"/>
          <w:pgMar w:top="1361" w:right="1020" w:bottom="1134" w:left="1020" w:header="720" w:footer="720" w:gutter="0"/>
        </w:sectPr>
      </w:pPr>
      <w:r>
        <w:rPr>
          <w:rFonts w:ascii="方正楷体_GBK" w:hAnsi="方正楷体_GBK" w:eastAsia="方正楷体_GBK" w:cs="方正楷体_GBK"/>
          <w:b/>
          <w:color w:val="000000"/>
          <w:sz w:val="32"/>
        </w:rPr>
        <w:t>第二部分   预算项目绩效目标</w:t>
      </w:r>
    </w:p>
    <w:p>
      <w:pPr>
        <w:spacing w:before="0" w:after="0"/>
        <w:ind w:firstLine="560"/>
        <w:jc w:val="left"/>
        <w:outlineLvl w:val="9"/>
      </w:pPr>
      <w:r>
        <w:rPr>
          <w:rFonts w:ascii="方正仿宋_GBK" w:hAnsi="方正仿宋_GBK" w:eastAsia="方正仿宋_GBK" w:cs="方正仿宋_GBK"/>
          <w:b/>
          <w:color w:val="000000"/>
          <w:sz w:val="28"/>
        </w:rPr>
        <w:t>1、档案日常管理维护费绩效目标表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1.通过档案的不同等级采取有效措施,加以整理、保护和保管,使馆藏更加丰富,档案保管更加规范化标准化，进一步提高档案利用率。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档案整理、修复的数量</w:t>
            </w:r>
          </w:p>
        </w:tc>
        <w:tc>
          <w:tcPr>
            <w:tcW w:w="2466" w:type="dxa"/>
            <w:vAlign w:val="center"/>
          </w:tcPr>
          <w:p>
            <w:pPr>
              <w:pStyle w:val="12"/>
            </w:pPr>
            <w:r>
              <w:t>对馆藏档案进行著录、换盒等整理、修复的数量</w:t>
            </w:r>
          </w:p>
        </w:tc>
        <w:tc>
          <w:tcPr>
            <w:tcW w:w="2466" w:type="dxa"/>
            <w:vAlign w:val="center"/>
          </w:tcPr>
          <w:p>
            <w:pPr>
              <w:pStyle w:val="12"/>
            </w:pPr>
            <w:r>
              <w:t>≥10000件</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档案日常维护年底完成率</w:t>
            </w:r>
          </w:p>
        </w:tc>
        <w:tc>
          <w:tcPr>
            <w:tcW w:w="2466" w:type="dxa"/>
            <w:vAlign w:val="center"/>
          </w:tcPr>
          <w:p>
            <w:pPr>
              <w:pStyle w:val="12"/>
            </w:pPr>
            <w:r>
              <w:t>档案日常维护设施设备使用率及档案数字化完成率</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如期完成</w:t>
            </w:r>
          </w:p>
        </w:tc>
        <w:tc>
          <w:tcPr>
            <w:tcW w:w="2466" w:type="dxa"/>
            <w:vAlign w:val="center"/>
          </w:tcPr>
          <w:p>
            <w:pPr>
              <w:pStyle w:val="12"/>
            </w:pPr>
            <w:r>
              <w:t>按照项目截止时间按时完成数字化扫描任务</w:t>
            </w:r>
          </w:p>
        </w:tc>
        <w:tc>
          <w:tcPr>
            <w:tcW w:w="2466" w:type="dxa"/>
            <w:vAlign w:val="center"/>
          </w:tcPr>
          <w:p>
            <w:pPr>
              <w:pStyle w:val="12"/>
            </w:pPr>
            <w:r>
              <w:t>12月31日前</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预算控制数</w:t>
            </w:r>
          </w:p>
        </w:tc>
        <w:tc>
          <w:tcPr>
            <w:tcW w:w="2466" w:type="dxa"/>
            <w:vAlign w:val="center"/>
          </w:tcPr>
          <w:p>
            <w:pPr>
              <w:pStyle w:val="12"/>
            </w:pPr>
            <w:r>
              <w:t>不超预算控制数</w:t>
            </w:r>
          </w:p>
        </w:tc>
        <w:tc>
          <w:tcPr>
            <w:tcW w:w="2466" w:type="dxa"/>
            <w:vAlign w:val="center"/>
          </w:tcPr>
          <w:p>
            <w:pPr>
              <w:pStyle w:val="12"/>
            </w:pPr>
            <w:r>
              <w:t>≤15万元</w:t>
            </w:r>
          </w:p>
        </w:tc>
        <w:tc>
          <w:tcPr>
            <w:tcW w:w="246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社会影响力</w:t>
            </w:r>
          </w:p>
        </w:tc>
        <w:tc>
          <w:tcPr>
            <w:tcW w:w="2466" w:type="dxa"/>
            <w:vAlign w:val="center"/>
          </w:tcPr>
          <w:p>
            <w:pPr>
              <w:pStyle w:val="12"/>
            </w:pPr>
            <w:r>
              <w:t>确保档案的安全完整，延长档案寿命，提高档案利用率，便于提供利用，更好地为党政机关、人民群众及社会各界服务。</w:t>
            </w:r>
          </w:p>
        </w:tc>
        <w:tc>
          <w:tcPr>
            <w:tcW w:w="2466" w:type="dxa"/>
            <w:vAlign w:val="center"/>
          </w:tcPr>
          <w:p>
            <w:pPr>
              <w:pStyle w:val="12"/>
            </w:pPr>
            <w:r>
              <w:t>更好</w:t>
            </w:r>
            <w:r>
              <w:rPr>
                <w:rFonts w:hint="eastAsia"/>
                <w:lang w:val="en-US" w:eastAsia="zh-CN"/>
              </w:rPr>
              <w:t>地</w:t>
            </w:r>
            <w:r>
              <w:t>为党政机关人民群众及社会各界服务</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受益对象满意度</w:t>
            </w:r>
          </w:p>
        </w:tc>
        <w:tc>
          <w:tcPr>
            <w:tcW w:w="2466" w:type="dxa"/>
            <w:vAlign w:val="center"/>
          </w:tcPr>
          <w:p>
            <w:pPr>
              <w:pStyle w:val="12"/>
            </w:pPr>
            <w:r>
              <w:t>受益对象满意度</w:t>
            </w:r>
          </w:p>
        </w:tc>
        <w:tc>
          <w:tcPr>
            <w:tcW w:w="2466" w:type="dxa"/>
            <w:vAlign w:val="center"/>
          </w:tcPr>
          <w:p>
            <w:pPr>
              <w:pStyle w:val="12"/>
            </w:pPr>
            <w:r>
              <w:t>≥95%</w:t>
            </w:r>
          </w:p>
        </w:tc>
        <w:tc>
          <w:tcPr>
            <w:tcW w:w="246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32493"/>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2023年，石家庄市藁城区档案馆安排政府采购预算0.28万元。具体内容见下表。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241石家庄市藁城区档案馆</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c>
          <w:tcPr>
            <w:tcW w:w="924" w:type="dxa"/>
            <w:vAlign w:val="center"/>
          </w:tcPr>
          <w:p>
            <w:pPr>
              <w:pStyle w:val="15"/>
            </w:pPr>
            <w:r>
              <w:t>0.28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石家庄市藁城区档案馆本级小计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c>
          <w:tcPr>
            <w:tcW w:w="924" w:type="dxa"/>
            <w:vAlign w:val="center"/>
          </w:tcPr>
          <w:p>
            <w:pPr>
              <w:pStyle w:val="15"/>
            </w:pPr>
            <w:r>
              <w:t>0.28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2023年日常公用经费</w:t>
            </w:r>
          </w:p>
        </w:tc>
        <w:tc>
          <w:tcPr>
            <w:tcW w:w="924" w:type="dxa"/>
            <w:vAlign w:val="center"/>
          </w:tcPr>
          <w:p>
            <w:pPr>
              <w:pStyle w:val="13"/>
            </w:pPr>
            <w:r>
              <w:t>4.43</w:t>
            </w:r>
          </w:p>
        </w:tc>
        <w:tc>
          <w:tcPr>
            <w:tcW w:w="924" w:type="dxa"/>
            <w:vAlign w:val="center"/>
          </w:tcPr>
          <w:p>
            <w:pPr>
              <w:pStyle w:val="12"/>
            </w:pPr>
            <w:r>
              <w:t>复印纸</w:t>
            </w:r>
          </w:p>
        </w:tc>
        <w:tc>
          <w:tcPr>
            <w:tcW w:w="924" w:type="dxa"/>
            <w:vAlign w:val="center"/>
          </w:tcPr>
          <w:p>
            <w:pPr>
              <w:pStyle w:val="12"/>
            </w:pPr>
            <w:r>
              <w:t>A05040101</w:t>
            </w:r>
          </w:p>
        </w:tc>
        <w:tc>
          <w:tcPr>
            <w:tcW w:w="924" w:type="dxa"/>
            <w:vAlign w:val="center"/>
          </w:tcPr>
          <w:p>
            <w:pPr>
              <w:pStyle w:val="11"/>
            </w:pPr>
            <w:r>
              <w:t>件</w:t>
            </w:r>
          </w:p>
        </w:tc>
        <w:tc>
          <w:tcPr>
            <w:tcW w:w="924" w:type="dxa"/>
            <w:vAlign w:val="center"/>
          </w:tcPr>
          <w:p>
            <w:pPr>
              <w:pStyle w:val="13"/>
            </w:pPr>
            <w:r>
              <w:t>15</w:t>
            </w:r>
          </w:p>
        </w:tc>
        <w:tc>
          <w:tcPr>
            <w:tcW w:w="924" w:type="dxa"/>
            <w:vAlign w:val="center"/>
          </w:tcPr>
          <w:p>
            <w:pPr>
              <w:pStyle w:val="13"/>
            </w:pPr>
            <w:r>
              <w:t>0.02</w:t>
            </w:r>
          </w:p>
        </w:tc>
        <w:tc>
          <w:tcPr>
            <w:tcW w:w="924" w:type="dxa"/>
            <w:vAlign w:val="center"/>
          </w:tcPr>
          <w:p>
            <w:pPr>
              <w:pStyle w:val="13"/>
            </w:pPr>
            <w:r>
              <w:t>0.28</w:t>
            </w:r>
          </w:p>
        </w:tc>
        <w:tc>
          <w:tcPr>
            <w:tcW w:w="924" w:type="dxa"/>
            <w:vAlign w:val="center"/>
          </w:tcPr>
          <w:p>
            <w:pPr>
              <w:pStyle w:val="13"/>
            </w:pPr>
            <w:r>
              <w:t>0.28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6398"/>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石家庄市藁城区档案馆（含所属单位）上年末固定资产金额为57.26万元（详见下表）。本年度拟购置固定资产总额为0.00万元，已按要求列入政府采购预算，详见政府采购预算表。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241石家庄市藁城区档案馆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rPr>
                <w:rFonts w:hint="eastAsia" w:eastAsia="方正书宋_GBK"/>
                <w:lang w:val="en-US"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rPr>
                <w:rFonts w:hint="eastAsia" w:eastAsia="方正书宋_GBK"/>
                <w:lang w:val="en-US"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rPr>
                <w:rFonts w:hint="eastAsia" w:eastAsia="方正书宋_GBK"/>
                <w:lang w:val="en-US"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rPr>
                <w:rFonts w:hint="eastAsia" w:eastAsia="方正书宋_GBK"/>
                <w:lang w:val="en-US" w:eastAsia="zh-CN"/>
              </w:rPr>
            </w:pPr>
            <w:r>
              <w:rPr>
                <w:rFonts w:hint="eastAsia"/>
                <w:lang w:val="en-US" w:eastAsia="zh-CN"/>
              </w:rPr>
              <w:t>0</w:t>
            </w:r>
          </w:p>
        </w:tc>
        <w:tc>
          <w:tcPr>
            <w:tcW w:w="4933" w:type="dxa"/>
            <w:vAlign w:val="center"/>
          </w:tcPr>
          <w:p>
            <w:pPr>
              <w:pStyle w:val="13"/>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40</w:t>
            </w:r>
          </w:p>
        </w:tc>
        <w:tc>
          <w:tcPr>
            <w:tcW w:w="4933" w:type="dxa"/>
            <w:vAlign w:val="center"/>
          </w:tcPr>
          <w:p>
            <w:pPr>
              <w:pStyle w:val="13"/>
            </w:pPr>
            <w:r>
              <w:t>57.26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4484"/>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firstLineChars="200"/>
        <w:jc w:val="left"/>
        <w:outlineLvl w:val="2"/>
      </w:pPr>
      <w:bookmarkStart w:id="17" w:name="_Toc1429"/>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A038FF"/>
    <w:rsid w:val="08B670C6"/>
    <w:rsid w:val="18A038FF"/>
    <w:rsid w:val="1B931EB3"/>
    <w:rsid w:val="1E9300A5"/>
    <w:rsid w:val="330C79EC"/>
    <w:rsid w:val="41105B1D"/>
    <w:rsid w:val="4C896563"/>
    <w:rsid w:val="5BE15D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2023-09-04T07:34:00Z</dcterms:created>
  <dc:creator>Administrator</dc:creator>
  <cp:lastModifiedBy>发丝明媚夏风</cp:lastModifiedBy>
  <dcterms:modified xsi:type="dcterms:W3CDTF">2024-09-18T02:25:04Z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