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石家庄市藁城区档案馆所属单位</w:t>
      </w: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p>
      <w:pPr>
        <w:spacing w:before="0" w:after="0" w:line="240" w:lineRule="auto"/>
        <w:ind w:firstLine="0"/>
        <w:jc w:val="center"/>
        <w:outlineLvl w:val="9"/>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一、石家庄市藁城区档案馆本级收支预算</w:t>
      </w:r>
      <w:r>
        <w:tab/>
      </w:r>
      <w:r>
        <w:rPr>
          <w:rFonts w:hint="eastAsia"/>
          <w:lang w:val="en-US" w:eastAsia="zh-CN"/>
        </w:rPr>
        <w:t>2</w:t>
      </w:r>
      <w:r>
        <w:fldChar w:fldCharType="end"/>
      </w:r>
    </w:p>
    <w:p>
      <w:pPr>
        <w:sectPr>
          <w:footerReference r:id="rId3" w:type="default"/>
          <w:footerReference r:id="rId4" w:type="even"/>
          <w:pgSz w:w="16840" w:h="11900" w:orient="landscape"/>
          <w:pgMar w:top="1587" w:right="1134" w:bottom="1361" w:left="1134" w:header="720" w:footer="720" w:gutter="0"/>
          <w:pgNumType w:fmt="decimal" w:start="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179.76</w:t>
            </w:r>
          </w:p>
        </w:tc>
        <w:tc>
          <w:tcPr>
            <w:tcW w:w="2959" w:type="dxa"/>
            <w:vAlign w:val="center"/>
          </w:tcPr>
          <w:p>
            <w:pPr>
              <w:pStyle w:val="16"/>
            </w:pPr>
            <w:r>
              <w:t>一、一般公共服务支出</w:t>
            </w:r>
          </w:p>
        </w:tc>
        <w:tc>
          <w:tcPr>
            <w:tcW w:w="2959" w:type="dxa"/>
            <w:vAlign w:val="center"/>
          </w:tcPr>
          <w:p>
            <w:pPr>
              <w:pStyle w:val="15"/>
            </w:pPr>
            <w:r>
              <w:t>179.76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8"/>
            </w:pPr>
            <w:r>
              <w:t>本年收入合计</w:t>
            </w:r>
          </w:p>
        </w:tc>
        <w:tc>
          <w:tcPr>
            <w:tcW w:w="2959" w:type="dxa"/>
            <w:vAlign w:val="center"/>
          </w:tcPr>
          <w:p>
            <w:pPr>
              <w:pStyle w:val="19"/>
            </w:pPr>
            <w:r>
              <w:t>179.76</w:t>
            </w:r>
          </w:p>
        </w:tc>
        <w:tc>
          <w:tcPr>
            <w:tcW w:w="2959" w:type="dxa"/>
            <w:vAlign w:val="center"/>
          </w:tcPr>
          <w:p>
            <w:pPr>
              <w:pStyle w:val="18"/>
            </w:pPr>
            <w:r>
              <w:t>本年支出合计</w:t>
            </w:r>
          </w:p>
        </w:tc>
        <w:tc>
          <w:tcPr>
            <w:tcW w:w="2959" w:type="dxa"/>
            <w:vAlign w:val="center"/>
          </w:tcPr>
          <w:p>
            <w:pPr>
              <w:pStyle w:val="19"/>
            </w:pPr>
            <w:r>
              <w:t>179.76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8"/>
            </w:pPr>
            <w:r>
              <w:t>收入总计</w:t>
            </w:r>
          </w:p>
        </w:tc>
        <w:tc>
          <w:tcPr>
            <w:tcW w:w="2959" w:type="dxa"/>
            <w:vAlign w:val="center"/>
          </w:tcPr>
          <w:p>
            <w:pPr>
              <w:pStyle w:val="19"/>
            </w:pPr>
            <w:r>
              <w:t>179.76</w:t>
            </w:r>
          </w:p>
        </w:tc>
        <w:tc>
          <w:tcPr>
            <w:tcW w:w="2959" w:type="dxa"/>
            <w:vAlign w:val="center"/>
          </w:tcPr>
          <w:p>
            <w:pPr>
              <w:pStyle w:val="18"/>
            </w:pPr>
            <w:r>
              <w:t>支出总计</w:t>
            </w:r>
          </w:p>
        </w:tc>
        <w:tc>
          <w:tcPr>
            <w:tcW w:w="2959" w:type="dxa"/>
            <w:vAlign w:val="center"/>
          </w:tcPr>
          <w:p>
            <w:pPr>
              <w:pStyle w:val="19"/>
            </w:pPr>
            <w:r>
              <w:t>179.76</w:t>
            </w:r>
          </w:p>
        </w:tc>
      </w:tr>
    </w:tbl>
    <w:p>
      <w:pPr>
        <w:sectPr>
          <w:footerReference r:id="rId5" w:type="default"/>
          <w:footerReference r:id="rId6" w:type="even"/>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179.76</w:t>
            </w:r>
          </w:p>
        </w:tc>
        <w:tc>
          <w:tcPr>
            <w:tcW w:w="758" w:type="dxa"/>
            <w:vAlign w:val="center"/>
          </w:tcPr>
          <w:p>
            <w:pPr>
              <w:pStyle w:val="19"/>
            </w:pPr>
            <w:r>
              <w:t>179.76</w:t>
            </w:r>
          </w:p>
        </w:tc>
        <w:tc>
          <w:tcPr>
            <w:tcW w:w="758" w:type="dxa"/>
            <w:vAlign w:val="center"/>
          </w:tcPr>
          <w:p>
            <w:pPr>
              <w:pStyle w:val="19"/>
            </w:pPr>
            <w:r>
              <w:t>179.76</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20126</w:t>
            </w:r>
          </w:p>
        </w:tc>
        <w:tc>
          <w:tcPr>
            <w:tcW w:w="758" w:type="dxa"/>
            <w:vAlign w:val="center"/>
          </w:tcPr>
          <w:p>
            <w:pPr>
              <w:pStyle w:val="16"/>
            </w:pPr>
            <w:r>
              <w:t>档案事务</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2012604</w:t>
            </w:r>
          </w:p>
        </w:tc>
        <w:tc>
          <w:tcPr>
            <w:tcW w:w="758" w:type="dxa"/>
            <w:vAlign w:val="center"/>
          </w:tcPr>
          <w:p>
            <w:pPr>
              <w:pStyle w:val="16"/>
            </w:pPr>
            <w:r>
              <w:t>档案馆</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r>
              <w:t>179.76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179.76</w:t>
            </w:r>
          </w:p>
        </w:tc>
        <w:tc>
          <w:tcPr>
            <w:tcW w:w="1095" w:type="dxa"/>
            <w:vAlign w:val="center"/>
          </w:tcPr>
          <w:p>
            <w:pPr>
              <w:pStyle w:val="19"/>
            </w:pPr>
            <w:r>
              <w:t>164.76</w:t>
            </w:r>
          </w:p>
        </w:tc>
        <w:tc>
          <w:tcPr>
            <w:tcW w:w="1095" w:type="dxa"/>
            <w:vAlign w:val="center"/>
          </w:tcPr>
          <w:p>
            <w:pPr>
              <w:pStyle w:val="19"/>
            </w:pPr>
            <w:r>
              <w:t>15.00</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201</w:t>
            </w:r>
          </w:p>
        </w:tc>
        <w:tc>
          <w:tcPr>
            <w:tcW w:w="1095" w:type="dxa"/>
            <w:vAlign w:val="center"/>
          </w:tcPr>
          <w:p>
            <w:pPr>
              <w:pStyle w:val="16"/>
            </w:pPr>
            <w:r>
              <w:t>一般公共服务支出</w:t>
            </w:r>
          </w:p>
        </w:tc>
        <w:tc>
          <w:tcPr>
            <w:tcW w:w="1095" w:type="dxa"/>
            <w:vAlign w:val="center"/>
          </w:tcPr>
          <w:p>
            <w:pPr>
              <w:pStyle w:val="15"/>
            </w:pPr>
            <w:r>
              <w:t>179.76</w:t>
            </w:r>
          </w:p>
        </w:tc>
        <w:tc>
          <w:tcPr>
            <w:tcW w:w="1095" w:type="dxa"/>
            <w:vAlign w:val="center"/>
          </w:tcPr>
          <w:p>
            <w:pPr>
              <w:pStyle w:val="15"/>
            </w:pPr>
            <w:r>
              <w:t>164.76</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20126</w:t>
            </w:r>
          </w:p>
        </w:tc>
        <w:tc>
          <w:tcPr>
            <w:tcW w:w="1095" w:type="dxa"/>
            <w:vAlign w:val="center"/>
          </w:tcPr>
          <w:p>
            <w:pPr>
              <w:pStyle w:val="16"/>
            </w:pPr>
            <w:r>
              <w:t>档案事务</w:t>
            </w:r>
          </w:p>
        </w:tc>
        <w:tc>
          <w:tcPr>
            <w:tcW w:w="1095" w:type="dxa"/>
            <w:vAlign w:val="center"/>
          </w:tcPr>
          <w:p>
            <w:pPr>
              <w:pStyle w:val="15"/>
            </w:pPr>
            <w:r>
              <w:t>179.76</w:t>
            </w:r>
          </w:p>
        </w:tc>
        <w:tc>
          <w:tcPr>
            <w:tcW w:w="1095" w:type="dxa"/>
            <w:vAlign w:val="center"/>
          </w:tcPr>
          <w:p>
            <w:pPr>
              <w:pStyle w:val="15"/>
            </w:pPr>
            <w:r>
              <w:t>164.76</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2012604</w:t>
            </w:r>
          </w:p>
        </w:tc>
        <w:tc>
          <w:tcPr>
            <w:tcW w:w="1095" w:type="dxa"/>
            <w:vAlign w:val="center"/>
          </w:tcPr>
          <w:p>
            <w:pPr>
              <w:pStyle w:val="16"/>
            </w:pPr>
            <w:r>
              <w:t>档案馆</w:t>
            </w:r>
          </w:p>
        </w:tc>
        <w:tc>
          <w:tcPr>
            <w:tcW w:w="1095" w:type="dxa"/>
            <w:vAlign w:val="center"/>
          </w:tcPr>
          <w:p>
            <w:pPr>
              <w:pStyle w:val="15"/>
            </w:pPr>
            <w:r>
              <w:t>179.76</w:t>
            </w:r>
          </w:p>
        </w:tc>
        <w:tc>
          <w:tcPr>
            <w:tcW w:w="1095" w:type="dxa"/>
            <w:vAlign w:val="center"/>
          </w:tcPr>
          <w:p>
            <w:pPr>
              <w:pStyle w:val="15"/>
            </w:pPr>
            <w:r>
              <w:t>164.76</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179.76</w:t>
            </w:r>
          </w:p>
        </w:tc>
        <w:tc>
          <w:tcPr>
            <w:tcW w:w="1232" w:type="dxa"/>
            <w:vAlign w:val="center"/>
          </w:tcPr>
          <w:p>
            <w:pPr>
              <w:pStyle w:val="16"/>
            </w:pPr>
            <w:r>
              <w:t>一、一般公共服务支出</w:t>
            </w:r>
          </w:p>
        </w:tc>
        <w:tc>
          <w:tcPr>
            <w:tcW w:w="1232" w:type="dxa"/>
            <w:vAlign w:val="center"/>
          </w:tcPr>
          <w:p>
            <w:pPr>
              <w:pStyle w:val="15"/>
            </w:pPr>
            <w:r>
              <w:t>179.76</w:t>
            </w:r>
          </w:p>
        </w:tc>
        <w:tc>
          <w:tcPr>
            <w:tcW w:w="1232" w:type="dxa"/>
            <w:vAlign w:val="center"/>
          </w:tcPr>
          <w:p>
            <w:pPr>
              <w:pStyle w:val="15"/>
            </w:pPr>
            <w:r>
              <w:t>179.76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179.76</w:t>
            </w:r>
          </w:p>
        </w:tc>
        <w:tc>
          <w:tcPr>
            <w:tcW w:w="1232" w:type="dxa"/>
            <w:vAlign w:val="center"/>
          </w:tcPr>
          <w:p>
            <w:pPr>
              <w:pStyle w:val="18"/>
            </w:pPr>
            <w:r>
              <w:t>本年支出合计</w:t>
            </w:r>
          </w:p>
        </w:tc>
        <w:tc>
          <w:tcPr>
            <w:tcW w:w="1232" w:type="dxa"/>
            <w:vAlign w:val="center"/>
          </w:tcPr>
          <w:p>
            <w:pPr>
              <w:pStyle w:val="19"/>
            </w:pPr>
            <w:r>
              <w:t>179.76</w:t>
            </w:r>
          </w:p>
        </w:tc>
        <w:tc>
          <w:tcPr>
            <w:tcW w:w="1232" w:type="dxa"/>
            <w:vAlign w:val="center"/>
          </w:tcPr>
          <w:p>
            <w:pPr>
              <w:pStyle w:val="19"/>
            </w:pPr>
            <w:r>
              <w:t>179.76</w:t>
            </w:r>
          </w:p>
        </w:tc>
        <w:tc>
          <w:tcPr>
            <w:tcW w:w="1232" w:type="dxa"/>
            <w:vAlign w:val="center"/>
          </w:tcPr>
          <w:p>
            <w:pPr>
              <w:pStyle w:val="19"/>
            </w:pP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179.76</w:t>
            </w:r>
          </w:p>
        </w:tc>
        <w:tc>
          <w:tcPr>
            <w:tcW w:w="1232" w:type="dxa"/>
            <w:vAlign w:val="center"/>
          </w:tcPr>
          <w:p>
            <w:pPr>
              <w:pStyle w:val="18"/>
            </w:pPr>
            <w:r>
              <w:t>支出总计</w:t>
            </w:r>
          </w:p>
        </w:tc>
        <w:tc>
          <w:tcPr>
            <w:tcW w:w="1232" w:type="dxa"/>
            <w:vAlign w:val="center"/>
          </w:tcPr>
          <w:p>
            <w:pPr>
              <w:pStyle w:val="19"/>
            </w:pPr>
            <w:r>
              <w:t>179.76</w:t>
            </w:r>
          </w:p>
        </w:tc>
        <w:tc>
          <w:tcPr>
            <w:tcW w:w="1232" w:type="dxa"/>
            <w:vAlign w:val="center"/>
          </w:tcPr>
          <w:p>
            <w:pPr>
              <w:pStyle w:val="19"/>
            </w:pPr>
            <w:r>
              <w:t>179.76</w:t>
            </w:r>
          </w:p>
        </w:tc>
        <w:tc>
          <w:tcPr>
            <w:tcW w:w="1232" w:type="dxa"/>
            <w:vAlign w:val="center"/>
          </w:tcPr>
          <w:p>
            <w:pPr>
              <w:pStyle w:val="19"/>
            </w:pP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179.76</w:t>
            </w:r>
          </w:p>
        </w:tc>
        <w:tc>
          <w:tcPr>
            <w:tcW w:w="1643" w:type="dxa"/>
            <w:vAlign w:val="center"/>
          </w:tcPr>
          <w:p>
            <w:pPr>
              <w:pStyle w:val="19"/>
            </w:pPr>
            <w:r>
              <w:t>164.76</w:t>
            </w:r>
          </w:p>
        </w:tc>
        <w:tc>
          <w:tcPr>
            <w:tcW w:w="1643" w:type="dxa"/>
            <w:vAlign w:val="center"/>
          </w:tcPr>
          <w:p>
            <w:pPr>
              <w:pStyle w:val="19"/>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201</w:t>
            </w:r>
          </w:p>
        </w:tc>
        <w:tc>
          <w:tcPr>
            <w:tcW w:w="1643" w:type="dxa"/>
            <w:vAlign w:val="center"/>
          </w:tcPr>
          <w:p>
            <w:pPr>
              <w:pStyle w:val="16"/>
            </w:pPr>
            <w:r>
              <w:t>一般公共服务支出</w:t>
            </w:r>
          </w:p>
        </w:tc>
        <w:tc>
          <w:tcPr>
            <w:tcW w:w="1643" w:type="dxa"/>
            <w:vAlign w:val="center"/>
          </w:tcPr>
          <w:p>
            <w:pPr>
              <w:pStyle w:val="15"/>
            </w:pPr>
            <w:r>
              <w:t>179.76</w:t>
            </w:r>
          </w:p>
        </w:tc>
        <w:tc>
          <w:tcPr>
            <w:tcW w:w="1643" w:type="dxa"/>
            <w:vAlign w:val="center"/>
          </w:tcPr>
          <w:p>
            <w:pPr>
              <w:pStyle w:val="15"/>
            </w:pPr>
            <w:r>
              <w:t>164.76</w:t>
            </w: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20126</w:t>
            </w:r>
          </w:p>
        </w:tc>
        <w:tc>
          <w:tcPr>
            <w:tcW w:w="1643" w:type="dxa"/>
            <w:vAlign w:val="center"/>
          </w:tcPr>
          <w:p>
            <w:pPr>
              <w:pStyle w:val="16"/>
            </w:pPr>
            <w:r>
              <w:t>档案事务</w:t>
            </w:r>
          </w:p>
        </w:tc>
        <w:tc>
          <w:tcPr>
            <w:tcW w:w="1643" w:type="dxa"/>
            <w:vAlign w:val="center"/>
          </w:tcPr>
          <w:p>
            <w:pPr>
              <w:pStyle w:val="15"/>
            </w:pPr>
            <w:r>
              <w:t>179.76</w:t>
            </w:r>
          </w:p>
        </w:tc>
        <w:tc>
          <w:tcPr>
            <w:tcW w:w="1643" w:type="dxa"/>
            <w:vAlign w:val="center"/>
          </w:tcPr>
          <w:p>
            <w:pPr>
              <w:pStyle w:val="15"/>
            </w:pPr>
            <w:r>
              <w:t>164.76</w:t>
            </w: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2012604</w:t>
            </w:r>
          </w:p>
        </w:tc>
        <w:tc>
          <w:tcPr>
            <w:tcW w:w="1643" w:type="dxa"/>
            <w:vAlign w:val="center"/>
          </w:tcPr>
          <w:p>
            <w:pPr>
              <w:pStyle w:val="16"/>
            </w:pPr>
            <w:r>
              <w:t>档案馆</w:t>
            </w:r>
          </w:p>
        </w:tc>
        <w:tc>
          <w:tcPr>
            <w:tcW w:w="1643" w:type="dxa"/>
            <w:vAlign w:val="center"/>
          </w:tcPr>
          <w:p>
            <w:pPr>
              <w:pStyle w:val="15"/>
            </w:pPr>
            <w:r>
              <w:t>179.76</w:t>
            </w:r>
          </w:p>
        </w:tc>
        <w:tc>
          <w:tcPr>
            <w:tcW w:w="1643" w:type="dxa"/>
            <w:vAlign w:val="center"/>
          </w:tcPr>
          <w:p>
            <w:pPr>
              <w:pStyle w:val="15"/>
            </w:pPr>
            <w:r>
              <w:t>164.76</w:t>
            </w:r>
          </w:p>
        </w:tc>
        <w:tc>
          <w:tcPr>
            <w:tcW w:w="1643" w:type="dxa"/>
            <w:vAlign w:val="center"/>
          </w:tcPr>
          <w:p>
            <w:pPr>
              <w:pStyle w:val="15"/>
            </w:pPr>
            <w:r>
              <w:t>15.00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164.76</w:t>
            </w:r>
          </w:p>
        </w:tc>
        <w:tc>
          <w:tcPr>
            <w:tcW w:w="1643" w:type="dxa"/>
            <w:vAlign w:val="center"/>
          </w:tcPr>
          <w:p>
            <w:pPr>
              <w:pStyle w:val="19"/>
            </w:pPr>
            <w:r>
              <w:t>160.33</w:t>
            </w:r>
          </w:p>
        </w:tc>
        <w:tc>
          <w:tcPr>
            <w:tcW w:w="1643" w:type="dxa"/>
            <w:vAlign w:val="center"/>
          </w:tcPr>
          <w:p>
            <w:pPr>
              <w:pStyle w:val="19"/>
            </w:pPr>
            <w:r>
              <w:t>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129.60</w:t>
            </w:r>
          </w:p>
        </w:tc>
        <w:tc>
          <w:tcPr>
            <w:tcW w:w="1643" w:type="dxa"/>
            <w:vAlign w:val="center"/>
          </w:tcPr>
          <w:p>
            <w:pPr>
              <w:pStyle w:val="15"/>
            </w:pPr>
            <w:r>
              <w:t>129.60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34.33</w:t>
            </w:r>
          </w:p>
        </w:tc>
        <w:tc>
          <w:tcPr>
            <w:tcW w:w="1643" w:type="dxa"/>
            <w:vAlign w:val="center"/>
          </w:tcPr>
          <w:p>
            <w:pPr>
              <w:pStyle w:val="15"/>
            </w:pPr>
            <w:r>
              <w:t>34.33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14.63</w:t>
            </w:r>
          </w:p>
        </w:tc>
        <w:tc>
          <w:tcPr>
            <w:tcW w:w="1643" w:type="dxa"/>
            <w:vAlign w:val="center"/>
          </w:tcPr>
          <w:p>
            <w:pPr>
              <w:pStyle w:val="15"/>
            </w:pPr>
            <w:r>
              <w:t>14.63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40.38</w:t>
            </w:r>
          </w:p>
        </w:tc>
        <w:tc>
          <w:tcPr>
            <w:tcW w:w="1643" w:type="dxa"/>
            <w:vAlign w:val="center"/>
          </w:tcPr>
          <w:p>
            <w:pPr>
              <w:pStyle w:val="15"/>
            </w:pPr>
            <w:r>
              <w:t>40.38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14.86</w:t>
            </w:r>
          </w:p>
        </w:tc>
        <w:tc>
          <w:tcPr>
            <w:tcW w:w="1643" w:type="dxa"/>
            <w:vAlign w:val="center"/>
          </w:tcPr>
          <w:p>
            <w:pPr>
              <w:pStyle w:val="15"/>
            </w:pPr>
            <w:r>
              <w:t>14.86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5.17</w:t>
            </w:r>
          </w:p>
        </w:tc>
        <w:tc>
          <w:tcPr>
            <w:tcW w:w="1643" w:type="dxa"/>
            <w:vAlign w:val="center"/>
          </w:tcPr>
          <w:p>
            <w:pPr>
              <w:pStyle w:val="15"/>
            </w:pPr>
            <w:r>
              <w:t>5.17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4.00</w:t>
            </w:r>
          </w:p>
        </w:tc>
        <w:tc>
          <w:tcPr>
            <w:tcW w:w="1643" w:type="dxa"/>
            <w:vAlign w:val="center"/>
          </w:tcPr>
          <w:p>
            <w:pPr>
              <w:pStyle w:val="15"/>
            </w:pPr>
            <w:r>
              <w:t>4.00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5.07</w:t>
            </w:r>
          </w:p>
        </w:tc>
        <w:tc>
          <w:tcPr>
            <w:tcW w:w="1643" w:type="dxa"/>
            <w:vAlign w:val="center"/>
          </w:tcPr>
          <w:p>
            <w:pPr>
              <w:pStyle w:val="15"/>
            </w:pPr>
            <w:r>
              <w:t>5.07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11.15</w:t>
            </w:r>
          </w:p>
        </w:tc>
        <w:tc>
          <w:tcPr>
            <w:tcW w:w="1643" w:type="dxa"/>
            <w:vAlign w:val="center"/>
          </w:tcPr>
          <w:p>
            <w:pPr>
              <w:pStyle w:val="15"/>
            </w:pPr>
            <w:r>
              <w:t>11.15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4.43</w:t>
            </w:r>
          </w:p>
        </w:tc>
        <w:tc>
          <w:tcPr>
            <w:tcW w:w="1643" w:type="dxa"/>
            <w:vAlign w:val="center"/>
          </w:tcPr>
          <w:p>
            <w:pPr>
              <w:pStyle w:val="15"/>
            </w:pPr>
          </w:p>
        </w:tc>
        <w:tc>
          <w:tcPr>
            <w:tcW w:w="1643" w:type="dxa"/>
            <w:vAlign w:val="center"/>
          </w:tcPr>
          <w:p>
            <w:pPr>
              <w:pStyle w:val="15"/>
            </w:pPr>
            <w:r>
              <w:t>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2.10</w:t>
            </w:r>
          </w:p>
        </w:tc>
        <w:tc>
          <w:tcPr>
            <w:tcW w:w="1643" w:type="dxa"/>
            <w:vAlign w:val="center"/>
          </w:tcPr>
          <w:p>
            <w:pPr>
              <w:pStyle w:val="15"/>
            </w:pPr>
          </w:p>
        </w:tc>
        <w:tc>
          <w:tcPr>
            <w:tcW w:w="1643" w:type="dxa"/>
            <w:vAlign w:val="center"/>
          </w:tcPr>
          <w:p>
            <w:pPr>
              <w:pStyle w:val="15"/>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0.90</w:t>
            </w:r>
          </w:p>
        </w:tc>
        <w:tc>
          <w:tcPr>
            <w:tcW w:w="1643" w:type="dxa"/>
            <w:vAlign w:val="center"/>
          </w:tcPr>
          <w:p>
            <w:pPr>
              <w:pStyle w:val="15"/>
            </w:pPr>
          </w:p>
        </w:tc>
        <w:tc>
          <w:tcPr>
            <w:tcW w:w="1643"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0.86</w:t>
            </w:r>
          </w:p>
        </w:tc>
        <w:tc>
          <w:tcPr>
            <w:tcW w:w="1643" w:type="dxa"/>
            <w:vAlign w:val="center"/>
          </w:tcPr>
          <w:p>
            <w:pPr>
              <w:pStyle w:val="15"/>
            </w:pPr>
          </w:p>
        </w:tc>
        <w:tc>
          <w:tcPr>
            <w:tcW w:w="1643" w:type="dxa"/>
            <w:vAlign w:val="center"/>
          </w:tcPr>
          <w:p>
            <w:pPr>
              <w:pStyle w:val="15"/>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0.58</w:t>
            </w:r>
          </w:p>
        </w:tc>
        <w:tc>
          <w:tcPr>
            <w:tcW w:w="1643" w:type="dxa"/>
            <w:vAlign w:val="center"/>
          </w:tcPr>
          <w:p>
            <w:pPr>
              <w:pStyle w:val="15"/>
            </w:pPr>
          </w:p>
        </w:tc>
        <w:tc>
          <w:tcPr>
            <w:tcW w:w="1643" w:type="dxa"/>
            <w:vAlign w:val="center"/>
          </w:tcPr>
          <w:p>
            <w:pPr>
              <w:pStyle w:val="15"/>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30.73</w:t>
            </w:r>
          </w:p>
        </w:tc>
        <w:tc>
          <w:tcPr>
            <w:tcW w:w="1643" w:type="dxa"/>
            <w:vAlign w:val="center"/>
          </w:tcPr>
          <w:p>
            <w:pPr>
              <w:pStyle w:val="15"/>
            </w:pPr>
            <w:r>
              <w:t>30.73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30.73</w:t>
            </w:r>
          </w:p>
        </w:tc>
        <w:tc>
          <w:tcPr>
            <w:tcW w:w="1643" w:type="dxa"/>
            <w:vAlign w:val="center"/>
          </w:tcPr>
          <w:p>
            <w:pPr>
              <w:pStyle w:val="15"/>
            </w:pPr>
            <w:r>
              <w:t>30.73</w:t>
            </w:r>
          </w:p>
        </w:tc>
        <w:tc>
          <w:tcPr>
            <w:tcW w:w="1643"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w:t>
            </w:r>
            <w:bookmarkStart w:id="1" w:name="_GoBack"/>
            <w:bookmarkEnd w:id="1"/>
            <w:r>
              <w:t>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石家庄市藁城区档案馆本级2023年单位预算信息公开情况说明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按照《预算法》、《地方预决算公开操作规程》和《关于进一步推进预算公开工作的实施意见》规定，现将石家庄市藁城区档案馆本级2023年单位预算公开如下：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为贯彻落实党中央、省委、市委和区委关于档案工作的方针政策和决策部署，坚持和加强党对档案工作的集中统一领导。区档案馆主要职责是：</w:t>
      </w:r>
    </w:p>
    <w:p>
      <w:pPr>
        <w:pStyle w:val="29"/>
      </w:pPr>
      <w:r>
        <w:t>一、贯彻执行国家和本省有关档案管理的法律、法规、规章。</w:t>
      </w:r>
    </w:p>
    <w:p>
      <w:pPr>
        <w:pStyle w:val="29"/>
      </w:pPr>
      <w:r>
        <w:t>二、集中统一管理区直机关、乡镇各历史时期的档案资料，保守党和国家机密，维护档案完整，确保档案资料安全。</w:t>
      </w:r>
    </w:p>
    <w:p>
      <w:pPr>
        <w:pStyle w:val="29"/>
      </w:pPr>
      <w:r>
        <w:t>三、接收区委，区人大，区政府，区政协，区纪委，及区直各机关单位、乡镇应进馆的档案资料。</w:t>
      </w:r>
    </w:p>
    <w:p>
      <w:pPr>
        <w:pStyle w:val="29"/>
      </w:pPr>
      <w:r>
        <w:t>四、收集和接收本馆保管范围内对国家和社会有保存价值的档案，征集社会珍贵档案资料。</w:t>
      </w:r>
    </w:p>
    <w:p>
      <w:pPr>
        <w:pStyle w:val="29"/>
      </w:pPr>
      <w:r>
        <w:t>五、负责馆藏档案资料完整的整理、编目、鉴定、统计和技术保护工作。</w:t>
      </w:r>
    </w:p>
    <w:p>
      <w:pPr>
        <w:pStyle w:val="29"/>
      </w:pPr>
      <w:r>
        <w:t>六、依法开放档案，为党和政府及社会各方面提供利用服务。</w:t>
      </w:r>
    </w:p>
    <w:p>
      <w:pPr>
        <w:pStyle w:val="29"/>
      </w:pPr>
      <w:r>
        <w:t>七、承担政府公开信息的收集、管理和集中查阅工作。</w:t>
      </w:r>
    </w:p>
    <w:p>
      <w:pPr>
        <w:pStyle w:val="29"/>
      </w:pPr>
      <w:r>
        <w:t>八、制定馆藏档案信息资源开发规划，开发档案信息资源，开展馆藏档案史料的编研出版、展览陈列和社会教育活动。</w:t>
      </w:r>
    </w:p>
    <w:p>
      <w:pPr>
        <w:pStyle w:val="29"/>
      </w:pPr>
      <w:r>
        <w:t>九、运用现代化技术手段，开展馆藏档案信息化建设。</w:t>
      </w:r>
    </w:p>
    <w:p>
      <w:pPr>
        <w:pStyle w:val="29"/>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石家庄市藁城区档案馆本级</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反映本单位当年全部收入。2023年预算收入179.76万元，其中：一般公共预算收入179.76万元，基金预算收入0万元，财政专户核拨收入0万元，其他来源收入0万元。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收支预算总表支出栏、基本支出表、项目支出表按经济分类和支出功能分类科目编制，反映本单位预算中支出预算的总体情况。2023年单位支出预算为1</w:t>
      </w:r>
      <w:r>
        <w:rPr>
          <w:rFonts w:hint="eastAsia"/>
          <w:lang w:val="en-US" w:eastAsia="zh-CN"/>
        </w:rPr>
        <w:t>79</w:t>
      </w:r>
      <w:r>
        <w:t>.76万元，其中基本支出164.76万元，包括人员经费160.33万元和日常公用经费4.43万元；项目支出15万元，主要为档案日常管理维护费15万元；其他支出0万元。</w:t>
      </w:r>
    </w:p>
    <w:p>
      <w:pPr>
        <w:pStyle w:val="30"/>
      </w:pPr>
      <w:r>
        <w:t>3、比上年增减情况</w:t>
      </w:r>
    </w:p>
    <w:p>
      <w:pPr>
        <w:pStyle w:val="30"/>
      </w:pPr>
      <w:r>
        <w:t>2023年单位预算收支安排179.76万元，较2022年增加40.04万元，其中：基本支出增加40.04万元，主要是人员增加，相应增加人员经费和日常公用经费；项目支出15万元，较上年持平；其他支出无增减变化。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2023年，我单位机关运行经费共计安排4.43万元，主要用于保证机关正常运转的办公及印刷费、邮电费、差旅费、福利费、日常维修费等支出。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pgNumType w:fmt="decimal"/>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1、档案日常管理维护费绩效目标表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1.通过档案的不同等级采取有效措施,加以整理、保护和保管,使馆藏更加丰富,档案保管更加规范化标准化，进一步提高档案利用率。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档案整理、修复的数量</w:t>
            </w:r>
          </w:p>
        </w:tc>
        <w:tc>
          <w:tcPr>
            <w:tcW w:w="2466" w:type="dxa"/>
            <w:vAlign w:val="center"/>
          </w:tcPr>
          <w:p>
            <w:pPr>
              <w:pStyle w:val="16"/>
            </w:pPr>
            <w:r>
              <w:t>对馆藏档案进行著录、换盒等整理、修复的数量</w:t>
            </w:r>
          </w:p>
        </w:tc>
        <w:tc>
          <w:tcPr>
            <w:tcW w:w="2466" w:type="dxa"/>
            <w:vAlign w:val="center"/>
          </w:tcPr>
          <w:p>
            <w:pPr>
              <w:pStyle w:val="16"/>
            </w:pPr>
            <w:r>
              <w:t>≥10000件</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档案日常维护年底完成率</w:t>
            </w:r>
          </w:p>
        </w:tc>
        <w:tc>
          <w:tcPr>
            <w:tcW w:w="2466" w:type="dxa"/>
            <w:vAlign w:val="center"/>
          </w:tcPr>
          <w:p>
            <w:pPr>
              <w:pStyle w:val="16"/>
            </w:pPr>
            <w:r>
              <w:t>档案日常维护设施设备使用率及档案数字化完成率</w:t>
            </w:r>
          </w:p>
        </w:tc>
        <w:tc>
          <w:tcPr>
            <w:tcW w:w="2466" w:type="dxa"/>
            <w:vAlign w:val="center"/>
          </w:tcPr>
          <w:p>
            <w:pPr>
              <w:pStyle w:val="16"/>
            </w:pPr>
            <w:r>
              <w:t>≥95%</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如期完成</w:t>
            </w:r>
          </w:p>
        </w:tc>
        <w:tc>
          <w:tcPr>
            <w:tcW w:w="2466" w:type="dxa"/>
            <w:vAlign w:val="center"/>
          </w:tcPr>
          <w:p>
            <w:pPr>
              <w:pStyle w:val="16"/>
            </w:pPr>
            <w:r>
              <w:t>按照项目截止时间按时完成数字化扫描任务</w:t>
            </w:r>
          </w:p>
        </w:tc>
        <w:tc>
          <w:tcPr>
            <w:tcW w:w="2466" w:type="dxa"/>
            <w:vAlign w:val="center"/>
          </w:tcPr>
          <w:p>
            <w:pPr>
              <w:pStyle w:val="16"/>
            </w:pPr>
            <w:r>
              <w:t>12月31日前</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预算控制数</w:t>
            </w:r>
          </w:p>
        </w:tc>
        <w:tc>
          <w:tcPr>
            <w:tcW w:w="2466" w:type="dxa"/>
            <w:vAlign w:val="center"/>
          </w:tcPr>
          <w:p>
            <w:pPr>
              <w:pStyle w:val="16"/>
            </w:pPr>
            <w:r>
              <w:t>不超预算控制数</w:t>
            </w:r>
          </w:p>
        </w:tc>
        <w:tc>
          <w:tcPr>
            <w:tcW w:w="2466" w:type="dxa"/>
            <w:vAlign w:val="center"/>
          </w:tcPr>
          <w:p>
            <w:pPr>
              <w:pStyle w:val="16"/>
            </w:pPr>
            <w:r>
              <w:t>≤15万元</w:t>
            </w:r>
          </w:p>
        </w:tc>
        <w:tc>
          <w:tcPr>
            <w:tcW w:w="2466"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确保档案的安全完整，延长档案寿命，提高档案利用率，便于提供利用，更好地为党政机关、人民群众及社会各界服务。</w:t>
            </w:r>
          </w:p>
        </w:tc>
        <w:tc>
          <w:tcPr>
            <w:tcW w:w="2466" w:type="dxa"/>
            <w:vAlign w:val="center"/>
          </w:tcPr>
          <w:p>
            <w:pPr>
              <w:pStyle w:val="16"/>
            </w:pPr>
            <w:r>
              <w:t>更好</w:t>
            </w:r>
            <w:r>
              <w:rPr>
                <w:rFonts w:hint="eastAsia"/>
                <w:lang w:val="en-US" w:eastAsia="zh-CN"/>
              </w:rPr>
              <w:t>地</w:t>
            </w:r>
            <w:r>
              <w:t>为党政机关人民群众及社会各界服务</w:t>
            </w:r>
          </w:p>
        </w:tc>
        <w:tc>
          <w:tcPr>
            <w:tcW w:w="2466"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受益对象满意度</w:t>
            </w:r>
          </w:p>
        </w:tc>
        <w:tc>
          <w:tcPr>
            <w:tcW w:w="2466" w:type="dxa"/>
            <w:vAlign w:val="center"/>
          </w:tcPr>
          <w:p>
            <w:pPr>
              <w:pStyle w:val="16"/>
            </w:pPr>
            <w:r>
              <w:t>受益对象满意度</w:t>
            </w:r>
          </w:p>
        </w:tc>
        <w:tc>
          <w:tcPr>
            <w:tcW w:w="2466" w:type="dxa"/>
            <w:vAlign w:val="center"/>
          </w:tcPr>
          <w:p>
            <w:pPr>
              <w:pStyle w:val="16"/>
            </w:pPr>
            <w:r>
              <w:t>≥95%</w:t>
            </w:r>
          </w:p>
        </w:tc>
        <w:tc>
          <w:tcPr>
            <w:tcW w:w="2466" w:type="dxa"/>
            <w:vAlign w:val="center"/>
          </w:tcPr>
          <w:p>
            <w:pPr>
              <w:pStyle w:val="16"/>
            </w:pPr>
            <w:r>
              <w:t>调查问卷</w:t>
            </w:r>
          </w:p>
        </w:tc>
      </w:tr>
    </w:tbl>
    <w:p>
      <w:pPr>
        <w:sectPr>
          <w:pgSz w:w="16840" w:h="11900" w:orient="landscape"/>
          <w:pgMar w:top="1361" w:right="1020" w:bottom="1134"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2023年，石家庄市藁城区档案馆本级安排政府采购预算0.28万元。具体内容见下表。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0.28</w:t>
            </w:r>
          </w:p>
        </w:tc>
        <w:tc>
          <w:tcPr>
            <w:tcW w:w="924" w:type="dxa"/>
            <w:vAlign w:val="center"/>
          </w:tcPr>
          <w:p>
            <w:pPr>
              <w:pStyle w:val="19"/>
            </w:pPr>
            <w:r>
              <w:t>0.28</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石家庄市藁城区档案馆本级小计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0.28</w:t>
            </w:r>
          </w:p>
        </w:tc>
        <w:tc>
          <w:tcPr>
            <w:tcW w:w="924" w:type="dxa"/>
            <w:vAlign w:val="center"/>
          </w:tcPr>
          <w:p>
            <w:pPr>
              <w:pStyle w:val="19"/>
            </w:pPr>
            <w:r>
              <w:t>0.28</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2023年日常公用经费</w:t>
            </w:r>
          </w:p>
        </w:tc>
        <w:tc>
          <w:tcPr>
            <w:tcW w:w="924" w:type="dxa"/>
            <w:vAlign w:val="center"/>
          </w:tcPr>
          <w:p>
            <w:pPr>
              <w:pStyle w:val="15"/>
            </w:pPr>
            <w:r>
              <w:t>4.43</w:t>
            </w:r>
          </w:p>
        </w:tc>
        <w:tc>
          <w:tcPr>
            <w:tcW w:w="924" w:type="dxa"/>
            <w:vAlign w:val="center"/>
          </w:tcPr>
          <w:p>
            <w:pPr>
              <w:pStyle w:val="16"/>
            </w:pPr>
            <w:r>
              <w:t>复印纸</w:t>
            </w:r>
          </w:p>
        </w:tc>
        <w:tc>
          <w:tcPr>
            <w:tcW w:w="924" w:type="dxa"/>
            <w:vAlign w:val="center"/>
          </w:tcPr>
          <w:p>
            <w:pPr>
              <w:pStyle w:val="16"/>
            </w:pPr>
            <w:r>
              <w:t>A05040101</w:t>
            </w:r>
          </w:p>
        </w:tc>
        <w:tc>
          <w:tcPr>
            <w:tcW w:w="924" w:type="dxa"/>
            <w:vAlign w:val="center"/>
          </w:tcPr>
          <w:p>
            <w:pPr>
              <w:pStyle w:val="17"/>
            </w:pPr>
            <w:r>
              <w:t>件</w:t>
            </w:r>
          </w:p>
        </w:tc>
        <w:tc>
          <w:tcPr>
            <w:tcW w:w="924" w:type="dxa"/>
            <w:vAlign w:val="center"/>
          </w:tcPr>
          <w:p>
            <w:pPr>
              <w:pStyle w:val="15"/>
            </w:pPr>
            <w:r>
              <w:t>15</w:t>
            </w:r>
          </w:p>
        </w:tc>
        <w:tc>
          <w:tcPr>
            <w:tcW w:w="924" w:type="dxa"/>
            <w:vAlign w:val="center"/>
          </w:tcPr>
          <w:p>
            <w:pPr>
              <w:pStyle w:val="15"/>
            </w:pPr>
            <w:r>
              <w:t>0.02</w:t>
            </w:r>
          </w:p>
        </w:tc>
        <w:tc>
          <w:tcPr>
            <w:tcW w:w="924" w:type="dxa"/>
            <w:vAlign w:val="center"/>
          </w:tcPr>
          <w:p>
            <w:pPr>
              <w:pStyle w:val="15"/>
            </w:pPr>
            <w:r>
              <w:t>0.28</w:t>
            </w:r>
          </w:p>
        </w:tc>
        <w:tc>
          <w:tcPr>
            <w:tcW w:w="924" w:type="dxa"/>
            <w:vAlign w:val="center"/>
          </w:tcPr>
          <w:p>
            <w:pPr>
              <w:pStyle w:val="15"/>
            </w:pPr>
            <w:r>
              <w:t>0.28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0.28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石家庄市藁城区档案馆本级上年末固定资产金额为57.26万元（详见下表）。本年度拟购置固定资产总额为0.00万元，已按要求列入政府采购预算，详见政府采购预算表。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241001石家庄市藁城区档案馆本级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57.26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rPr>
                <w:rFonts w:hint="eastAsia" w:eastAsia="方正书宋_GBK"/>
                <w:lang w:val="en-US" w:eastAsia="zh-CN"/>
              </w:rPr>
            </w:pPr>
            <w:r>
              <w:rPr>
                <w:rFonts w:hint="eastAsia"/>
                <w:lang w:val="en-US" w:eastAsia="zh-CN"/>
              </w:rPr>
              <w:t>0</w:t>
            </w:r>
          </w:p>
        </w:tc>
        <w:tc>
          <w:tcPr>
            <w:tcW w:w="4933" w:type="dxa"/>
            <w:vAlign w:val="center"/>
          </w:tcPr>
          <w:p>
            <w:pPr>
              <w:pStyle w:val="15"/>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rPr>
                <w:rFonts w:hint="eastAsia" w:eastAsia="方正书宋_GBK"/>
                <w:lang w:val="en-US" w:eastAsia="zh-CN"/>
              </w:rPr>
            </w:pPr>
            <w:r>
              <w:rPr>
                <w:rFonts w:hint="eastAsia"/>
                <w:lang w:val="en-US" w:eastAsia="zh-CN"/>
              </w:rPr>
              <w:t>0</w:t>
            </w:r>
          </w:p>
        </w:tc>
        <w:tc>
          <w:tcPr>
            <w:tcW w:w="4933" w:type="dxa"/>
            <w:vAlign w:val="center"/>
          </w:tcPr>
          <w:p>
            <w:pPr>
              <w:pStyle w:val="15"/>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rPr>
                <w:rFonts w:hint="eastAsia" w:eastAsia="方正书宋_GBK"/>
                <w:lang w:val="en-US" w:eastAsia="zh-CN"/>
              </w:rPr>
            </w:pPr>
            <w:r>
              <w:rPr>
                <w:rFonts w:hint="eastAsia"/>
                <w:lang w:val="en-US" w:eastAsia="zh-CN"/>
              </w:rPr>
              <w:t>0</w:t>
            </w:r>
          </w:p>
        </w:tc>
        <w:tc>
          <w:tcPr>
            <w:tcW w:w="4933" w:type="dxa"/>
            <w:vAlign w:val="center"/>
          </w:tcPr>
          <w:p>
            <w:pPr>
              <w:pStyle w:val="15"/>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rPr>
                <w:rFonts w:hint="eastAsia" w:eastAsia="方正书宋_GBK"/>
                <w:lang w:val="en-US" w:eastAsia="zh-CN"/>
              </w:rPr>
            </w:pPr>
            <w:r>
              <w:rPr>
                <w:rFonts w:hint="eastAsia"/>
                <w:lang w:val="en-US" w:eastAsia="zh-CN"/>
              </w:rPr>
              <w:t>0</w:t>
            </w:r>
          </w:p>
        </w:tc>
        <w:tc>
          <w:tcPr>
            <w:tcW w:w="4933" w:type="dxa"/>
            <w:vAlign w:val="center"/>
          </w:tcPr>
          <w:p>
            <w:pPr>
              <w:pStyle w:val="15"/>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40</w:t>
            </w:r>
          </w:p>
        </w:tc>
        <w:tc>
          <w:tcPr>
            <w:tcW w:w="4933" w:type="dxa"/>
            <w:vAlign w:val="center"/>
          </w:tcPr>
          <w:p>
            <w:pPr>
              <w:pStyle w:val="15"/>
            </w:pPr>
            <w:r>
              <w:t>57.26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11913F3A"/>
    <w:rsid w:val="18B03B2F"/>
    <w:rsid w:val="27DB1398"/>
    <w:rsid w:val="3C897F39"/>
    <w:rsid w:val="4A6145F3"/>
    <w:rsid w:val="621E5C6A"/>
    <w:rsid w:val="663A51D2"/>
    <w:rsid w:val="679133F4"/>
    <w:rsid w:val="77D350ED"/>
    <w:rsid w:val="78767D52"/>
    <w:rsid w:val="7E7E3F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2023-01-30T17:15:29Z</dcterms:created>
  <dcterms:modified xsi:type="dcterms:W3CDTF">2023-01-30T09:15:29Z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2023-01-30T17:15:28Z</dcterms:created>
  <dcterms:modified xsi:type="dcterms:W3CDTF">2023-01-30T09:15:28Z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2023-01-30T17:14:52Z</dcterms:created>
  <dcterms:modified xsi:type="dcterms:W3CDTF">2023-01-30T09:14:52Z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2023-01-30T17:14:51Z</dcterms:created>
  <dcterms:modified xsi:type="dcterms:W3CDTF">2023-01-30T09:14:51Z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2023-01-30T17:14:51Z</dcterms:created>
  <dcterms:modified xsi:type="dcterms:W3CDTF">2023-01-30T09:14:51Z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2023-01-30T17:15:30Z</dcterms:created>
  <dcterms:modified xsi:type="dcterms:W3CDTF">2023-01-30T09:15:30Z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c5e2501-cce1-4029-842c-54e4c649e79a}">
  <ds:schemaRefs/>
</ds:datastoreItem>
</file>

<file path=customXml/itemProps11.xml><?xml version="1.0" encoding="utf-8"?>
<ds:datastoreItem xmlns:ds="http://schemas.openxmlformats.org/officeDocument/2006/customXml" ds:itemID="{92fa3277-9232-4199-bc22-67d9882e0459}">
  <ds:schemaRefs/>
</ds:datastoreItem>
</file>

<file path=customXml/itemProps12.xml><?xml version="1.0" encoding="utf-8"?>
<ds:datastoreItem xmlns:ds="http://schemas.openxmlformats.org/officeDocument/2006/customXml" ds:itemID="{b9218b86-16ad-4e1d-b4b9-f64ada78c126}">
  <ds:schemaRefs/>
</ds:datastoreItem>
</file>

<file path=customXml/itemProps13.xml><?xml version="1.0" encoding="utf-8"?>
<ds:datastoreItem xmlns:ds="http://schemas.openxmlformats.org/officeDocument/2006/customXml" ds:itemID="{305a3cc7-e34b-40bd-9430-76435d04db65}">
  <ds:schemaRefs/>
</ds:datastoreItem>
</file>

<file path=customXml/itemProps14.xml><?xml version="1.0" encoding="utf-8"?>
<ds:datastoreItem xmlns:ds="http://schemas.openxmlformats.org/officeDocument/2006/customXml" ds:itemID="{07812dd6-d304-4c32-aef9-d4c74533a4b7}">
  <ds:schemaRefs/>
</ds:datastoreItem>
</file>

<file path=customXml/itemProps15.xml><?xml version="1.0" encoding="utf-8"?>
<ds:datastoreItem xmlns:ds="http://schemas.openxmlformats.org/officeDocument/2006/customXml" ds:itemID="{d805aea3-2af6-4d7e-b7a5-ee88bbdcd644}">
  <ds:schemaRefs/>
</ds:datastoreItem>
</file>

<file path=customXml/itemProps2.xml><?xml version="1.0" encoding="utf-8"?>
<ds:datastoreItem xmlns:ds="http://schemas.openxmlformats.org/officeDocument/2006/customXml" ds:itemID="{3bcf4cf2-90e2-4db9-854f-2e8818d9a209}">
  <ds:schemaRefs/>
</ds:datastoreItem>
</file>

<file path=customXml/itemProps3.xml><?xml version="1.0" encoding="utf-8"?>
<ds:datastoreItem xmlns:ds="http://schemas.openxmlformats.org/officeDocument/2006/customXml" ds:itemID="{bb3586bc-b2bd-465a-a1b1-e28cbcbad21b}">
  <ds:schemaRefs/>
</ds:datastoreItem>
</file>

<file path=customXml/itemProps4.xml><?xml version="1.0" encoding="utf-8"?>
<ds:datastoreItem xmlns:ds="http://schemas.openxmlformats.org/officeDocument/2006/customXml" ds:itemID="{2d18f968-f8d0-474d-9f5a-89872a9aabe9}">
  <ds:schemaRefs/>
</ds:datastoreItem>
</file>

<file path=customXml/itemProps5.xml><?xml version="1.0" encoding="utf-8"?>
<ds:datastoreItem xmlns:ds="http://schemas.openxmlformats.org/officeDocument/2006/customXml" ds:itemID="{1173ed7d-791e-4e52-8658-f445f664c1a9}">
  <ds:schemaRefs/>
</ds:datastoreItem>
</file>

<file path=customXml/itemProps6.xml><?xml version="1.0" encoding="utf-8"?>
<ds:datastoreItem xmlns:ds="http://schemas.openxmlformats.org/officeDocument/2006/customXml" ds:itemID="{f077ed21-4bc0-453e-bcbd-1b7017c5cb28}">
  <ds:schemaRefs/>
</ds:datastoreItem>
</file>

<file path=customXml/itemProps7.xml><?xml version="1.0" encoding="utf-8"?>
<ds:datastoreItem xmlns:ds="http://schemas.openxmlformats.org/officeDocument/2006/customXml" ds:itemID="{e183dd56-3f0b-4a8a-a25b-9ee78469d7c9}">
  <ds:schemaRefs/>
</ds:datastoreItem>
</file>

<file path=customXml/itemProps8.xml><?xml version="1.0" encoding="utf-8"?>
<ds:datastoreItem xmlns:ds="http://schemas.openxmlformats.org/officeDocument/2006/customXml" ds:itemID="{e97161d6-d6f5-43a7-9a6f-392950f964a5}">
  <ds:schemaRefs/>
</ds:datastoreItem>
</file>

<file path=customXml/itemProps9.xml><?xml version="1.0" encoding="utf-8"?>
<ds:datastoreItem xmlns:ds="http://schemas.openxmlformats.org/officeDocument/2006/customXml" ds:itemID="{73124a3f-d5f0-4d43-85c1-3432ddc790fe}">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2023-01-30T17:15:00Z</dcterms:created>
  <dc:creator>Administrator.PCOS-2020PLBYLT</dc:creator>
  <cp:lastModifiedBy>发丝明媚夏风</cp:lastModifiedBy>
  <dcterms:modified xsi:type="dcterms:W3CDTF">2024-09-18T02:28:25Z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