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6"/>
        <w:tabs>
          <w:tab w:val="right" w:leader="dot" w:pos="14800"/>
        </w:tabs>
      </w:pPr>
      <w:r>
        <w:fldChar w:fldCharType="begin"/>
      </w:r>
      <w:r>
        <w:instrText xml:space="preserve">TOC \o "2-2" \h \z \u</w:instrText>
      </w:r>
      <w:r>
        <w:fldChar w:fldCharType="separate"/>
      </w:r>
      <w:r>
        <w:fldChar w:fldCharType="begin"/>
      </w:r>
      <w:r>
        <w:instrText xml:space="preserve"> HYPERLINK \l _Toc1794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_Toc1794 \h </w:instrText>
      </w:r>
      <w:r>
        <w:fldChar w:fldCharType="separate"/>
      </w:r>
      <w:r>
        <w:t>2</w:t>
      </w:r>
      <w:r>
        <w:fldChar w:fldCharType="end"/>
      </w:r>
      <w:r>
        <w:fldChar w:fldCharType="end"/>
      </w:r>
    </w:p>
    <w:p>
      <w:pPr>
        <w:pStyle w:val="6"/>
        <w:tabs>
          <w:tab w:val="right" w:leader="dot" w:pos="14800"/>
        </w:tabs>
      </w:pPr>
      <w:r>
        <w:fldChar w:fldCharType="begin"/>
      </w:r>
      <w:r>
        <w:instrText xml:space="preserve"> HYPERLINK \l _Toc26333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_Toc26333 \h </w:instrText>
      </w:r>
      <w:r>
        <w:fldChar w:fldCharType="separate"/>
      </w:r>
      <w:r>
        <w:t>6</w:t>
      </w:r>
      <w:r>
        <w:fldChar w:fldCharType="end"/>
      </w:r>
      <w:r>
        <w:fldChar w:fldCharType="end"/>
      </w:r>
    </w:p>
    <w:p>
      <w:pPr>
        <w:pStyle w:val="6"/>
        <w:tabs>
          <w:tab w:val="right" w:leader="dot" w:pos="14800"/>
        </w:tabs>
      </w:pPr>
      <w:r>
        <w:fldChar w:fldCharType="begin"/>
      </w:r>
      <w:r>
        <w:instrText xml:space="preserve"> HYPERLINK \l _Toc20369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_Toc20369 \h </w:instrText>
      </w:r>
      <w:r>
        <w:fldChar w:fldCharType="separate"/>
      </w:r>
      <w:r>
        <w:t>7</w:t>
      </w:r>
      <w:r>
        <w:fldChar w:fldCharType="end"/>
      </w:r>
      <w:r>
        <w:fldChar w:fldCharType="end"/>
      </w:r>
    </w:p>
    <w:p>
      <w:pPr>
        <w:pStyle w:val="6"/>
        <w:tabs>
          <w:tab w:val="right" w:leader="dot" w:pos="14800"/>
        </w:tabs>
      </w:pPr>
      <w:r>
        <w:fldChar w:fldCharType="begin"/>
      </w:r>
      <w:r>
        <w:instrText xml:space="preserve"> HYPERLINK \l _Toc17302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_Toc17302 \h </w:instrText>
      </w:r>
      <w:r>
        <w:fldChar w:fldCharType="separate"/>
      </w:r>
      <w:r>
        <w:t>8</w:t>
      </w:r>
      <w:r>
        <w:fldChar w:fldCharType="end"/>
      </w:r>
      <w:r>
        <w:fldChar w:fldCharType="end"/>
      </w:r>
    </w:p>
    <w:p>
      <w:pPr>
        <w:pStyle w:val="6"/>
        <w:tabs>
          <w:tab w:val="right" w:leader="dot" w:pos="14800"/>
        </w:tabs>
      </w:pPr>
      <w:r>
        <w:fldChar w:fldCharType="begin"/>
      </w:r>
      <w:r>
        <w:instrText xml:space="preserve"> HYPERLINK \l _Toc18517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_Toc18517 \h </w:instrText>
      </w:r>
      <w:r>
        <w:fldChar w:fldCharType="separate"/>
      </w:r>
      <w:r>
        <w:t>15</w:t>
      </w:r>
      <w:r>
        <w:fldChar w:fldCharType="end"/>
      </w:r>
      <w:r>
        <w:fldChar w:fldCharType="end"/>
      </w:r>
    </w:p>
    <w:p>
      <w:pPr>
        <w:pStyle w:val="6"/>
        <w:tabs>
          <w:tab w:val="right" w:leader="dot" w:pos="14800"/>
        </w:tabs>
      </w:pPr>
      <w:r>
        <w:fldChar w:fldCharType="begin"/>
      </w:r>
      <w:r>
        <w:instrText xml:space="preserve"> HYPERLINK \l _Toc5666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_Toc5666 \h </w:instrText>
      </w:r>
      <w:r>
        <w:fldChar w:fldCharType="separate"/>
      </w:r>
      <w:r>
        <w:t>16</w:t>
      </w:r>
      <w:r>
        <w:fldChar w:fldCharType="end"/>
      </w:r>
      <w:r>
        <w:fldChar w:fldCharType="end"/>
      </w:r>
    </w:p>
    <w:p>
      <w:pPr>
        <w:pStyle w:val="6"/>
        <w:tabs>
          <w:tab w:val="right" w:leader="dot" w:pos="14800"/>
        </w:tabs>
      </w:pPr>
      <w:r>
        <w:fldChar w:fldCharType="begin"/>
      </w:r>
      <w:r>
        <w:instrText xml:space="preserve"> HYPERLINK \l _Toc23886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_Toc23886 \h </w:instrText>
      </w:r>
      <w:r>
        <w:fldChar w:fldCharType="separate"/>
      </w:r>
      <w:r>
        <w:t>18</w:t>
      </w:r>
      <w:r>
        <w:fldChar w:fldCharType="end"/>
      </w:r>
      <w:r>
        <w:fldChar w:fldCharType="end"/>
      </w:r>
    </w:p>
    <w:p>
      <w:pPr>
        <w:pStyle w:val="6"/>
        <w:tabs>
          <w:tab w:val="right" w:leader="dot" w:pos="14800"/>
        </w:tabs>
      </w:pPr>
      <w:r>
        <w:fldChar w:fldCharType="begin"/>
      </w:r>
      <w:r>
        <w:instrText xml:space="preserve"> HYPERLINK \l _Toc26623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_Toc26623 \h </w:instrText>
      </w:r>
      <w:r>
        <w:fldChar w:fldCharType="separate"/>
      </w:r>
      <w:r>
        <w:t>19</w:t>
      </w:r>
      <w:r>
        <w:fldChar w:fldCharType="end"/>
      </w:r>
      <w:r>
        <w:fldChar w:fldCharType="end"/>
      </w:r>
    </w:p>
    <w:p>
      <w:pPr>
        <w:pStyle w:val="6"/>
        <w:tabs>
          <w:tab w:val="right" w:leader="dot" w:pos="14800"/>
        </w:tabs>
      </w:pPr>
      <w:r>
        <w:fldChar w:fldCharType="begin"/>
      </w:r>
      <w:r>
        <w:instrText xml:space="preserve"> HYPERLINK \l _Toc4479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_Toc4479 \h </w:instrText>
      </w:r>
      <w:r>
        <w:fldChar w:fldCharType="separate"/>
      </w:r>
      <w:r>
        <w:t>20</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_Toc13595 </w:instrText>
      </w:r>
      <w:r>
        <w:fldChar w:fldCharType="separate"/>
      </w:r>
      <w:r>
        <w:rPr>
          <w:rFonts w:ascii="黑体" w:hAnsi="黑体" w:eastAsia="黑体" w:cs="黑体"/>
        </w:rPr>
        <w:t>一、部门职责及机构设置情况</w:t>
      </w:r>
      <w:r>
        <w:tab/>
      </w:r>
      <w:r>
        <w:fldChar w:fldCharType="begin"/>
      </w:r>
      <w:r>
        <w:instrText xml:space="preserve"> PAGEREF _Toc13595 \h </w:instrText>
      </w:r>
      <w:r>
        <w:fldChar w:fldCharType="separate"/>
      </w:r>
      <w:r>
        <w:t>21</w:t>
      </w:r>
      <w:r>
        <w:fldChar w:fldCharType="end"/>
      </w:r>
      <w:r>
        <w:fldChar w:fldCharType="end"/>
      </w:r>
    </w:p>
    <w:p>
      <w:pPr>
        <w:pStyle w:val="2"/>
        <w:tabs>
          <w:tab w:val="right" w:leader="dot" w:pos="14800"/>
        </w:tabs>
      </w:pPr>
      <w:r>
        <w:fldChar w:fldCharType="begin"/>
      </w:r>
      <w:r>
        <w:instrText xml:space="preserve"> HYPERLINK \l _Toc18857 </w:instrText>
      </w:r>
      <w:r>
        <w:fldChar w:fldCharType="separate"/>
      </w:r>
      <w:r>
        <w:rPr>
          <w:rFonts w:ascii="黑体" w:hAnsi="黑体" w:eastAsia="黑体" w:cs="黑体"/>
        </w:rPr>
        <w:t>二、部门预算安排的总体情况</w:t>
      </w:r>
      <w:r>
        <w:tab/>
      </w:r>
      <w:r>
        <w:fldChar w:fldCharType="begin"/>
      </w:r>
      <w:r>
        <w:instrText xml:space="preserve"> PAGEREF _Toc18857 \h </w:instrText>
      </w:r>
      <w:r>
        <w:fldChar w:fldCharType="separate"/>
      </w:r>
      <w:r>
        <w:t>21</w:t>
      </w:r>
      <w:r>
        <w:fldChar w:fldCharType="end"/>
      </w:r>
      <w:r>
        <w:fldChar w:fldCharType="end"/>
      </w:r>
    </w:p>
    <w:p>
      <w:pPr>
        <w:pStyle w:val="2"/>
        <w:tabs>
          <w:tab w:val="right" w:leader="dot" w:pos="14800"/>
        </w:tabs>
      </w:pPr>
      <w:r>
        <w:fldChar w:fldCharType="begin"/>
      </w:r>
      <w:r>
        <w:instrText xml:space="preserve"> HYPERLINK \l _Toc25019 </w:instrText>
      </w:r>
      <w:r>
        <w:fldChar w:fldCharType="separate"/>
      </w:r>
      <w:r>
        <w:rPr>
          <w:rFonts w:ascii="黑体" w:hAnsi="黑体" w:eastAsia="黑体" w:cs="黑体"/>
        </w:rPr>
        <w:t>三、机关运行经费安排情况</w:t>
      </w:r>
      <w:r>
        <w:tab/>
      </w:r>
      <w:r>
        <w:fldChar w:fldCharType="begin"/>
      </w:r>
      <w:r>
        <w:instrText xml:space="preserve"> PAGEREF _Toc25019 \h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_Toc6145 </w:instrText>
      </w:r>
      <w:r>
        <w:fldChar w:fldCharType="separate"/>
      </w:r>
      <w:r>
        <w:rPr>
          <w:rFonts w:ascii="黑体" w:hAnsi="黑体" w:eastAsia="黑体" w:cs="黑体"/>
        </w:rPr>
        <w:t>四、财政拨款“三公”经费预算情况及增减变化原因</w:t>
      </w:r>
      <w:r>
        <w:tab/>
      </w:r>
      <w:r>
        <w:fldChar w:fldCharType="begin"/>
      </w:r>
      <w:r>
        <w:instrText xml:space="preserve"> PAGEREF _Toc6145 \h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_Toc15022 </w:instrText>
      </w:r>
      <w:r>
        <w:fldChar w:fldCharType="separate"/>
      </w:r>
      <w:r>
        <w:rPr>
          <w:rFonts w:ascii="黑体" w:hAnsi="黑体" w:eastAsia="黑体" w:cs="黑体"/>
        </w:rPr>
        <w:t>五、预算绩效信息</w:t>
      </w:r>
      <w:r>
        <w:tab/>
      </w:r>
      <w:r>
        <w:fldChar w:fldCharType="begin"/>
      </w:r>
      <w:r>
        <w:instrText xml:space="preserve"> PAGEREF _Toc15022 \h </w:instrText>
      </w:r>
      <w:r>
        <w:fldChar w:fldCharType="separate"/>
      </w:r>
      <w:r>
        <w:t>23</w:t>
      </w:r>
      <w:r>
        <w:fldChar w:fldCharType="end"/>
      </w:r>
      <w:r>
        <w:fldChar w:fldCharType="end"/>
      </w:r>
    </w:p>
    <w:p>
      <w:pPr>
        <w:pStyle w:val="2"/>
        <w:tabs>
          <w:tab w:val="right" w:leader="dot" w:pos="14800"/>
        </w:tabs>
      </w:pPr>
      <w:r>
        <w:fldChar w:fldCharType="begin"/>
      </w:r>
      <w:r>
        <w:instrText xml:space="preserve"> HYPERLINK \l _Toc32605 </w:instrText>
      </w:r>
      <w:r>
        <w:fldChar w:fldCharType="separate"/>
      </w:r>
      <w:r>
        <w:rPr>
          <w:rFonts w:ascii="黑体" w:hAnsi="黑体" w:eastAsia="黑体" w:cs="黑体"/>
        </w:rPr>
        <w:t>六、政府采购预算情况</w:t>
      </w:r>
      <w:r>
        <w:tab/>
      </w:r>
      <w:r>
        <w:fldChar w:fldCharType="begin"/>
      </w:r>
      <w:r>
        <w:instrText xml:space="preserve"> PAGEREF _Toc32605 \h </w:instrText>
      </w:r>
      <w:r>
        <w:fldChar w:fldCharType="separate"/>
      </w:r>
      <w:r>
        <w:t>27</w:t>
      </w:r>
      <w:r>
        <w:fldChar w:fldCharType="end"/>
      </w:r>
      <w:r>
        <w:fldChar w:fldCharType="end"/>
      </w:r>
    </w:p>
    <w:p>
      <w:pPr>
        <w:pStyle w:val="2"/>
        <w:tabs>
          <w:tab w:val="right" w:leader="dot" w:pos="14800"/>
        </w:tabs>
      </w:pPr>
      <w:r>
        <w:fldChar w:fldCharType="begin"/>
      </w:r>
      <w:r>
        <w:instrText xml:space="preserve"> HYPERLINK \l _Toc29596 </w:instrText>
      </w:r>
      <w:r>
        <w:fldChar w:fldCharType="separate"/>
      </w:r>
      <w:r>
        <w:rPr>
          <w:rFonts w:ascii="黑体" w:hAnsi="黑体" w:eastAsia="黑体" w:cs="黑体"/>
        </w:rPr>
        <w:t>七、国有资产信息</w:t>
      </w:r>
      <w:r>
        <w:tab/>
      </w:r>
      <w:r>
        <w:fldChar w:fldCharType="begin"/>
      </w:r>
      <w:r>
        <w:instrText xml:space="preserve"> PAGEREF _Toc29596 \h </w:instrText>
      </w:r>
      <w:r>
        <w:fldChar w:fldCharType="separate"/>
      </w:r>
      <w:r>
        <w:t>27</w:t>
      </w:r>
      <w:r>
        <w:fldChar w:fldCharType="end"/>
      </w:r>
      <w:r>
        <w:fldChar w:fldCharType="end"/>
      </w:r>
    </w:p>
    <w:p>
      <w:pPr>
        <w:pStyle w:val="2"/>
        <w:tabs>
          <w:tab w:val="right" w:leader="dot" w:pos="14800"/>
        </w:tabs>
      </w:pPr>
      <w:r>
        <w:fldChar w:fldCharType="begin"/>
      </w:r>
      <w:r>
        <w:instrText xml:space="preserve"> HYPERLINK \l _Toc14001 </w:instrText>
      </w:r>
      <w:r>
        <w:fldChar w:fldCharType="separate"/>
      </w:r>
      <w:r>
        <w:rPr>
          <w:rFonts w:ascii="黑体" w:hAnsi="黑体" w:eastAsia="黑体" w:cs="黑体"/>
        </w:rPr>
        <w:t>八、名词解释</w:t>
      </w:r>
      <w:r>
        <w:tab/>
      </w:r>
      <w:r>
        <w:fldChar w:fldCharType="begin"/>
      </w:r>
      <w:r>
        <w:instrText xml:space="preserve"> PAGEREF _Toc14001 \h </w:instrText>
      </w:r>
      <w:r>
        <w:fldChar w:fldCharType="separate"/>
      </w:r>
      <w:r>
        <w:t>28</w:t>
      </w:r>
      <w:r>
        <w:fldChar w:fldCharType="end"/>
      </w:r>
      <w:r>
        <w:fldChar w:fldCharType="end"/>
      </w:r>
    </w:p>
    <w:p>
      <w:pPr>
        <w:pStyle w:val="2"/>
        <w:tabs>
          <w:tab w:val="right" w:leader="dot" w:pos="14800"/>
        </w:tabs>
      </w:pPr>
      <w:r>
        <w:fldChar w:fldCharType="begin"/>
      </w:r>
      <w:r>
        <w:instrText xml:space="preserve"> HYPERLINK \l _Toc6634 </w:instrText>
      </w:r>
      <w:r>
        <w:fldChar w:fldCharType="separate"/>
      </w:r>
      <w:r>
        <w:rPr>
          <w:rFonts w:ascii="黑体" w:hAnsi="黑体" w:eastAsia="黑体" w:cs="黑体"/>
        </w:rPr>
        <w:t>九、其他需要说明的事项</w:t>
      </w:r>
      <w:r>
        <w:tab/>
      </w:r>
      <w:r>
        <w:fldChar w:fldCharType="begin"/>
      </w:r>
      <w:r>
        <w:instrText xml:space="preserve"> PAGEREF _Toc6634 \h </w:instrText>
      </w:r>
      <w:r>
        <w:fldChar w:fldCharType="separate"/>
      </w:r>
      <w:r>
        <w:t>29</w:t>
      </w:r>
      <w:r>
        <w:fldChar w:fldCharType="end"/>
      </w:r>
      <w:r>
        <w:fldChar w:fldCharType="end"/>
      </w:r>
    </w:p>
    <w:p>
      <w:r>
        <w:fldChar w:fldCharType="end"/>
      </w:r>
    </w:p>
    <w:p>
      <w:pPr>
        <w:spacing w:before="0" w:after="0" w:line="240" w:lineRule="auto"/>
        <w:ind w:firstLine="0"/>
        <w:jc w:val="both"/>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bookmarkStart w:id="0" w:name="_Toc1794"/>
      <w:r>
        <w:rPr>
          <w:rFonts w:ascii="方正小标宋_GBK" w:hAnsi="方正小标宋_GBK" w:eastAsia="方正小标宋_GBK" w:cs="方正小标宋_GBK"/>
          <w:color w:val="000000"/>
          <w:sz w:val="36"/>
        </w:rPr>
        <w:t>部门预算收支总表</w:t>
      </w:r>
      <w:bookmarkEnd w:id="0"/>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2"/>
            </w:pPr>
            <w:r>
              <w:t>223中共石家庄市藁城区委巡察工作领导小组办公室</w:t>
            </w:r>
          </w:p>
        </w:tc>
        <w:tc>
          <w:tcPr>
            <w:tcW w:w="1971" w:type="dxa"/>
            <w:tcBorders>
              <w:top w:val="single" w:color="FFFFFF" w:sz="6" w:space="0"/>
              <w:left w:val="single" w:color="FFFFFF" w:sz="6" w:space="0"/>
              <w:right w:val="single" w:color="FFFFFF" w:sz="6" w:space="0"/>
            </w:tcBorders>
            <w:vAlign w:val="center"/>
          </w:tcPr>
          <w:p>
            <w:pPr>
              <w:pStyle w:val="11"/>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3"/>
            </w:pPr>
            <w:r>
              <w:t>序号</w:t>
            </w:r>
          </w:p>
        </w:tc>
        <w:tc>
          <w:tcPr>
            <w:tcW w:w="3942" w:type="dxa"/>
            <w:gridSpan w:val="2"/>
            <w:vAlign w:val="center"/>
          </w:tcPr>
          <w:p>
            <w:pPr>
              <w:pStyle w:val="13"/>
            </w:pPr>
            <w:r>
              <w:t>收入</w:t>
            </w:r>
          </w:p>
        </w:tc>
        <w:tc>
          <w:tcPr>
            <w:tcW w:w="3942"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3"/>
            </w:pPr>
            <w:r>
              <w:t>项  目</w:t>
            </w:r>
          </w:p>
        </w:tc>
        <w:tc>
          <w:tcPr>
            <w:tcW w:w="1971" w:type="dxa"/>
            <w:vAlign w:val="center"/>
          </w:tcPr>
          <w:p>
            <w:pPr>
              <w:pStyle w:val="13"/>
            </w:pPr>
            <w:r>
              <w:t>预算数</w:t>
            </w:r>
          </w:p>
        </w:tc>
        <w:tc>
          <w:tcPr>
            <w:tcW w:w="1971" w:type="dxa"/>
            <w:vAlign w:val="center"/>
          </w:tcPr>
          <w:p>
            <w:pPr>
              <w:pStyle w:val="13"/>
            </w:pPr>
            <w:r>
              <w:t>项  目</w:t>
            </w:r>
          </w:p>
        </w:tc>
        <w:tc>
          <w:tcPr>
            <w:tcW w:w="1971"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3"/>
            </w:pPr>
            <w:r>
              <w:t>栏次</w:t>
            </w:r>
          </w:p>
        </w:tc>
        <w:tc>
          <w:tcPr>
            <w:tcW w:w="1971" w:type="dxa"/>
            <w:vAlign w:val="center"/>
          </w:tcPr>
          <w:p>
            <w:pPr>
              <w:pStyle w:val="13"/>
            </w:pPr>
            <w:r>
              <w:t>1</w:t>
            </w:r>
          </w:p>
        </w:tc>
        <w:tc>
          <w:tcPr>
            <w:tcW w:w="1971" w:type="dxa"/>
            <w:vAlign w:val="center"/>
          </w:tcPr>
          <w:p>
            <w:pPr>
              <w:pStyle w:val="13"/>
            </w:pPr>
            <w:r>
              <w:t>2</w:t>
            </w:r>
          </w:p>
        </w:tc>
        <w:tc>
          <w:tcPr>
            <w:tcW w:w="1971" w:type="dxa"/>
            <w:vAlign w:val="center"/>
          </w:tcPr>
          <w:p>
            <w:pPr>
              <w:pStyle w:val="13"/>
            </w:pPr>
            <w:r>
              <w:t>3</w:t>
            </w:r>
          </w:p>
        </w:tc>
        <w:tc>
          <w:tcPr>
            <w:tcW w:w="1971"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w:t>
            </w:r>
          </w:p>
        </w:tc>
        <w:tc>
          <w:tcPr>
            <w:tcW w:w="1971" w:type="dxa"/>
            <w:vAlign w:val="center"/>
          </w:tcPr>
          <w:p>
            <w:pPr>
              <w:pStyle w:val="15"/>
            </w:pPr>
            <w:r>
              <w:t>一、一般公共预算拨款收入</w:t>
            </w:r>
          </w:p>
        </w:tc>
        <w:tc>
          <w:tcPr>
            <w:tcW w:w="1971" w:type="dxa"/>
            <w:vAlign w:val="center"/>
          </w:tcPr>
          <w:p>
            <w:pPr>
              <w:pStyle w:val="14"/>
            </w:pPr>
            <w:r>
              <w:t>461.98</w:t>
            </w:r>
          </w:p>
        </w:tc>
        <w:tc>
          <w:tcPr>
            <w:tcW w:w="1971" w:type="dxa"/>
            <w:vAlign w:val="center"/>
          </w:tcPr>
          <w:p>
            <w:pPr>
              <w:pStyle w:val="15"/>
            </w:pPr>
            <w:r>
              <w:t>一、一般公共服务支出</w:t>
            </w:r>
          </w:p>
        </w:tc>
        <w:tc>
          <w:tcPr>
            <w:tcW w:w="1971" w:type="dxa"/>
            <w:vAlign w:val="center"/>
          </w:tcPr>
          <w:p>
            <w:pPr>
              <w:pStyle w:val="14"/>
            </w:pPr>
            <w:r>
              <w:t>461.98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w:t>
            </w:r>
          </w:p>
        </w:tc>
        <w:tc>
          <w:tcPr>
            <w:tcW w:w="1971" w:type="dxa"/>
            <w:vAlign w:val="center"/>
          </w:tcPr>
          <w:p>
            <w:pPr>
              <w:pStyle w:val="15"/>
            </w:pPr>
            <w:r>
              <w:t>二、政府性基金预算拨款收入</w:t>
            </w:r>
          </w:p>
        </w:tc>
        <w:tc>
          <w:tcPr>
            <w:tcW w:w="1971" w:type="dxa"/>
            <w:vAlign w:val="center"/>
          </w:tcPr>
          <w:p>
            <w:pPr>
              <w:pStyle w:val="14"/>
            </w:pPr>
          </w:p>
        </w:tc>
        <w:tc>
          <w:tcPr>
            <w:tcW w:w="1971" w:type="dxa"/>
            <w:vAlign w:val="center"/>
          </w:tcPr>
          <w:p>
            <w:pPr>
              <w:pStyle w:val="15"/>
            </w:pPr>
            <w:r>
              <w:t>二、外交支出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3</w:t>
            </w:r>
          </w:p>
        </w:tc>
        <w:tc>
          <w:tcPr>
            <w:tcW w:w="1971" w:type="dxa"/>
            <w:vAlign w:val="center"/>
          </w:tcPr>
          <w:p>
            <w:pPr>
              <w:pStyle w:val="15"/>
            </w:pPr>
            <w:r>
              <w:t>三、国有资本经营预算拨款收入</w:t>
            </w:r>
          </w:p>
        </w:tc>
        <w:tc>
          <w:tcPr>
            <w:tcW w:w="1971" w:type="dxa"/>
            <w:vAlign w:val="center"/>
          </w:tcPr>
          <w:p>
            <w:pPr>
              <w:pStyle w:val="14"/>
            </w:pPr>
          </w:p>
        </w:tc>
        <w:tc>
          <w:tcPr>
            <w:tcW w:w="1971" w:type="dxa"/>
            <w:vAlign w:val="center"/>
          </w:tcPr>
          <w:p>
            <w:pPr>
              <w:pStyle w:val="15"/>
            </w:pPr>
            <w:r>
              <w:t>三、国防支出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4</w:t>
            </w:r>
          </w:p>
        </w:tc>
        <w:tc>
          <w:tcPr>
            <w:tcW w:w="1971" w:type="dxa"/>
            <w:vAlign w:val="center"/>
          </w:tcPr>
          <w:p>
            <w:pPr>
              <w:pStyle w:val="15"/>
            </w:pPr>
            <w:r>
              <w:t>四、财政专户管理资金收入</w:t>
            </w:r>
          </w:p>
        </w:tc>
        <w:tc>
          <w:tcPr>
            <w:tcW w:w="1971" w:type="dxa"/>
            <w:vAlign w:val="center"/>
          </w:tcPr>
          <w:p>
            <w:pPr>
              <w:pStyle w:val="14"/>
            </w:pPr>
          </w:p>
        </w:tc>
        <w:tc>
          <w:tcPr>
            <w:tcW w:w="1971" w:type="dxa"/>
            <w:vAlign w:val="center"/>
          </w:tcPr>
          <w:p>
            <w:pPr>
              <w:pStyle w:val="15"/>
            </w:pPr>
            <w:r>
              <w:t>四、公共安全支出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5</w:t>
            </w:r>
          </w:p>
        </w:tc>
        <w:tc>
          <w:tcPr>
            <w:tcW w:w="1971" w:type="dxa"/>
            <w:vAlign w:val="center"/>
          </w:tcPr>
          <w:p>
            <w:pPr>
              <w:pStyle w:val="15"/>
            </w:pPr>
            <w:r>
              <w:t>五、事业收入</w:t>
            </w:r>
          </w:p>
        </w:tc>
        <w:tc>
          <w:tcPr>
            <w:tcW w:w="1971" w:type="dxa"/>
            <w:vAlign w:val="center"/>
          </w:tcPr>
          <w:p>
            <w:pPr>
              <w:pStyle w:val="14"/>
            </w:pPr>
          </w:p>
        </w:tc>
        <w:tc>
          <w:tcPr>
            <w:tcW w:w="1971" w:type="dxa"/>
            <w:vAlign w:val="center"/>
          </w:tcPr>
          <w:p>
            <w:pPr>
              <w:pStyle w:val="15"/>
            </w:pPr>
            <w:r>
              <w:t>五、教育支出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6</w:t>
            </w:r>
          </w:p>
        </w:tc>
        <w:tc>
          <w:tcPr>
            <w:tcW w:w="1971" w:type="dxa"/>
            <w:vAlign w:val="center"/>
          </w:tcPr>
          <w:p>
            <w:pPr>
              <w:pStyle w:val="15"/>
            </w:pPr>
            <w:r>
              <w:t>六、事业单位经营收入</w:t>
            </w:r>
          </w:p>
        </w:tc>
        <w:tc>
          <w:tcPr>
            <w:tcW w:w="1971" w:type="dxa"/>
            <w:vAlign w:val="center"/>
          </w:tcPr>
          <w:p>
            <w:pPr>
              <w:pStyle w:val="14"/>
            </w:pPr>
          </w:p>
        </w:tc>
        <w:tc>
          <w:tcPr>
            <w:tcW w:w="1971" w:type="dxa"/>
            <w:vAlign w:val="center"/>
          </w:tcPr>
          <w:p>
            <w:pPr>
              <w:pStyle w:val="15"/>
            </w:pPr>
            <w:r>
              <w:t>六、科学技术支出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7</w:t>
            </w:r>
          </w:p>
        </w:tc>
        <w:tc>
          <w:tcPr>
            <w:tcW w:w="1971" w:type="dxa"/>
            <w:vAlign w:val="center"/>
          </w:tcPr>
          <w:p>
            <w:pPr>
              <w:pStyle w:val="15"/>
            </w:pPr>
            <w:r>
              <w:t>七、上级补助收入</w:t>
            </w:r>
          </w:p>
        </w:tc>
        <w:tc>
          <w:tcPr>
            <w:tcW w:w="1971" w:type="dxa"/>
            <w:vAlign w:val="center"/>
          </w:tcPr>
          <w:p>
            <w:pPr>
              <w:pStyle w:val="14"/>
            </w:pPr>
          </w:p>
        </w:tc>
        <w:tc>
          <w:tcPr>
            <w:tcW w:w="1971" w:type="dxa"/>
            <w:vAlign w:val="center"/>
          </w:tcPr>
          <w:p>
            <w:pPr>
              <w:pStyle w:val="15"/>
            </w:pPr>
            <w:r>
              <w:t>七、文化旅游体育与传媒支出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8</w:t>
            </w:r>
          </w:p>
        </w:tc>
        <w:tc>
          <w:tcPr>
            <w:tcW w:w="1971" w:type="dxa"/>
            <w:vAlign w:val="center"/>
          </w:tcPr>
          <w:p>
            <w:pPr>
              <w:pStyle w:val="15"/>
            </w:pPr>
            <w:r>
              <w:t>八、附属单位上缴收入</w:t>
            </w:r>
          </w:p>
        </w:tc>
        <w:tc>
          <w:tcPr>
            <w:tcW w:w="1971" w:type="dxa"/>
            <w:vAlign w:val="center"/>
          </w:tcPr>
          <w:p>
            <w:pPr>
              <w:pStyle w:val="14"/>
            </w:pPr>
          </w:p>
        </w:tc>
        <w:tc>
          <w:tcPr>
            <w:tcW w:w="1971" w:type="dxa"/>
            <w:vAlign w:val="center"/>
          </w:tcPr>
          <w:p>
            <w:pPr>
              <w:pStyle w:val="15"/>
            </w:pPr>
            <w:r>
              <w:t>八、社会保障和就业支出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9</w:t>
            </w:r>
          </w:p>
        </w:tc>
        <w:tc>
          <w:tcPr>
            <w:tcW w:w="1971" w:type="dxa"/>
            <w:vAlign w:val="center"/>
          </w:tcPr>
          <w:p>
            <w:pPr>
              <w:pStyle w:val="15"/>
            </w:pPr>
            <w:r>
              <w:t>九、其他收入</w:t>
            </w:r>
          </w:p>
        </w:tc>
        <w:tc>
          <w:tcPr>
            <w:tcW w:w="1971" w:type="dxa"/>
            <w:vAlign w:val="center"/>
          </w:tcPr>
          <w:p>
            <w:pPr>
              <w:pStyle w:val="14"/>
            </w:pPr>
          </w:p>
        </w:tc>
        <w:tc>
          <w:tcPr>
            <w:tcW w:w="1971" w:type="dxa"/>
            <w:vAlign w:val="center"/>
          </w:tcPr>
          <w:p>
            <w:pPr>
              <w:pStyle w:val="15"/>
            </w:pPr>
            <w:r>
              <w:t>九、社会保险基金支出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十、卫生健康支出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十一、节能环保支出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12</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十二、城乡社区支出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13</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十三、农林水支出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14</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十四、交通运输支出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15</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十五、资源勘探工业信息等支出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16</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十六、商业服务业等支出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17</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十七、金融支出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18</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十八、援助其他地区支出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19</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十九、自然资源海洋气象等支出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二十、住房保障支出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二十一、粮油物资储备支出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22</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二十二、国有资本经营预算支出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23</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二十三、灾害防治及应急管理支出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24</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二十四、预备费</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25</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二十五、其他支出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26</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二十六、转移性支出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27</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二十七、债务还本支出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28</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二十八、债务付息支出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29</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二十九、债务发行费用支出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30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三十、抗疫特别国债安排的支出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31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三十一、人行科目</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32</w:t>
            </w:r>
          </w:p>
        </w:tc>
        <w:tc>
          <w:tcPr>
            <w:tcW w:w="1971" w:type="dxa"/>
            <w:vAlign w:val="center"/>
          </w:tcPr>
          <w:p>
            <w:pPr>
              <w:pStyle w:val="17"/>
            </w:pPr>
            <w:r>
              <w:t>本年收入合计</w:t>
            </w:r>
          </w:p>
        </w:tc>
        <w:tc>
          <w:tcPr>
            <w:tcW w:w="1971" w:type="dxa"/>
            <w:vAlign w:val="center"/>
          </w:tcPr>
          <w:p>
            <w:pPr>
              <w:pStyle w:val="18"/>
            </w:pPr>
            <w:r>
              <w:t>461.98</w:t>
            </w:r>
          </w:p>
        </w:tc>
        <w:tc>
          <w:tcPr>
            <w:tcW w:w="1971" w:type="dxa"/>
            <w:vAlign w:val="center"/>
          </w:tcPr>
          <w:p>
            <w:pPr>
              <w:pStyle w:val="17"/>
            </w:pPr>
            <w:r>
              <w:t>本年支出合计</w:t>
            </w:r>
          </w:p>
        </w:tc>
        <w:tc>
          <w:tcPr>
            <w:tcW w:w="1971" w:type="dxa"/>
            <w:vAlign w:val="center"/>
          </w:tcPr>
          <w:p>
            <w:pPr>
              <w:pStyle w:val="18"/>
            </w:pPr>
            <w:r>
              <w:t>461.98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33</w:t>
            </w:r>
          </w:p>
        </w:tc>
        <w:tc>
          <w:tcPr>
            <w:tcW w:w="1971" w:type="dxa"/>
            <w:vAlign w:val="center"/>
          </w:tcPr>
          <w:p>
            <w:pPr>
              <w:pStyle w:val="15"/>
            </w:pPr>
            <w:r>
              <w:t>上年结转结余</w:t>
            </w:r>
          </w:p>
        </w:tc>
        <w:tc>
          <w:tcPr>
            <w:tcW w:w="1971" w:type="dxa"/>
            <w:vAlign w:val="center"/>
          </w:tcPr>
          <w:p>
            <w:pPr>
              <w:pStyle w:val="14"/>
            </w:pPr>
          </w:p>
        </w:tc>
        <w:tc>
          <w:tcPr>
            <w:tcW w:w="1971" w:type="dxa"/>
            <w:vAlign w:val="center"/>
          </w:tcPr>
          <w:p>
            <w:pPr>
              <w:pStyle w:val="15"/>
            </w:pPr>
            <w:r>
              <w:t>年终结转结余</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34</w:t>
            </w:r>
          </w:p>
        </w:tc>
        <w:tc>
          <w:tcPr>
            <w:tcW w:w="1971" w:type="dxa"/>
            <w:vAlign w:val="center"/>
          </w:tcPr>
          <w:p>
            <w:pPr>
              <w:pStyle w:val="17"/>
            </w:pPr>
            <w:r>
              <w:t>收入总计</w:t>
            </w:r>
          </w:p>
        </w:tc>
        <w:tc>
          <w:tcPr>
            <w:tcW w:w="1971" w:type="dxa"/>
            <w:vAlign w:val="center"/>
          </w:tcPr>
          <w:p>
            <w:pPr>
              <w:pStyle w:val="18"/>
            </w:pPr>
            <w:r>
              <w:t>461.98</w:t>
            </w:r>
          </w:p>
        </w:tc>
        <w:tc>
          <w:tcPr>
            <w:tcW w:w="1971" w:type="dxa"/>
            <w:vAlign w:val="center"/>
          </w:tcPr>
          <w:p>
            <w:pPr>
              <w:pStyle w:val="17"/>
            </w:pPr>
            <w:r>
              <w:t>支出总计</w:t>
            </w:r>
          </w:p>
        </w:tc>
        <w:tc>
          <w:tcPr>
            <w:tcW w:w="1971" w:type="dxa"/>
            <w:vAlign w:val="center"/>
          </w:tcPr>
          <w:p>
            <w:pPr>
              <w:pStyle w:val="18"/>
            </w:pPr>
            <w:r>
              <w:t>461.98</w:t>
            </w:r>
          </w:p>
        </w:tc>
      </w:tr>
    </w:tbl>
    <w:p>
      <w:pPr>
        <w:sectPr>
          <w:footerReference r:id="rId3" w:type="default"/>
          <w:pgSz w:w="16840" w:h="11900" w:orient="landscape"/>
          <w:pgMar w:top="1361" w:right="1020" w:bottom="1134" w:left="1020" w:header="720" w:footer="720" w:gutter="0"/>
        </w:sectPr>
      </w:pPr>
    </w:p>
    <w:p>
      <w:pPr>
        <w:spacing w:before="0" w:after="0" w:line="240" w:lineRule="auto"/>
        <w:ind w:firstLine="0"/>
        <w:jc w:val="center"/>
        <w:outlineLvl w:val="1"/>
      </w:pPr>
      <w:bookmarkStart w:id="1" w:name="_Toc26333"/>
      <w:r>
        <w:rPr>
          <w:rFonts w:ascii="方正小标宋_GBK" w:hAnsi="方正小标宋_GBK" w:eastAsia="方正小标宋_GBK" w:cs="方正小标宋_GBK"/>
          <w:color w:val="000000"/>
          <w:sz w:val="36"/>
        </w:rPr>
        <w:t>部门预算收入总表</w:t>
      </w:r>
      <w:bookmarkEnd w:id="1"/>
    </w:p>
    <w:tbl>
      <w:tblPr>
        <w:tblStyle w:val="7"/>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223中共石家庄市藁城区委巡察工作领导小组办公室</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461.98</w:t>
            </w:r>
          </w:p>
        </w:tc>
        <w:tc>
          <w:tcPr>
            <w:tcW w:w="758" w:type="dxa"/>
            <w:vAlign w:val="center"/>
          </w:tcPr>
          <w:p>
            <w:pPr>
              <w:pStyle w:val="18"/>
            </w:pPr>
            <w:r>
              <w:t>461.98</w:t>
            </w:r>
          </w:p>
        </w:tc>
        <w:tc>
          <w:tcPr>
            <w:tcW w:w="758" w:type="dxa"/>
            <w:vAlign w:val="center"/>
          </w:tcPr>
          <w:p>
            <w:pPr>
              <w:pStyle w:val="18"/>
            </w:pPr>
            <w:r>
              <w:t>461.98</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201</w:t>
            </w:r>
          </w:p>
        </w:tc>
        <w:tc>
          <w:tcPr>
            <w:tcW w:w="758" w:type="dxa"/>
            <w:vAlign w:val="center"/>
          </w:tcPr>
          <w:p>
            <w:pPr>
              <w:pStyle w:val="15"/>
            </w:pPr>
            <w:r>
              <w:t>一般公共服务支出</w:t>
            </w:r>
          </w:p>
        </w:tc>
        <w:tc>
          <w:tcPr>
            <w:tcW w:w="758" w:type="dxa"/>
            <w:vAlign w:val="center"/>
          </w:tcPr>
          <w:p>
            <w:pPr>
              <w:pStyle w:val="14"/>
            </w:pPr>
            <w:r>
              <w:t>461.98</w:t>
            </w:r>
          </w:p>
        </w:tc>
        <w:tc>
          <w:tcPr>
            <w:tcW w:w="758" w:type="dxa"/>
            <w:vAlign w:val="center"/>
          </w:tcPr>
          <w:p>
            <w:pPr>
              <w:pStyle w:val="14"/>
            </w:pPr>
            <w:r>
              <w:t>461.98</w:t>
            </w:r>
          </w:p>
        </w:tc>
        <w:tc>
          <w:tcPr>
            <w:tcW w:w="758" w:type="dxa"/>
            <w:vAlign w:val="center"/>
          </w:tcPr>
          <w:p>
            <w:pPr>
              <w:pStyle w:val="14"/>
            </w:pPr>
            <w:r>
              <w:t>461.98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20111</w:t>
            </w:r>
          </w:p>
        </w:tc>
        <w:tc>
          <w:tcPr>
            <w:tcW w:w="758" w:type="dxa"/>
            <w:vAlign w:val="center"/>
          </w:tcPr>
          <w:p>
            <w:pPr>
              <w:pStyle w:val="15"/>
            </w:pPr>
            <w:r>
              <w:t>纪检监察事务</w:t>
            </w:r>
          </w:p>
        </w:tc>
        <w:tc>
          <w:tcPr>
            <w:tcW w:w="758" w:type="dxa"/>
            <w:vAlign w:val="center"/>
          </w:tcPr>
          <w:p>
            <w:pPr>
              <w:pStyle w:val="14"/>
            </w:pPr>
            <w:r>
              <w:t>461.98</w:t>
            </w:r>
          </w:p>
        </w:tc>
        <w:tc>
          <w:tcPr>
            <w:tcW w:w="758" w:type="dxa"/>
            <w:vAlign w:val="center"/>
          </w:tcPr>
          <w:p>
            <w:pPr>
              <w:pStyle w:val="14"/>
            </w:pPr>
            <w:r>
              <w:t>461.98</w:t>
            </w:r>
          </w:p>
        </w:tc>
        <w:tc>
          <w:tcPr>
            <w:tcW w:w="758" w:type="dxa"/>
            <w:vAlign w:val="center"/>
          </w:tcPr>
          <w:p>
            <w:pPr>
              <w:pStyle w:val="14"/>
            </w:pPr>
            <w:r>
              <w:t>461.98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2011101</w:t>
            </w:r>
          </w:p>
        </w:tc>
        <w:tc>
          <w:tcPr>
            <w:tcW w:w="758" w:type="dxa"/>
            <w:vAlign w:val="center"/>
          </w:tcPr>
          <w:p>
            <w:pPr>
              <w:pStyle w:val="15"/>
            </w:pPr>
            <w:r>
              <w:t>行政运行</w:t>
            </w:r>
          </w:p>
        </w:tc>
        <w:tc>
          <w:tcPr>
            <w:tcW w:w="758" w:type="dxa"/>
            <w:vAlign w:val="center"/>
          </w:tcPr>
          <w:p>
            <w:pPr>
              <w:pStyle w:val="14"/>
            </w:pPr>
            <w:r>
              <w:t>347.98</w:t>
            </w:r>
          </w:p>
        </w:tc>
        <w:tc>
          <w:tcPr>
            <w:tcW w:w="758" w:type="dxa"/>
            <w:vAlign w:val="center"/>
          </w:tcPr>
          <w:p>
            <w:pPr>
              <w:pStyle w:val="14"/>
            </w:pPr>
            <w:r>
              <w:t>347.98</w:t>
            </w:r>
          </w:p>
        </w:tc>
        <w:tc>
          <w:tcPr>
            <w:tcW w:w="758" w:type="dxa"/>
            <w:vAlign w:val="center"/>
          </w:tcPr>
          <w:p>
            <w:pPr>
              <w:pStyle w:val="14"/>
            </w:pPr>
            <w:r>
              <w:t>347.98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5</w:t>
            </w:r>
          </w:p>
        </w:tc>
        <w:tc>
          <w:tcPr>
            <w:tcW w:w="758" w:type="dxa"/>
            <w:vAlign w:val="center"/>
          </w:tcPr>
          <w:p>
            <w:pPr>
              <w:pStyle w:val="15"/>
            </w:pPr>
            <w:r>
              <w:t>2011106</w:t>
            </w:r>
          </w:p>
        </w:tc>
        <w:tc>
          <w:tcPr>
            <w:tcW w:w="758" w:type="dxa"/>
            <w:vAlign w:val="center"/>
          </w:tcPr>
          <w:p>
            <w:pPr>
              <w:pStyle w:val="15"/>
            </w:pPr>
            <w:r>
              <w:t>巡视工作</w:t>
            </w:r>
          </w:p>
        </w:tc>
        <w:tc>
          <w:tcPr>
            <w:tcW w:w="758" w:type="dxa"/>
            <w:vAlign w:val="center"/>
          </w:tcPr>
          <w:p>
            <w:pPr>
              <w:pStyle w:val="14"/>
            </w:pPr>
            <w:r>
              <w:t>114.00</w:t>
            </w:r>
          </w:p>
        </w:tc>
        <w:tc>
          <w:tcPr>
            <w:tcW w:w="758" w:type="dxa"/>
            <w:vAlign w:val="center"/>
          </w:tcPr>
          <w:p>
            <w:pPr>
              <w:pStyle w:val="14"/>
            </w:pPr>
            <w:r>
              <w:t>114.00</w:t>
            </w:r>
          </w:p>
        </w:tc>
        <w:tc>
          <w:tcPr>
            <w:tcW w:w="758" w:type="dxa"/>
            <w:vAlign w:val="center"/>
          </w:tcPr>
          <w:p>
            <w:pPr>
              <w:pStyle w:val="14"/>
            </w:pPr>
            <w:r>
              <w:t>114.00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20369"/>
      <w:r>
        <w:rPr>
          <w:rFonts w:ascii="方正小标宋_GBK" w:hAnsi="方正小标宋_GBK" w:eastAsia="方正小标宋_GBK" w:cs="方正小标宋_GBK"/>
          <w:color w:val="000000"/>
          <w:sz w:val="36"/>
        </w:rPr>
        <w:t>部门预算支出总表</w:t>
      </w:r>
      <w:bookmarkEnd w:id="2"/>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223中共石家庄市藁城区委巡察工作领导小组办公室</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461.98</w:t>
            </w:r>
          </w:p>
        </w:tc>
        <w:tc>
          <w:tcPr>
            <w:tcW w:w="1095" w:type="dxa"/>
            <w:vAlign w:val="center"/>
          </w:tcPr>
          <w:p>
            <w:pPr>
              <w:pStyle w:val="18"/>
            </w:pPr>
            <w:r>
              <w:t>347.98</w:t>
            </w:r>
          </w:p>
        </w:tc>
        <w:tc>
          <w:tcPr>
            <w:tcW w:w="1095" w:type="dxa"/>
            <w:vAlign w:val="center"/>
          </w:tcPr>
          <w:p>
            <w:pPr>
              <w:pStyle w:val="18"/>
            </w:pPr>
            <w:r>
              <w:t>114.00</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201</w:t>
            </w:r>
          </w:p>
        </w:tc>
        <w:tc>
          <w:tcPr>
            <w:tcW w:w="1095" w:type="dxa"/>
            <w:vAlign w:val="center"/>
          </w:tcPr>
          <w:p>
            <w:pPr>
              <w:pStyle w:val="15"/>
            </w:pPr>
            <w:r>
              <w:t>一般公共服务支出</w:t>
            </w:r>
          </w:p>
        </w:tc>
        <w:tc>
          <w:tcPr>
            <w:tcW w:w="1095" w:type="dxa"/>
            <w:vAlign w:val="center"/>
          </w:tcPr>
          <w:p>
            <w:pPr>
              <w:pStyle w:val="14"/>
            </w:pPr>
            <w:r>
              <w:t>461.98</w:t>
            </w:r>
          </w:p>
        </w:tc>
        <w:tc>
          <w:tcPr>
            <w:tcW w:w="1095" w:type="dxa"/>
            <w:vAlign w:val="center"/>
          </w:tcPr>
          <w:p>
            <w:pPr>
              <w:pStyle w:val="14"/>
            </w:pPr>
            <w:r>
              <w:t>347.98</w:t>
            </w:r>
          </w:p>
        </w:tc>
        <w:tc>
          <w:tcPr>
            <w:tcW w:w="1095" w:type="dxa"/>
            <w:vAlign w:val="center"/>
          </w:tcPr>
          <w:p>
            <w:pPr>
              <w:pStyle w:val="14"/>
            </w:pPr>
            <w:r>
              <w:t>114.00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20111</w:t>
            </w:r>
          </w:p>
        </w:tc>
        <w:tc>
          <w:tcPr>
            <w:tcW w:w="1095" w:type="dxa"/>
            <w:vAlign w:val="center"/>
          </w:tcPr>
          <w:p>
            <w:pPr>
              <w:pStyle w:val="15"/>
            </w:pPr>
            <w:r>
              <w:t>纪检监察事务</w:t>
            </w:r>
          </w:p>
        </w:tc>
        <w:tc>
          <w:tcPr>
            <w:tcW w:w="1095" w:type="dxa"/>
            <w:vAlign w:val="center"/>
          </w:tcPr>
          <w:p>
            <w:pPr>
              <w:pStyle w:val="14"/>
            </w:pPr>
            <w:r>
              <w:t>461.98</w:t>
            </w:r>
          </w:p>
        </w:tc>
        <w:tc>
          <w:tcPr>
            <w:tcW w:w="1095" w:type="dxa"/>
            <w:vAlign w:val="center"/>
          </w:tcPr>
          <w:p>
            <w:pPr>
              <w:pStyle w:val="14"/>
            </w:pPr>
            <w:r>
              <w:t>347.98</w:t>
            </w:r>
          </w:p>
        </w:tc>
        <w:tc>
          <w:tcPr>
            <w:tcW w:w="1095" w:type="dxa"/>
            <w:vAlign w:val="center"/>
          </w:tcPr>
          <w:p>
            <w:pPr>
              <w:pStyle w:val="14"/>
            </w:pPr>
            <w:r>
              <w:t>114.00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2011101</w:t>
            </w:r>
          </w:p>
        </w:tc>
        <w:tc>
          <w:tcPr>
            <w:tcW w:w="1095" w:type="dxa"/>
            <w:vAlign w:val="center"/>
          </w:tcPr>
          <w:p>
            <w:pPr>
              <w:pStyle w:val="15"/>
            </w:pPr>
            <w:r>
              <w:t>行政运行</w:t>
            </w:r>
          </w:p>
        </w:tc>
        <w:tc>
          <w:tcPr>
            <w:tcW w:w="1095" w:type="dxa"/>
            <w:vAlign w:val="center"/>
          </w:tcPr>
          <w:p>
            <w:pPr>
              <w:pStyle w:val="14"/>
            </w:pPr>
            <w:r>
              <w:t>347.98</w:t>
            </w:r>
          </w:p>
        </w:tc>
        <w:tc>
          <w:tcPr>
            <w:tcW w:w="1095" w:type="dxa"/>
            <w:vAlign w:val="center"/>
          </w:tcPr>
          <w:p>
            <w:pPr>
              <w:pStyle w:val="14"/>
            </w:pPr>
            <w:r>
              <w:t>347.98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5</w:t>
            </w:r>
          </w:p>
        </w:tc>
        <w:tc>
          <w:tcPr>
            <w:tcW w:w="1095" w:type="dxa"/>
            <w:vAlign w:val="center"/>
          </w:tcPr>
          <w:p>
            <w:pPr>
              <w:pStyle w:val="15"/>
            </w:pPr>
            <w:r>
              <w:t>2011106</w:t>
            </w:r>
          </w:p>
        </w:tc>
        <w:tc>
          <w:tcPr>
            <w:tcW w:w="1095" w:type="dxa"/>
            <w:vAlign w:val="center"/>
          </w:tcPr>
          <w:p>
            <w:pPr>
              <w:pStyle w:val="15"/>
            </w:pPr>
            <w:r>
              <w:t>巡视工作</w:t>
            </w:r>
          </w:p>
        </w:tc>
        <w:tc>
          <w:tcPr>
            <w:tcW w:w="1095" w:type="dxa"/>
            <w:vAlign w:val="center"/>
          </w:tcPr>
          <w:p>
            <w:pPr>
              <w:pStyle w:val="14"/>
            </w:pPr>
            <w:r>
              <w:t>114.00</w:t>
            </w:r>
          </w:p>
        </w:tc>
        <w:tc>
          <w:tcPr>
            <w:tcW w:w="1095" w:type="dxa"/>
            <w:vAlign w:val="center"/>
          </w:tcPr>
          <w:p>
            <w:pPr>
              <w:pStyle w:val="14"/>
            </w:pPr>
          </w:p>
        </w:tc>
        <w:tc>
          <w:tcPr>
            <w:tcW w:w="1095" w:type="dxa"/>
            <w:vAlign w:val="center"/>
          </w:tcPr>
          <w:p>
            <w:pPr>
              <w:pStyle w:val="14"/>
            </w:pPr>
            <w:r>
              <w:t>114.00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17302"/>
      <w:r>
        <w:rPr>
          <w:rFonts w:ascii="方正小标宋_GBK" w:hAnsi="方正小标宋_GBK" w:eastAsia="方正小标宋_GBK" w:cs="方正小标宋_GBK"/>
          <w:color w:val="000000"/>
          <w:sz w:val="36"/>
        </w:rPr>
        <w:t>部门预算财政拨款收支总表</w:t>
      </w:r>
      <w:bookmarkEnd w:id="3"/>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223中共石家庄市藁城区委巡察工作领导小组办公室</w:t>
            </w:r>
          </w:p>
        </w:tc>
        <w:tc>
          <w:tcPr>
            <w:tcW w:w="1232" w:type="dxa"/>
            <w:tcBorders>
              <w:top w:val="single" w:color="FFFFFF" w:sz="6" w:space="0"/>
              <w:left w:val="single" w:color="FFFFFF" w:sz="6" w:space="0"/>
              <w:right w:val="single" w:color="FFFFFF" w:sz="6" w:space="0"/>
            </w:tcBorders>
            <w:vAlign w:val="center"/>
          </w:tcPr>
          <w:p>
            <w:pPr>
              <w:pStyle w:val="11"/>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461.98</w:t>
            </w:r>
          </w:p>
        </w:tc>
        <w:tc>
          <w:tcPr>
            <w:tcW w:w="1232" w:type="dxa"/>
            <w:vAlign w:val="center"/>
          </w:tcPr>
          <w:p>
            <w:pPr>
              <w:pStyle w:val="15"/>
            </w:pPr>
            <w:r>
              <w:t>一、一般公共服务支出</w:t>
            </w:r>
          </w:p>
        </w:tc>
        <w:tc>
          <w:tcPr>
            <w:tcW w:w="1232" w:type="dxa"/>
            <w:vAlign w:val="center"/>
          </w:tcPr>
          <w:p>
            <w:pPr>
              <w:pStyle w:val="14"/>
            </w:pPr>
            <w:r>
              <w:t>461.98</w:t>
            </w:r>
          </w:p>
        </w:tc>
        <w:tc>
          <w:tcPr>
            <w:tcW w:w="1232" w:type="dxa"/>
            <w:vAlign w:val="center"/>
          </w:tcPr>
          <w:p>
            <w:pPr>
              <w:pStyle w:val="14"/>
            </w:pPr>
            <w:r>
              <w:t>461.98</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三十一、人行科目</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7"/>
            </w:pPr>
            <w:r>
              <w:t>本年收入合计</w:t>
            </w:r>
          </w:p>
        </w:tc>
        <w:tc>
          <w:tcPr>
            <w:tcW w:w="1232" w:type="dxa"/>
            <w:vAlign w:val="center"/>
          </w:tcPr>
          <w:p>
            <w:pPr>
              <w:pStyle w:val="18"/>
            </w:pPr>
            <w:r>
              <w:t>461.98</w:t>
            </w:r>
          </w:p>
        </w:tc>
        <w:tc>
          <w:tcPr>
            <w:tcW w:w="1232" w:type="dxa"/>
            <w:vAlign w:val="center"/>
          </w:tcPr>
          <w:p>
            <w:pPr>
              <w:pStyle w:val="17"/>
            </w:pPr>
            <w:r>
              <w:t>本年支出合计</w:t>
            </w:r>
          </w:p>
        </w:tc>
        <w:tc>
          <w:tcPr>
            <w:tcW w:w="1232" w:type="dxa"/>
            <w:vAlign w:val="center"/>
          </w:tcPr>
          <w:p>
            <w:pPr>
              <w:pStyle w:val="18"/>
            </w:pPr>
            <w:r>
              <w:t>461.98</w:t>
            </w:r>
          </w:p>
        </w:tc>
        <w:tc>
          <w:tcPr>
            <w:tcW w:w="1232" w:type="dxa"/>
            <w:vAlign w:val="center"/>
          </w:tcPr>
          <w:p>
            <w:pPr>
              <w:pStyle w:val="18"/>
            </w:pPr>
            <w:r>
              <w:t>461.98</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37</w:t>
            </w:r>
          </w:p>
        </w:tc>
        <w:tc>
          <w:tcPr>
            <w:tcW w:w="1232" w:type="dxa"/>
            <w:vAlign w:val="center"/>
          </w:tcPr>
          <w:p>
            <w:pPr>
              <w:pStyle w:val="17"/>
            </w:pPr>
            <w:r>
              <w:t>收入总计</w:t>
            </w:r>
          </w:p>
        </w:tc>
        <w:tc>
          <w:tcPr>
            <w:tcW w:w="1232" w:type="dxa"/>
            <w:vAlign w:val="center"/>
          </w:tcPr>
          <w:p>
            <w:pPr>
              <w:pStyle w:val="18"/>
            </w:pPr>
            <w:r>
              <w:t>461.98</w:t>
            </w:r>
          </w:p>
        </w:tc>
        <w:tc>
          <w:tcPr>
            <w:tcW w:w="1232" w:type="dxa"/>
            <w:vAlign w:val="center"/>
          </w:tcPr>
          <w:p>
            <w:pPr>
              <w:pStyle w:val="17"/>
            </w:pPr>
            <w:r>
              <w:t>支出总计</w:t>
            </w:r>
          </w:p>
        </w:tc>
        <w:tc>
          <w:tcPr>
            <w:tcW w:w="1232" w:type="dxa"/>
            <w:vAlign w:val="center"/>
          </w:tcPr>
          <w:p>
            <w:pPr>
              <w:pStyle w:val="18"/>
            </w:pPr>
            <w:r>
              <w:t>461.98</w:t>
            </w:r>
          </w:p>
        </w:tc>
        <w:tc>
          <w:tcPr>
            <w:tcW w:w="1232" w:type="dxa"/>
            <w:vAlign w:val="center"/>
          </w:tcPr>
          <w:p>
            <w:pPr>
              <w:pStyle w:val="18"/>
            </w:pPr>
            <w:r>
              <w:t>461.98</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18517"/>
      <w:r>
        <w:rPr>
          <w:rFonts w:ascii="方正小标宋_GBK" w:hAnsi="方正小标宋_GBK" w:eastAsia="方正小标宋_GBK" w:cs="方正小标宋_GBK"/>
          <w:color w:val="000000"/>
          <w:sz w:val="36"/>
        </w:rPr>
        <w:t>部门预算一般公共预算财政拨款支出表</w:t>
      </w:r>
      <w:bookmarkEnd w:id="4"/>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461.98</w:t>
            </w:r>
          </w:p>
        </w:tc>
        <w:tc>
          <w:tcPr>
            <w:tcW w:w="1643" w:type="dxa"/>
            <w:vAlign w:val="center"/>
          </w:tcPr>
          <w:p>
            <w:pPr>
              <w:pStyle w:val="18"/>
            </w:pPr>
            <w:r>
              <w:t>347.98</w:t>
            </w:r>
          </w:p>
        </w:tc>
        <w:tc>
          <w:tcPr>
            <w:tcW w:w="1643" w:type="dxa"/>
            <w:vAlign w:val="center"/>
          </w:tcPr>
          <w:p>
            <w:pPr>
              <w:pStyle w:val="18"/>
            </w:pPr>
            <w:r>
              <w:t>114.00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201</w:t>
            </w:r>
          </w:p>
        </w:tc>
        <w:tc>
          <w:tcPr>
            <w:tcW w:w="1643" w:type="dxa"/>
            <w:vAlign w:val="center"/>
          </w:tcPr>
          <w:p>
            <w:pPr>
              <w:pStyle w:val="15"/>
            </w:pPr>
            <w:r>
              <w:t>一般公共服务支出</w:t>
            </w:r>
          </w:p>
        </w:tc>
        <w:tc>
          <w:tcPr>
            <w:tcW w:w="1643" w:type="dxa"/>
            <w:vAlign w:val="center"/>
          </w:tcPr>
          <w:p>
            <w:pPr>
              <w:pStyle w:val="14"/>
            </w:pPr>
            <w:r>
              <w:t>461.98</w:t>
            </w:r>
          </w:p>
        </w:tc>
        <w:tc>
          <w:tcPr>
            <w:tcW w:w="1643" w:type="dxa"/>
            <w:vAlign w:val="center"/>
          </w:tcPr>
          <w:p>
            <w:pPr>
              <w:pStyle w:val="14"/>
            </w:pPr>
            <w:r>
              <w:t>347.98</w:t>
            </w:r>
          </w:p>
        </w:tc>
        <w:tc>
          <w:tcPr>
            <w:tcW w:w="1643" w:type="dxa"/>
            <w:vAlign w:val="center"/>
          </w:tcPr>
          <w:p>
            <w:pPr>
              <w:pStyle w:val="14"/>
            </w:pPr>
            <w:r>
              <w:t>114.00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20111</w:t>
            </w:r>
          </w:p>
        </w:tc>
        <w:tc>
          <w:tcPr>
            <w:tcW w:w="1643" w:type="dxa"/>
            <w:vAlign w:val="center"/>
          </w:tcPr>
          <w:p>
            <w:pPr>
              <w:pStyle w:val="15"/>
            </w:pPr>
            <w:r>
              <w:t>纪检监察事务</w:t>
            </w:r>
          </w:p>
        </w:tc>
        <w:tc>
          <w:tcPr>
            <w:tcW w:w="1643" w:type="dxa"/>
            <w:vAlign w:val="center"/>
          </w:tcPr>
          <w:p>
            <w:pPr>
              <w:pStyle w:val="14"/>
            </w:pPr>
            <w:r>
              <w:t>461.98</w:t>
            </w:r>
          </w:p>
        </w:tc>
        <w:tc>
          <w:tcPr>
            <w:tcW w:w="1643" w:type="dxa"/>
            <w:vAlign w:val="center"/>
          </w:tcPr>
          <w:p>
            <w:pPr>
              <w:pStyle w:val="14"/>
            </w:pPr>
            <w:r>
              <w:t>347.98</w:t>
            </w:r>
          </w:p>
        </w:tc>
        <w:tc>
          <w:tcPr>
            <w:tcW w:w="1643" w:type="dxa"/>
            <w:vAlign w:val="center"/>
          </w:tcPr>
          <w:p>
            <w:pPr>
              <w:pStyle w:val="14"/>
            </w:pPr>
            <w:r>
              <w:t>114.00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2011101</w:t>
            </w:r>
          </w:p>
        </w:tc>
        <w:tc>
          <w:tcPr>
            <w:tcW w:w="1643" w:type="dxa"/>
            <w:vAlign w:val="center"/>
          </w:tcPr>
          <w:p>
            <w:pPr>
              <w:pStyle w:val="15"/>
            </w:pPr>
            <w:r>
              <w:t>行政运行</w:t>
            </w:r>
          </w:p>
        </w:tc>
        <w:tc>
          <w:tcPr>
            <w:tcW w:w="1643" w:type="dxa"/>
            <w:vAlign w:val="center"/>
          </w:tcPr>
          <w:p>
            <w:pPr>
              <w:pStyle w:val="14"/>
            </w:pPr>
            <w:r>
              <w:t>347.98</w:t>
            </w:r>
          </w:p>
        </w:tc>
        <w:tc>
          <w:tcPr>
            <w:tcW w:w="1643" w:type="dxa"/>
            <w:vAlign w:val="center"/>
          </w:tcPr>
          <w:p>
            <w:pPr>
              <w:pStyle w:val="14"/>
            </w:pPr>
            <w:r>
              <w:t>347.98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2011106</w:t>
            </w:r>
          </w:p>
        </w:tc>
        <w:tc>
          <w:tcPr>
            <w:tcW w:w="1643" w:type="dxa"/>
            <w:vAlign w:val="center"/>
          </w:tcPr>
          <w:p>
            <w:pPr>
              <w:pStyle w:val="15"/>
            </w:pPr>
            <w:r>
              <w:t>巡视工作</w:t>
            </w:r>
          </w:p>
        </w:tc>
        <w:tc>
          <w:tcPr>
            <w:tcW w:w="1643" w:type="dxa"/>
            <w:vAlign w:val="center"/>
          </w:tcPr>
          <w:p>
            <w:pPr>
              <w:pStyle w:val="14"/>
            </w:pPr>
            <w:r>
              <w:t>114.00</w:t>
            </w:r>
          </w:p>
        </w:tc>
        <w:tc>
          <w:tcPr>
            <w:tcW w:w="1643" w:type="dxa"/>
            <w:vAlign w:val="center"/>
          </w:tcPr>
          <w:p>
            <w:pPr>
              <w:pStyle w:val="14"/>
            </w:pPr>
          </w:p>
        </w:tc>
        <w:tc>
          <w:tcPr>
            <w:tcW w:w="1643" w:type="dxa"/>
            <w:vAlign w:val="center"/>
          </w:tcPr>
          <w:p>
            <w:pPr>
              <w:pStyle w:val="14"/>
            </w:pPr>
            <w:r>
              <w:t>114.00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5666"/>
      <w:r>
        <w:rPr>
          <w:rFonts w:ascii="方正小标宋_GBK" w:hAnsi="方正小标宋_GBK" w:eastAsia="方正小标宋_GBK" w:cs="方正小标宋_GBK"/>
          <w:color w:val="000000"/>
          <w:sz w:val="36"/>
        </w:rPr>
        <w:t>部门预算一般公共预算财政拨款基本支出表</w:t>
      </w:r>
      <w:bookmarkEnd w:id="5"/>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347.98</w:t>
            </w:r>
          </w:p>
        </w:tc>
        <w:tc>
          <w:tcPr>
            <w:tcW w:w="1643" w:type="dxa"/>
            <w:vAlign w:val="center"/>
          </w:tcPr>
          <w:p>
            <w:pPr>
              <w:pStyle w:val="18"/>
            </w:pPr>
            <w:r>
              <w:t>316.33</w:t>
            </w:r>
          </w:p>
        </w:tc>
        <w:tc>
          <w:tcPr>
            <w:tcW w:w="1643" w:type="dxa"/>
            <w:vAlign w:val="center"/>
          </w:tcPr>
          <w:p>
            <w:pPr>
              <w:pStyle w:val="18"/>
            </w:pPr>
            <w:r>
              <w:t>31.65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303.16</w:t>
            </w:r>
          </w:p>
        </w:tc>
        <w:tc>
          <w:tcPr>
            <w:tcW w:w="1643" w:type="dxa"/>
            <w:vAlign w:val="center"/>
          </w:tcPr>
          <w:p>
            <w:pPr>
              <w:pStyle w:val="14"/>
            </w:pPr>
            <w:r>
              <w:t>303.16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73.93</w:t>
            </w:r>
          </w:p>
        </w:tc>
        <w:tc>
          <w:tcPr>
            <w:tcW w:w="1643" w:type="dxa"/>
            <w:vAlign w:val="center"/>
          </w:tcPr>
          <w:p>
            <w:pPr>
              <w:pStyle w:val="14"/>
            </w:pPr>
            <w:r>
              <w:t>73.93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87.10</w:t>
            </w:r>
          </w:p>
        </w:tc>
        <w:tc>
          <w:tcPr>
            <w:tcW w:w="1643" w:type="dxa"/>
            <w:vAlign w:val="center"/>
          </w:tcPr>
          <w:p>
            <w:pPr>
              <w:pStyle w:val="14"/>
            </w:pPr>
            <w:r>
              <w:t>87.10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6.16</w:t>
            </w:r>
          </w:p>
        </w:tc>
        <w:tc>
          <w:tcPr>
            <w:tcW w:w="1643" w:type="dxa"/>
            <w:vAlign w:val="center"/>
          </w:tcPr>
          <w:p>
            <w:pPr>
              <w:pStyle w:val="14"/>
            </w:pPr>
            <w:r>
              <w:t>6.16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42.74</w:t>
            </w:r>
          </w:p>
        </w:tc>
        <w:tc>
          <w:tcPr>
            <w:tcW w:w="1643" w:type="dxa"/>
            <w:vAlign w:val="center"/>
          </w:tcPr>
          <w:p>
            <w:pPr>
              <w:pStyle w:val="14"/>
            </w:pPr>
            <w:r>
              <w:t>42.74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30108</w:t>
            </w:r>
          </w:p>
        </w:tc>
        <w:tc>
          <w:tcPr>
            <w:tcW w:w="1643" w:type="dxa"/>
            <w:vAlign w:val="center"/>
          </w:tcPr>
          <w:p>
            <w:pPr>
              <w:pStyle w:val="15"/>
            </w:pPr>
            <w:r>
              <w:t>机关事业单位基本养老保险缴费</w:t>
            </w:r>
          </w:p>
        </w:tc>
        <w:tc>
          <w:tcPr>
            <w:tcW w:w="1643" w:type="dxa"/>
            <w:vAlign w:val="center"/>
          </w:tcPr>
          <w:p>
            <w:pPr>
              <w:pStyle w:val="14"/>
            </w:pPr>
            <w:r>
              <w:t>34.28</w:t>
            </w:r>
          </w:p>
        </w:tc>
        <w:tc>
          <w:tcPr>
            <w:tcW w:w="1643" w:type="dxa"/>
            <w:vAlign w:val="center"/>
          </w:tcPr>
          <w:p>
            <w:pPr>
              <w:pStyle w:val="14"/>
            </w:pPr>
            <w:r>
              <w:t>34.28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30110</w:t>
            </w:r>
          </w:p>
        </w:tc>
        <w:tc>
          <w:tcPr>
            <w:tcW w:w="1643" w:type="dxa"/>
            <w:vAlign w:val="center"/>
          </w:tcPr>
          <w:p>
            <w:pPr>
              <w:pStyle w:val="15"/>
            </w:pPr>
            <w:r>
              <w:t>职工基本医疗保险缴费</w:t>
            </w:r>
          </w:p>
        </w:tc>
        <w:tc>
          <w:tcPr>
            <w:tcW w:w="1643" w:type="dxa"/>
            <w:vAlign w:val="center"/>
          </w:tcPr>
          <w:p>
            <w:pPr>
              <w:pStyle w:val="14"/>
            </w:pPr>
            <w:r>
              <w:t>11.86</w:t>
            </w:r>
          </w:p>
        </w:tc>
        <w:tc>
          <w:tcPr>
            <w:tcW w:w="1643" w:type="dxa"/>
            <w:vAlign w:val="center"/>
          </w:tcPr>
          <w:p>
            <w:pPr>
              <w:pStyle w:val="14"/>
            </w:pPr>
            <w:r>
              <w:t>11.86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30111</w:t>
            </w:r>
          </w:p>
        </w:tc>
        <w:tc>
          <w:tcPr>
            <w:tcW w:w="1643" w:type="dxa"/>
            <w:vAlign w:val="center"/>
          </w:tcPr>
          <w:p>
            <w:pPr>
              <w:pStyle w:val="15"/>
            </w:pPr>
            <w:r>
              <w:t>公务员医疗补助缴费</w:t>
            </w:r>
          </w:p>
        </w:tc>
        <w:tc>
          <w:tcPr>
            <w:tcW w:w="1643" w:type="dxa"/>
            <w:vAlign w:val="center"/>
          </w:tcPr>
          <w:p>
            <w:pPr>
              <w:pStyle w:val="14"/>
            </w:pPr>
            <w:r>
              <w:t>9.18</w:t>
            </w:r>
          </w:p>
        </w:tc>
        <w:tc>
          <w:tcPr>
            <w:tcW w:w="1643" w:type="dxa"/>
            <w:vAlign w:val="center"/>
          </w:tcPr>
          <w:p>
            <w:pPr>
              <w:pStyle w:val="14"/>
            </w:pPr>
            <w:r>
              <w:t>9.18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pPr>
            <w:r>
              <w:t>30112</w:t>
            </w:r>
          </w:p>
        </w:tc>
        <w:tc>
          <w:tcPr>
            <w:tcW w:w="1643" w:type="dxa"/>
            <w:vAlign w:val="center"/>
          </w:tcPr>
          <w:p>
            <w:pPr>
              <w:pStyle w:val="15"/>
            </w:pPr>
            <w:r>
              <w:t>其他社会保障缴费</w:t>
            </w:r>
          </w:p>
        </w:tc>
        <w:tc>
          <w:tcPr>
            <w:tcW w:w="1643" w:type="dxa"/>
            <w:vAlign w:val="center"/>
          </w:tcPr>
          <w:p>
            <w:pPr>
              <w:pStyle w:val="14"/>
            </w:pPr>
            <w:r>
              <w:t>12.21</w:t>
            </w:r>
          </w:p>
        </w:tc>
        <w:tc>
          <w:tcPr>
            <w:tcW w:w="1643" w:type="dxa"/>
            <w:vAlign w:val="center"/>
          </w:tcPr>
          <w:p>
            <w:pPr>
              <w:pStyle w:val="14"/>
            </w:pPr>
            <w:r>
              <w:t>12.21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11</w:t>
            </w:r>
          </w:p>
        </w:tc>
        <w:tc>
          <w:tcPr>
            <w:tcW w:w="1643" w:type="dxa"/>
            <w:vAlign w:val="center"/>
          </w:tcPr>
          <w:p>
            <w:pPr>
              <w:pStyle w:val="15"/>
            </w:pPr>
            <w:r>
              <w:t>30113</w:t>
            </w:r>
          </w:p>
        </w:tc>
        <w:tc>
          <w:tcPr>
            <w:tcW w:w="1643" w:type="dxa"/>
            <w:vAlign w:val="center"/>
          </w:tcPr>
          <w:p>
            <w:pPr>
              <w:pStyle w:val="15"/>
            </w:pPr>
            <w:r>
              <w:t>住房公积金</w:t>
            </w:r>
          </w:p>
        </w:tc>
        <w:tc>
          <w:tcPr>
            <w:tcW w:w="1643" w:type="dxa"/>
            <w:vAlign w:val="center"/>
          </w:tcPr>
          <w:p>
            <w:pPr>
              <w:pStyle w:val="14"/>
            </w:pPr>
            <w:r>
              <w:t>25.71</w:t>
            </w:r>
          </w:p>
        </w:tc>
        <w:tc>
          <w:tcPr>
            <w:tcW w:w="1643" w:type="dxa"/>
            <w:vAlign w:val="center"/>
          </w:tcPr>
          <w:p>
            <w:pPr>
              <w:pStyle w:val="14"/>
            </w:pPr>
            <w:r>
              <w:t>25.71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12</w:t>
            </w:r>
          </w:p>
        </w:tc>
        <w:tc>
          <w:tcPr>
            <w:tcW w:w="1643" w:type="dxa"/>
            <w:vAlign w:val="center"/>
          </w:tcPr>
          <w:p>
            <w:pPr>
              <w:pStyle w:val="15"/>
            </w:pPr>
            <w:r>
              <w:t>302</w:t>
            </w:r>
          </w:p>
        </w:tc>
        <w:tc>
          <w:tcPr>
            <w:tcW w:w="1643" w:type="dxa"/>
            <w:vAlign w:val="center"/>
          </w:tcPr>
          <w:p>
            <w:pPr>
              <w:pStyle w:val="15"/>
            </w:pPr>
            <w:r>
              <w:t>商品和服务支出</w:t>
            </w:r>
          </w:p>
        </w:tc>
        <w:tc>
          <w:tcPr>
            <w:tcW w:w="1643" w:type="dxa"/>
            <w:vAlign w:val="center"/>
          </w:tcPr>
          <w:p>
            <w:pPr>
              <w:pStyle w:val="14"/>
            </w:pPr>
            <w:r>
              <w:t>31.65</w:t>
            </w:r>
          </w:p>
        </w:tc>
        <w:tc>
          <w:tcPr>
            <w:tcW w:w="1643" w:type="dxa"/>
            <w:vAlign w:val="center"/>
          </w:tcPr>
          <w:p>
            <w:pPr>
              <w:pStyle w:val="14"/>
            </w:pPr>
          </w:p>
        </w:tc>
        <w:tc>
          <w:tcPr>
            <w:tcW w:w="1643" w:type="dxa"/>
            <w:vAlign w:val="center"/>
          </w:tcPr>
          <w:p>
            <w:pPr>
              <w:pStyle w:val="14"/>
            </w:pPr>
            <w:r>
              <w:t>31.65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13</w:t>
            </w:r>
          </w:p>
        </w:tc>
        <w:tc>
          <w:tcPr>
            <w:tcW w:w="1643" w:type="dxa"/>
            <w:vAlign w:val="center"/>
          </w:tcPr>
          <w:p>
            <w:pPr>
              <w:pStyle w:val="15"/>
            </w:pPr>
            <w:r>
              <w:t>30201</w:t>
            </w:r>
          </w:p>
        </w:tc>
        <w:tc>
          <w:tcPr>
            <w:tcW w:w="1643" w:type="dxa"/>
            <w:vAlign w:val="center"/>
          </w:tcPr>
          <w:p>
            <w:pPr>
              <w:pStyle w:val="15"/>
            </w:pPr>
            <w:r>
              <w:t>办公费</w:t>
            </w:r>
          </w:p>
        </w:tc>
        <w:tc>
          <w:tcPr>
            <w:tcW w:w="1643" w:type="dxa"/>
            <w:vAlign w:val="center"/>
          </w:tcPr>
          <w:p>
            <w:pPr>
              <w:pStyle w:val="14"/>
            </w:pPr>
            <w:r>
              <w:t>6.80</w:t>
            </w:r>
          </w:p>
        </w:tc>
        <w:tc>
          <w:tcPr>
            <w:tcW w:w="1643" w:type="dxa"/>
            <w:vAlign w:val="center"/>
          </w:tcPr>
          <w:p>
            <w:pPr>
              <w:pStyle w:val="14"/>
            </w:pPr>
          </w:p>
        </w:tc>
        <w:tc>
          <w:tcPr>
            <w:tcW w:w="1643" w:type="dxa"/>
            <w:vAlign w:val="center"/>
          </w:tcPr>
          <w:p>
            <w:pPr>
              <w:pStyle w:val="14"/>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14</w:t>
            </w:r>
          </w:p>
        </w:tc>
        <w:tc>
          <w:tcPr>
            <w:tcW w:w="1643" w:type="dxa"/>
            <w:vAlign w:val="center"/>
          </w:tcPr>
          <w:p>
            <w:pPr>
              <w:pStyle w:val="15"/>
            </w:pPr>
            <w:r>
              <w:t>30207</w:t>
            </w:r>
          </w:p>
        </w:tc>
        <w:tc>
          <w:tcPr>
            <w:tcW w:w="1643" w:type="dxa"/>
            <w:vAlign w:val="center"/>
          </w:tcPr>
          <w:p>
            <w:pPr>
              <w:pStyle w:val="15"/>
            </w:pPr>
            <w:r>
              <w:t>邮电费</w:t>
            </w:r>
          </w:p>
        </w:tc>
        <w:tc>
          <w:tcPr>
            <w:tcW w:w="1643" w:type="dxa"/>
            <w:vAlign w:val="center"/>
          </w:tcPr>
          <w:p>
            <w:pPr>
              <w:pStyle w:val="14"/>
            </w:pPr>
            <w:r>
              <w:t>9.42</w:t>
            </w:r>
          </w:p>
        </w:tc>
        <w:tc>
          <w:tcPr>
            <w:tcW w:w="1643" w:type="dxa"/>
            <w:vAlign w:val="center"/>
          </w:tcPr>
          <w:p>
            <w:pPr>
              <w:pStyle w:val="14"/>
            </w:pPr>
          </w:p>
        </w:tc>
        <w:tc>
          <w:tcPr>
            <w:tcW w:w="1643" w:type="dxa"/>
            <w:vAlign w:val="center"/>
          </w:tcPr>
          <w:p>
            <w:pPr>
              <w:pStyle w:val="14"/>
            </w:pPr>
            <w:r>
              <w:t>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15</w:t>
            </w:r>
          </w:p>
        </w:tc>
        <w:tc>
          <w:tcPr>
            <w:tcW w:w="1643" w:type="dxa"/>
            <w:vAlign w:val="center"/>
          </w:tcPr>
          <w:p>
            <w:pPr>
              <w:pStyle w:val="15"/>
            </w:pPr>
            <w:r>
              <w:t>30228</w:t>
            </w:r>
          </w:p>
        </w:tc>
        <w:tc>
          <w:tcPr>
            <w:tcW w:w="1643" w:type="dxa"/>
            <w:vAlign w:val="center"/>
          </w:tcPr>
          <w:p>
            <w:pPr>
              <w:pStyle w:val="15"/>
            </w:pPr>
            <w:r>
              <w:t>工会经费</w:t>
            </w:r>
          </w:p>
        </w:tc>
        <w:tc>
          <w:tcPr>
            <w:tcW w:w="1643" w:type="dxa"/>
            <w:vAlign w:val="center"/>
          </w:tcPr>
          <w:p>
            <w:pPr>
              <w:pStyle w:val="14"/>
            </w:pPr>
            <w:r>
              <w:t>2.05</w:t>
            </w:r>
          </w:p>
        </w:tc>
        <w:tc>
          <w:tcPr>
            <w:tcW w:w="1643" w:type="dxa"/>
            <w:vAlign w:val="center"/>
          </w:tcPr>
          <w:p>
            <w:pPr>
              <w:pStyle w:val="14"/>
            </w:pPr>
          </w:p>
        </w:tc>
        <w:tc>
          <w:tcPr>
            <w:tcW w:w="1643" w:type="dxa"/>
            <w:vAlign w:val="center"/>
          </w:tcPr>
          <w:p>
            <w:pPr>
              <w:pStyle w:val="14"/>
            </w:pPr>
            <w:r>
              <w:t>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16</w:t>
            </w:r>
          </w:p>
        </w:tc>
        <w:tc>
          <w:tcPr>
            <w:tcW w:w="1643" w:type="dxa"/>
            <w:vAlign w:val="center"/>
          </w:tcPr>
          <w:p>
            <w:pPr>
              <w:pStyle w:val="15"/>
            </w:pPr>
            <w:r>
              <w:t>30229</w:t>
            </w:r>
          </w:p>
        </w:tc>
        <w:tc>
          <w:tcPr>
            <w:tcW w:w="1643" w:type="dxa"/>
            <w:vAlign w:val="center"/>
          </w:tcPr>
          <w:p>
            <w:pPr>
              <w:pStyle w:val="15"/>
            </w:pPr>
            <w:r>
              <w:t>福利费</w:t>
            </w:r>
          </w:p>
        </w:tc>
        <w:tc>
          <w:tcPr>
            <w:tcW w:w="1643" w:type="dxa"/>
            <w:vAlign w:val="center"/>
          </w:tcPr>
          <w:p>
            <w:pPr>
              <w:pStyle w:val="14"/>
            </w:pPr>
            <w:r>
              <w:t>1.85</w:t>
            </w:r>
          </w:p>
        </w:tc>
        <w:tc>
          <w:tcPr>
            <w:tcW w:w="1643" w:type="dxa"/>
            <w:vAlign w:val="center"/>
          </w:tcPr>
          <w:p>
            <w:pPr>
              <w:pStyle w:val="14"/>
            </w:pPr>
          </w:p>
        </w:tc>
        <w:tc>
          <w:tcPr>
            <w:tcW w:w="1643" w:type="dxa"/>
            <w:vAlign w:val="center"/>
          </w:tcPr>
          <w:p>
            <w:pPr>
              <w:pStyle w:val="14"/>
            </w:pPr>
            <w:r>
              <w:t>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17</w:t>
            </w:r>
          </w:p>
        </w:tc>
        <w:tc>
          <w:tcPr>
            <w:tcW w:w="1643" w:type="dxa"/>
            <w:vAlign w:val="center"/>
          </w:tcPr>
          <w:p>
            <w:pPr>
              <w:pStyle w:val="15"/>
            </w:pPr>
            <w:r>
              <w:t>30239</w:t>
            </w:r>
          </w:p>
        </w:tc>
        <w:tc>
          <w:tcPr>
            <w:tcW w:w="1643" w:type="dxa"/>
            <w:vAlign w:val="center"/>
          </w:tcPr>
          <w:p>
            <w:pPr>
              <w:pStyle w:val="15"/>
            </w:pPr>
            <w:r>
              <w:t>其他交通费用</w:t>
            </w:r>
          </w:p>
        </w:tc>
        <w:tc>
          <w:tcPr>
            <w:tcW w:w="1643" w:type="dxa"/>
            <w:vAlign w:val="center"/>
          </w:tcPr>
          <w:p>
            <w:pPr>
              <w:pStyle w:val="14"/>
            </w:pPr>
            <w:r>
              <w:t>11.04</w:t>
            </w:r>
          </w:p>
        </w:tc>
        <w:tc>
          <w:tcPr>
            <w:tcW w:w="1643" w:type="dxa"/>
            <w:vAlign w:val="center"/>
          </w:tcPr>
          <w:p>
            <w:pPr>
              <w:pStyle w:val="14"/>
            </w:pPr>
          </w:p>
        </w:tc>
        <w:tc>
          <w:tcPr>
            <w:tcW w:w="1643" w:type="dxa"/>
            <w:vAlign w:val="center"/>
          </w:tcPr>
          <w:p>
            <w:pPr>
              <w:pStyle w:val="14"/>
            </w:pPr>
            <w:r>
              <w:t>11.04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18</w:t>
            </w:r>
          </w:p>
        </w:tc>
        <w:tc>
          <w:tcPr>
            <w:tcW w:w="1643" w:type="dxa"/>
            <w:vAlign w:val="center"/>
          </w:tcPr>
          <w:p>
            <w:pPr>
              <w:pStyle w:val="15"/>
            </w:pPr>
            <w:r>
              <w:t>30299</w:t>
            </w:r>
          </w:p>
        </w:tc>
        <w:tc>
          <w:tcPr>
            <w:tcW w:w="1643" w:type="dxa"/>
            <w:vAlign w:val="center"/>
          </w:tcPr>
          <w:p>
            <w:pPr>
              <w:pStyle w:val="15"/>
            </w:pPr>
            <w:r>
              <w:t>其他商品和服务支出</w:t>
            </w:r>
          </w:p>
        </w:tc>
        <w:tc>
          <w:tcPr>
            <w:tcW w:w="1643" w:type="dxa"/>
            <w:vAlign w:val="center"/>
          </w:tcPr>
          <w:p>
            <w:pPr>
              <w:pStyle w:val="14"/>
            </w:pPr>
            <w:r>
              <w:t>0.49</w:t>
            </w:r>
          </w:p>
        </w:tc>
        <w:tc>
          <w:tcPr>
            <w:tcW w:w="1643" w:type="dxa"/>
            <w:vAlign w:val="center"/>
          </w:tcPr>
          <w:p>
            <w:pPr>
              <w:pStyle w:val="14"/>
            </w:pPr>
          </w:p>
        </w:tc>
        <w:tc>
          <w:tcPr>
            <w:tcW w:w="1643" w:type="dxa"/>
            <w:vAlign w:val="center"/>
          </w:tcPr>
          <w:p>
            <w:pPr>
              <w:pStyle w:val="14"/>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19</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13.17</w:t>
            </w:r>
          </w:p>
        </w:tc>
        <w:tc>
          <w:tcPr>
            <w:tcW w:w="1643" w:type="dxa"/>
            <w:vAlign w:val="center"/>
          </w:tcPr>
          <w:p>
            <w:pPr>
              <w:pStyle w:val="14"/>
            </w:pPr>
            <w:r>
              <w:t>13.17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20</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13.17</w:t>
            </w:r>
          </w:p>
        </w:tc>
        <w:tc>
          <w:tcPr>
            <w:tcW w:w="1643" w:type="dxa"/>
            <w:vAlign w:val="center"/>
          </w:tcPr>
          <w:p>
            <w:pPr>
              <w:pStyle w:val="14"/>
            </w:pPr>
            <w:r>
              <w:t>13.17</w:t>
            </w:r>
          </w:p>
        </w:tc>
        <w:tc>
          <w:tcPr>
            <w:tcW w:w="1643"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23886"/>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bookmarkEnd w:id="6"/>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p>
    <w:p>
      <w:pPr>
        <w:spacing w:before="0" w:after="0" w:line="240" w:lineRule="auto"/>
        <w:ind w:firstLine="0"/>
        <w:jc w:val="center"/>
        <w:outlineLvl w:val="1"/>
      </w:pPr>
      <w:bookmarkStart w:id="7" w:name="_Toc26623"/>
      <w:r>
        <w:rPr>
          <w:rFonts w:ascii="方正小标宋_GBK" w:hAnsi="方正小标宋_GBK" w:eastAsia="方正小标宋_GBK" w:cs="方正小标宋_GBK"/>
          <w:color w:val="000000"/>
          <w:sz w:val="36"/>
        </w:rPr>
        <w:t>部门预算国有资本经营预算财政拨款支出表</w:t>
      </w:r>
      <w:bookmarkEnd w:id="7"/>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4479"/>
      <w:r>
        <w:rPr>
          <w:rFonts w:ascii="方正小标宋_GBK" w:hAnsi="方正小标宋_GBK" w:eastAsia="方正小标宋_GBK" w:cs="方正小标宋_GBK"/>
          <w:color w:val="000000"/>
          <w:sz w:val="36"/>
        </w:rPr>
        <w:t>部门预算财政拨款“三公”经费支出表</w:t>
      </w:r>
      <w:bookmarkEnd w:id="8"/>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中共石家庄市藁城区委巡察工作领导小组办公室2023年部门预算信息公开情况说明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中共石家庄市藁城区委巡察工作领导小组办公室2023年部门预算信息公开情况说明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按照《预算法》、《地方预决算公开操作规程》和《关于进一步推进预算公开工作的实施意见》规定，现将中共石家庄市藁城区委巡察工作领导小组办公室2023年部门预算公开如下：</w:t>
      </w:r>
    </w:p>
    <w:p>
      <w:pPr>
        <w:spacing w:before="10" w:after="10" w:line="360" w:lineRule="auto"/>
        <w:ind w:firstLine="640"/>
        <w:jc w:val="left"/>
        <w:outlineLvl w:val="2"/>
      </w:pPr>
      <w:bookmarkStart w:id="9" w:name="_Toc13595"/>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hint="eastAsia" w:ascii="华文宋体" w:hAnsi="华文宋体" w:eastAsia="华文宋体" w:cs="华文宋体"/>
          <w:b/>
          <w:bCs w:val="0"/>
          <w:color w:val="000000"/>
          <w:sz w:val="28"/>
          <w:szCs w:val="28"/>
        </w:rPr>
      </w:pPr>
      <w:r>
        <w:rPr>
          <w:rFonts w:hint="eastAsia" w:ascii="华文宋体" w:hAnsi="华文宋体" w:eastAsia="华文宋体" w:cs="华文宋体"/>
          <w:b/>
          <w:bCs w:val="0"/>
          <w:color w:val="000000"/>
          <w:sz w:val="28"/>
          <w:szCs w:val="28"/>
        </w:rPr>
        <w:t>(一)贯彻落实党中央和省委、市委及区委、区委巡察工作领导小组的决策部署，向省委、市委巡视工作领导小组办公室和区委巡察工作领导小组报告工作情况。</w:t>
      </w:r>
    </w:p>
    <w:p>
      <w:pPr>
        <w:spacing w:before="0" w:after="0" w:line="240" w:lineRule="auto"/>
        <w:ind w:firstLine="640"/>
        <w:jc w:val="left"/>
        <w:outlineLvl w:val="9"/>
        <w:rPr>
          <w:rFonts w:hint="eastAsia" w:ascii="华文宋体" w:hAnsi="华文宋体" w:eastAsia="华文宋体" w:cs="华文宋体"/>
          <w:b/>
          <w:bCs w:val="0"/>
          <w:color w:val="000000"/>
          <w:sz w:val="28"/>
          <w:szCs w:val="28"/>
        </w:rPr>
      </w:pPr>
      <w:r>
        <w:rPr>
          <w:rFonts w:hint="eastAsia" w:ascii="华文宋体" w:hAnsi="华文宋体" w:eastAsia="华文宋体" w:cs="华文宋体"/>
          <w:b/>
          <w:bCs w:val="0"/>
          <w:color w:val="000000"/>
          <w:sz w:val="28"/>
          <w:szCs w:val="28"/>
        </w:rPr>
        <w:t>(二)统筹、协调、指导开展巡察工作。</w:t>
      </w:r>
    </w:p>
    <w:p>
      <w:pPr>
        <w:spacing w:before="0" w:after="0" w:line="240" w:lineRule="auto"/>
        <w:ind w:firstLine="640"/>
        <w:jc w:val="left"/>
        <w:outlineLvl w:val="9"/>
        <w:rPr>
          <w:rFonts w:hint="eastAsia" w:ascii="华文宋体" w:hAnsi="华文宋体" w:eastAsia="华文宋体" w:cs="华文宋体"/>
          <w:b/>
          <w:bCs w:val="0"/>
          <w:color w:val="000000"/>
          <w:sz w:val="28"/>
          <w:szCs w:val="28"/>
        </w:rPr>
      </w:pPr>
      <w:r>
        <w:rPr>
          <w:rFonts w:hint="eastAsia" w:ascii="华文宋体" w:hAnsi="华文宋体" w:eastAsia="华文宋体" w:cs="华文宋体"/>
          <w:b/>
          <w:bCs w:val="0"/>
          <w:color w:val="000000"/>
          <w:sz w:val="28"/>
          <w:szCs w:val="28"/>
        </w:rPr>
        <w:t>(三)承担政策研究、制度建设等工作。</w:t>
      </w:r>
    </w:p>
    <w:p>
      <w:pPr>
        <w:spacing w:before="0" w:after="0" w:line="240" w:lineRule="auto"/>
        <w:ind w:firstLine="640"/>
        <w:jc w:val="left"/>
        <w:outlineLvl w:val="9"/>
        <w:rPr>
          <w:rFonts w:hint="eastAsia" w:ascii="华文宋体" w:hAnsi="华文宋体" w:eastAsia="华文宋体" w:cs="华文宋体"/>
          <w:b/>
          <w:bCs w:val="0"/>
          <w:color w:val="000000"/>
          <w:sz w:val="28"/>
          <w:szCs w:val="28"/>
        </w:rPr>
      </w:pPr>
      <w:r>
        <w:rPr>
          <w:rFonts w:hint="eastAsia" w:ascii="华文宋体" w:hAnsi="华文宋体" w:eastAsia="华文宋体" w:cs="华文宋体"/>
          <w:b/>
          <w:bCs w:val="0"/>
          <w:color w:val="000000"/>
          <w:sz w:val="28"/>
          <w:szCs w:val="28"/>
        </w:rPr>
        <w:t>(四)对区委、区委巡察工作领导小组决定的事项进行督办，会同区委巡察组对巡察整改工作进行专项检查。</w:t>
      </w:r>
    </w:p>
    <w:p>
      <w:pPr>
        <w:spacing w:before="0" w:after="0" w:line="240" w:lineRule="auto"/>
        <w:ind w:firstLine="640"/>
        <w:jc w:val="left"/>
        <w:outlineLvl w:val="9"/>
        <w:rPr>
          <w:rFonts w:hint="eastAsia" w:ascii="华文宋体" w:hAnsi="华文宋体" w:eastAsia="华文宋体" w:cs="华文宋体"/>
          <w:b/>
          <w:bCs w:val="0"/>
          <w:color w:val="000000"/>
          <w:sz w:val="28"/>
          <w:szCs w:val="28"/>
        </w:rPr>
      </w:pPr>
      <w:r>
        <w:rPr>
          <w:rFonts w:hint="eastAsia" w:ascii="华文宋体" w:hAnsi="华文宋体" w:eastAsia="华文宋体" w:cs="华文宋体"/>
          <w:b/>
          <w:bCs w:val="0"/>
          <w:color w:val="000000"/>
          <w:sz w:val="28"/>
          <w:szCs w:val="28"/>
        </w:rPr>
        <w:t>(五)配合有关部门对巡察工作人员进行培训、考核监督和管理。</w:t>
      </w:r>
    </w:p>
    <w:p>
      <w:pPr>
        <w:spacing w:before="0" w:after="0" w:line="240" w:lineRule="auto"/>
        <w:ind w:firstLine="640"/>
        <w:jc w:val="left"/>
        <w:outlineLvl w:val="9"/>
        <w:rPr>
          <w:rFonts w:hint="eastAsia" w:ascii="方正楷体_GBK" w:hAnsi="方正楷体_GBK" w:eastAsia="方正楷体_GBK" w:cs="方正楷体_GBK"/>
          <w:b/>
          <w:color w:val="000000"/>
          <w:sz w:val="32"/>
        </w:rPr>
      </w:pPr>
      <w:r>
        <w:rPr>
          <w:rFonts w:hint="eastAsia" w:ascii="华文宋体" w:hAnsi="华文宋体" w:eastAsia="华文宋体" w:cs="华文宋体"/>
          <w:b/>
          <w:bCs w:val="0"/>
          <w:color w:val="000000"/>
          <w:sz w:val="28"/>
          <w:szCs w:val="28"/>
        </w:rPr>
        <w:t>(六)完成省委、市委巡视工作领导小组办公室和区委巡察工作领导小组交办的其他任务。</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5"/>
            </w:pPr>
            <w:r>
              <w:t>中共石家庄市藁城区委巡察工作领导小组办公室本级</w:t>
            </w:r>
          </w:p>
        </w:tc>
        <w:tc>
          <w:tcPr>
            <w:tcW w:w="2464" w:type="dxa"/>
            <w:vAlign w:val="center"/>
          </w:tcPr>
          <w:p>
            <w:pPr>
              <w:pStyle w:val="16"/>
            </w:pPr>
            <w:r>
              <w:t>行政</w:t>
            </w:r>
          </w:p>
        </w:tc>
        <w:tc>
          <w:tcPr>
            <w:tcW w:w="2464" w:type="dxa"/>
            <w:vAlign w:val="center"/>
          </w:tcPr>
          <w:p>
            <w:pPr>
              <w:pStyle w:val="16"/>
            </w:pPr>
            <w:r>
              <w:t>正科级</w:t>
            </w:r>
          </w:p>
        </w:tc>
        <w:tc>
          <w:tcPr>
            <w:tcW w:w="2464" w:type="dxa"/>
            <w:vAlign w:val="center"/>
          </w:tcPr>
          <w:p>
            <w:pPr>
              <w:pStyle w:val="16"/>
            </w:pPr>
            <w:r>
              <w:t>财政拨款</w:t>
            </w:r>
          </w:p>
        </w:tc>
      </w:tr>
    </w:tbl>
    <w:p>
      <w:pPr>
        <w:spacing w:before="10" w:after="10" w:line="360" w:lineRule="auto"/>
        <w:ind w:firstLine="640"/>
        <w:jc w:val="left"/>
        <w:outlineLvl w:val="2"/>
      </w:pPr>
      <w:bookmarkStart w:id="10" w:name="_Toc18857"/>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按照预算管理有关规定，目前我省部门预算的编制实行综合预算管理，即全部收入和支出都反映在预算中。中共石家庄市藁城区委巡察工作领导小组办公室机关及所属事业单位的收支包含在部门预算中。</w:t>
      </w:r>
    </w:p>
    <w:p>
      <w:pPr>
        <w:pStyle w:val="21"/>
      </w:pPr>
      <w:r>
        <w:t>1、收入说明</w:t>
      </w:r>
    </w:p>
    <w:p>
      <w:pPr>
        <w:pStyle w:val="21"/>
      </w:pPr>
      <w:r>
        <w:t>反映本部门当年全部收入。2023年</w:t>
      </w:r>
      <w:r>
        <w:rPr>
          <w:rFonts w:hint="eastAsia"/>
        </w:rPr>
        <w:t>本部门</w:t>
      </w:r>
      <w:r>
        <w:t>预算收入461.98万元，其中：一般公共预算收入461.98万元，基金预算收入0万元，财政专户核拨收入0万元，其他来源收入0万元。</w:t>
      </w:r>
    </w:p>
    <w:p>
      <w:pPr>
        <w:pStyle w:val="21"/>
      </w:pPr>
    </w:p>
    <w:p>
      <w:pPr>
        <w:pStyle w:val="21"/>
      </w:pPr>
      <w:r>
        <w:t>2、支出说明</w:t>
      </w:r>
    </w:p>
    <w:p>
      <w:pPr>
        <w:pStyle w:val="21"/>
      </w:pPr>
      <w:r>
        <w:t>收支预算总表支出栏、基本支出表、项目支出表按经济分类和支出功能分类科目编制，反映本部门预算中支出预算的总体情况。2023年</w:t>
      </w:r>
      <w:r>
        <w:rPr>
          <w:rFonts w:hint="eastAsia"/>
          <w:lang w:val="en-US" w:eastAsia="zh-CN"/>
        </w:rPr>
        <w:t>本</w:t>
      </w:r>
      <w:r>
        <w:t>部门支出预算为461.98万元，其中基本支出347.98万元，包括人员经费316.33万元和日常公用经费31.65万元；项目支出114万元，主要为巡视巡察专项工作经费。</w:t>
      </w:r>
    </w:p>
    <w:p>
      <w:pPr>
        <w:pStyle w:val="21"/>
      </w:pPr>
      <w:r>
        <w:t>3、比上年增减情况</w:t>
      </w:r>
    </w:p>
    <w:p>
      <w:pPr>
        <w:pStyle w:val="21"/>
        <w:rPr>
          <w:rFonts w:hint="eastAsia" w:eastAsia="方正仿宋_GBK"/>
          <w:lang w:eastAsia="zh-CN"/>
        </w:rPr>
      </w:pPr>
      <w:r>
        <w:t>2023年</w:t>
      </w:r>
      <w:r>
        <w:rPr>
          <w:rFonts w:hint="eastAsia"/>
          <w:lang w:val="en-US" w:eastAsia="zh-CN"/>
        </w:rPr>
        <w:t>本</w:t>
      </w:r>
      <w:r>
        <w:t>部门预算收支安排461.98万元，较2022年增加77.57万元，其中：主要是项目经费增加76万元</w:t>
      </w:r>
      <w:r>
        <w:rPr>
          <w:rFonts w:hint="eastAsia"/>
          <w:lang w:eastAsia="zh-CN"/>
        </w:rPr>
        <w:t>。</w:t>
      </w:r>
    </w:p>
    <w:p>
      <w:pPr>
        <w:spacing w:before="10" w:after="10" w:line="360" w:lineRule="auto"/>
        <w:ind w:firstLine="640"/>
        <w:jc w:val="left"/>
        <w:outlineLvl w:val="2"/>
      </w:pPr>
      <w:bookmarkStart w:id="11" w:name="_Toc25019"/>
      <w:r>
        <w:rPr>
          <w:rFonts w:ascii="黑体" w:hAnsi="黑体" w:eastAsia="黑体" w:cs="黑体"/>
          <w:color w:val="000000"/>
          <w:sz w:val="32"/>
        </w:rPr>
        <w:t>三、机关运行经费安排情况</w:t>
      </w:r>
      <w:bookmarkEnd w:id="11"/>
    </w:p>
    <w:p>
      <w:pPr>
        <w:pStyle w:val="22"/>
      </w:pPr>
      <w:r>
        <w:t>2023年，</w:t>
      </w:r>
      <w:r>
        <w:rPr>
          <w:rFonts w:hint="eastAsia"/>
          <w:lang w:val="en-US" w:eastAsia="zh-CN"/>
        </w:rPr>
        <w:t>本</w:t>
      </w:r>
      <w:r>
        <w:t>部门机关运行经费共计安排31.65万元，主要用于保证机关正常运转的办公及印刷费、邮电费、差旅费、会议费、福利费等支出。</w:t>
      </w:r>
    </w:p>
    <w:p>
      <w:pPr>
        <w:spacing w:before="10" w:after="10" w:line="360" w:lineRule="auto"/>
        <w:ind w:firstLine="640"/>
        <w:jc w:val="left"/>
        <w:outlineLvl w:val="2"/>
      </w:pPr>
      <w:bookmarkStart w:id="12" w:name="_Toc6145"/>
      <w:r>
        <w:rPr>
          <w:rFonts w:ascii="黑体" w:hAnsi="黑体" w:eastAsia="黑体" w:cs="黑体"/>
          <w:color w:val="000000"/>
          <w:sz w:val="32"/>
        </w:rPr>
        <w:t>四、财政拨款“三公”经费预算情况及增减变化原因</w:t>
      </w:r>
      <w:bookmarkEnd w:id="12"/>
    </w:p>
    <w:p>
      <w:pPr>
        <w:pStyle w:val="23"/>
      </w:pPr>
      <w:r>
        <w:t>2023年</w:t>
      </w:r>
      <w:r>
        <w:rPr>
          <w:rFonts w:hint="eastAsia"/>
          <w:lang w:eastAsia="zh-CN"/>
        </w:rPr>
        <w:t>，</w:t>
      </w:r>
      <w:r>
        <w:rPr>
          <w:rFonts w:hint="eastAsia"/>
          <w:lang w:val="en-US" w:eastAsia="zh-CN"/>
        </w:rPr>
        <w:t>本</w:t>
      </w:r>
      <w:r>
        <w:t>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0万元，与上年持平，无增减变化。“三公”经费与上年持平，无增减变化。</w:t>
      </w:r>
    </w:p>
    <w:p>
      <w:pPr>
        <w:spacing w:before="10" w:after="10" w:line="360" w:lineRule="auto"/>
        <w:ind w:firstLine="640"/>
        <w:jc w:val="left"/>
        <w:outlineLvl w:val="2"/>
      </w:pPr>
      <w:bookmarkStart w:id="13" w:name="_Toc15022"/>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一、总体绩效目标</w:t>
      </w:r>
    </w:p>
    <w:p>
      <w:pPr>
        <w:pStyle w:val="24"/>
      </w:pPr>
      <w:r>
        <w:t>全面落实党中央和省委、市委关于巡视巡察上下联动决策部署要求，坚持巩固、完善、深化、提升，认真落实“发现问题、形成威慑、推动改革、促进发展”的工作方针，把发现问题作为巡察工作的生命线，把推动解决问题作为巡察工作的落脚点，确保巡察工作的权威性、威慑力、推动力、坚持以巡促改、以巡促建、以巡促治。不断提高巡察质量，推动全面从严治党向基层延伸。</w:t>
      </w:r>
    </w:p>
    <w:p>
      <w:pPr>
        <w:pStyle w:val="24"/>
      </w:pPr>
      <w:r>
        <w:t>坚持以习近平新时代中国特色社会主义思想为指导，全面落实习近平总书记关于巡视工作重要论述和党中央决策部署，贯彻落实省第十次党代会和市第十一次党代会以及区第三次党代会精神，坚决拥护“两个确立”、增强“四个意识”、坚定“四个自信”、做到“两个维护”。通过五年努力实现58个区直部门单位、14个乡镇（区）、1个国有企业、266个村（社区）共299个巡察对象全覆盖。</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pPr>
    </w:p>
    <w:p>
      <w:pPr>
        <w:pStyle w:val="25"/>
      </w:pPr>
      <w:r>
        <w:t>二、分项绩效目标</w:t>
      </w:r>
    </w:p>
    <w:p>
      <w:pPr>
        <w:pStyle w:val="25"/>
      </w:pPr>
      <w:r>
        <w:t>（一）深化上下联动工作格局</w:t>
      </w:r>
    </w:p>
    <w:p>
      <w:pPr>
        <w:pStyle w:val="25"/>
      </w:pPr>
      <w:r>
        <w:t>绩效目标：全面落实党中央和省委、市委关于巡视巡察上下联动决策部署要求，加强组织领导，完善工作机制，强化监督指导，提高规范化水平</w:t>
      </w:r>
    </w:p>
    <w:p>
      <w:pPr>
        <w:pStyle w:val="25"/>
      </w:pPr>
      <w:r>
        <w:t>绩效指标：监督检查党内法规政策、国家法律法规、党风廉政建设“两个责任”等落实执行情况；贯彻落实上级纪委和区委有关部署，开展常态化全覆盖巡察；做好省委巡视组、市委巡察工作联络组的服务保障工作。</w:t>
      </w:r>
    </w:p>
    <w:p>
      <w:pPr>
        <w:pStyle w:val="25"/>
      </w:pPr>
      <w:r>
        <w:t>（二）细化巡察工作提升巡察质量</w:t>
      </w:r>
    </w:p>
    <w:p>
      <w:pPr>
        <w:pStyle w:val="25"/>
      </w:pPr>
      <w:r>
        <w:t>绩效目标：把握基层实际，细化监督内容，因地制宜、分类施策，完成对299个巡查对象的全覆盖。</w:t>
      </w:r>
    </w:p>
    <w:p>
      <w:pPr>
        <w:pStyle w:val="25"/>
      </w:pPr>
      <w:r>
        <w:t>绩效指标:坚持稳中求进，把握工作节奏，对标中央、省委巡视和市委巡察任务安排，实行板块轮动、分类推进，高质量完成三届区委巡察全覆盖任务。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6"/>
      </w:pPr>
      <w:r>
        <w:t>三、工作保障措施</w:t>
      </w:r>
    </w:p>
    <w:p>
      <w:pPr>
        <w:pStyle w:val="26"/>
      </w:pPr>
      <w:r>
        <w:t>（一）强化组织领导。区委要切实履行主体责任，加强对巡察工作的领导，定期研究巡察工作，及时解决问题。区委巡察工作领导小组要及时学习贯彻上级部署要求，推动区委建立健全巡察制度，加强整体设计、提出总体要求、作出统筹部署，及时研究解决全局性重大问题，使基层管党治党严起来、紧起来、硬起来。</w:t>
      </w:r>
    </w:p>
    <w:p>
      <w:pPr>
        <w:pStyle w:val="26"/>
      </w:pPr>
      <w:r>
        <w:t>（二）创新方式方法。要立足基层实际，不断探索创新监督形式、方法、手段。创新组织形式，增强巡察工作的针对性和时效性。创新制度机制，优化工作流程。创新方式方法，使巡察工作形式更加灵活、方法更加多样、成效更加明显。</w:t>
      </w:r>
    </w:p>
    <w:p>
      <w:pPr>
        <w:pStyle w:val="26"/>
      </w:pPr>
      <w:r>
        <w:t>（三）严格依规依纪。进一步健全巡察工作制度，严格依照党规党纪国家法律法规开展巡察工作，重程序、严要求、明界限、守底线。巡察组依靠被巡察党组织开展工作，不干预被巡察单位的正常工作，不履行执纪审查职责。严格请示报告制度，未经批准不对重大问题表态，不隐瞒歪曲捏造事实，不泄露巡察工作秘密，推动巡察工作规范有序开展。</w:t>
      </w:r>
    </w:p>
    <w:p>
      <w:pPr>
        <w:pStyle w:val="26"/>
      </w:pPr>
      <w:r>
        <w:t>（四）完善制度建设。制定完善预算绩效管理制度、资金管理办法、工作保障制度等，为全年预算绩效目标的实现奠定制度基础。</w:t>
      </w:r>
    </w:p>
    <w:p>
      <w:pPr>
        <w:pStyle w:val="26"/>
      </w:pPr>
      <w:r>
        <w:t>（五）加强支出管理。通过优化支出结构、编细编实预算、加快履行政府采购手续、尽快启动项目、及时支付资金、6月底前细化代编预算、按规定及时下达资金等多种措施，确保支出进度达标。</w:t>
      </w:r>
    </w:p>
    <w:p>
      <w:pPr>
        <w:pStyle w:val="26"/>
      </w:pPr>
      <w:r>
        <w:t>（六）加强绩效运行监控。按要求开展绩效运行监控，发现问题及时采取措施，确保绩效目标如期保质实现。</w:t>
      </w:r>
    </w:p>
    <w:p>
      <w:pPr>
        <w:pStyle w:val="26"/>
      </w:pPr>
      <w:r>
        <w:t>（七）做好绩效自评。按要求开展上年度部门预算绩效自评和重点评价工作，对评价中发现的问题及时整改，调整优化支出结构，提高财政资金使用效益。</w:t>
      </w:r>
    </w:p>
    <w:p>
      <w:pPr>
        <w:pStyle w:val="26"/>
      </w:pPr>
      <w:r>
        <w:t>（八）规范财务资产管理。完善财务管理制度，严格审批程序，加强固定资产登记、使用和报废处置管理，做到支出合理，物尽其用。</w:t>
      </w:r>
    </w:p>
    <w:p>
      <w:pPr>
        <w:pStyle w:val="26"/>
      </w:pPr>
      <w:r>
        <w:t>（九）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6"/>
      </w:pPr>
      <w:r>
        <w:t>（十）加强宣传培训调研等。加强人员培训，提高本部门职工业务素质；加强调研，提出优化财政资金配置、提高资金使用效益的</w:t>
      </w:r>
      <w:bookmarkStart w:id="18" w:name="_GoBack"/>
      <w:bookmarkEnd w:id="18"/>
      <w:r>
        <w:t>意见；加大宣传力度，强化预算绩效管理意识，促进预算绩效管理水平进一步提升。</w:t>
      </w:r>
    </w:p>
    <w:p>
      <w:pPr>
        <w:spacing w:before="0" w:after="0"/>
        <w:ind w:firstLine="560"/>
        <w:jc w:val="left"/>
        <w:outlineLvl w:val="9"/>
        <w:rPr>
          <w:rFonts w:ascii="方正仿宋_GBK" w:hAnsi="方正仿宋_GBK" w:eastAsia="方正仿宋_GBK" w:cs="方正仿宋_GBK"/>
          <w:b/>
          <w:color w:val="000000"/>
          <w:sz w:val="28"/>
        </w:rPr>
      </w:pPr>
    </w:p>
    <w:p>
      <w:pPr>
        <w:ind w:firstLine="640" w:firstLineChars="200"/>
      </w:pPr>
      <w:r>
        <w:rPr>
          <w:rFonts w:ascii="方正楷体_GBK" w:hAnsi="方正楷体_GBK" w:eastAsia="方正楷体_GBK" w:cs="方正楷体_GBK"/>
          <w:b/>
          <w:color w:val="000000"/>
          <w:sz w:val="32"/>
        </w:rPr>
        <w:t>第二部分</w:t>
      </w:r>
      <w:r>
        <w:rPr>
          <w:rFonts w:hint="eastAsia" w:ascii="方正楷体_GBK" w:hAnsi="方正楷体_GBK" w:eastAsia="方正楷体_GBK" w:cs="方正楷体_GBK"/>
          <w:b/>
          <w:color w:val="000000"/>
          <w:sz w:val="32"/>
          <w:lang w:val="en-US" w:eastAsia="zh-CN"/>
        </w:rPr>
        <w:t>预算项目</w:t>
      </w:r>
      <w:r>
        <w:rPr>
          <w:rFonts w:ascii="方正楷体_GBK" w:hAnsi="方正楷体_GBK" w:eastAsia="方正楷体_GBK" w:cs="方正楷体_GBK"/>
          <w:b/>
          <w:color w:val="000000"/>
          <w:sz w:val="32"/>
        </w:rPr>
        <w:t>绩效</w:t>
      </w: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1、巡视巡察专项工作经费绩效目标表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 通过巡察工作经费保障巡察工作正常进行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 xml:space="preserve"> 巡察单位数量</w:t>
            </w:r>
          </w:p>
        </w:tc>
        <w:tc>
          <w:tcPr>
            <w:tcW w:w="2466" w:type="dxa"/>
            <w:vAlign w:val="center"/>
          </w:tcPr>
          <w:p>
            <w:pPr>
              <w:pStyle w:val="15"/>
            </w:pPr>
            <w:r>
              <w:t xml:space="preserve"> 巡察单位数量</w:t>
            </w:r>
          </w:p>
        </w:tc>
        <w:tc>
          <w:tcPr>
            <w:tcW w:w="2466" w:type="dxa"/>
            <w:vAlign w:val="center"/>
          </w:tcPr>
          <w:p>
            <w:pPr>
              <w:pStyle w:val="15"/>
            </w:pPr>
            <w:r>
              <w:t>≥60个</w:t>
            </w:r>
          </w:p>
        </w:tc>
        <w:tc>
          <w:tcPr>
            <w:tcW w:w="246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质量指标</w:t>
            </w:r>
          </w:p>
        </w:tc>
        <w:tc>
          <w:tcPr>
            <w:tcW w:w="2466" w:type="dxa"/>
            <w:vAlign w:val="center"/>
          </w:tcPr>
          <w:p>
            <w:pPr>
              <w:pStyle w:val="15"/>
            </w:pPr>
            <w:r>
              <w:t xml:space="preserve"> 巡察完成的质量</w:t>
            </w:r>
          </w:p>
        </w:tc>
        <w:tc>
          <w:tcPr>
            <w:tcW w:w="2466" w:type="dxa"/>
            <w:vAlign w:val="center"/>
          </w:tcPr>
          <w:p>
            <w:pPr>
              <w:pStyle w:val="15"/>
            </w:pPr>
            <w:r>
              <w:t xml:space="preserve"> 提高巡察的质量和效率</w:t>
            </w:r>
          </w:p>
        </w:tc>
        <w:tc>
          <w:tcPr>
            <w:tcW w:w="2466" w:type="dxa"/>
            <w:vAlign w:val="center"/>
          </w:tcPr>
          <w:p>
            <w:pPr>
              <w:pStyle w:val="15"/>
            </w:pPr>
            <w:r>
              <w:t>≥90%</w:t>
            </w:r>
          </w:p>
        </w:tc>
        <w:tc>
          <w:tcPr>
            <w:tcW w:w="246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时效指标</w:t>
            </w:r>
          </w:p>
        </w:tc>
        <w:tc>
          <w:tcPr>
            <w:tcW w:w="2466" w:type="dxa"/>
            <w:vAlign w:val="center"/>
          </w:tcPr>
          <w:p>
            <w:pPr>
              <w:pStyle w:val="15"/>
            </w:pPr>
            <w:r>
              <w:t xml:space="preserve"> 巡察完成的及时率</w:t>
            </w:r>
          </w:p>
        </w:tc>
        <w:tc>
          <w:tcPr>
            <w:tcW w:w="2466" w:type="dxa"/>
            <w:vAlign w:val="center"/>
          </w:tcPr>
          <w:p>
            <w:pPr>
              <w:pStyle w:val="15"/>
            </w:pPr>
            <w:r>
              <w:t xml:space="preserve"> 在规定的时间内完成巡察任务</w:t>
            </w:r>
          </w:p>
        </w:tc>
        <w:tc>
          <w:tcPr>
            <w:tcW w:w="2466" w:type="dxa"/>
            <w:vAlign w:val="center"/>
          </w:tcPr>
          <w:p>
            <w:pPr>
              <w:pStyle w:val="15"/>
            </w:pPr>
            <w:r>
              <w:t>≥95%</w:t>
            </w:r>
          </w:p>
        </w:tc>
        <w:tc>
          <w:tcPr>
            <w:tcW w:w="246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预算控制数</w:t>
            </w:r>
          </w:p>
        </w:tc>
        <w:tc>
          <w:tcPr>
            <w:tcW w:w="2466" w:type="dxa"/>
            <w:vAlign w:val="center"/>
          </w:tcPr>
          <w:p>
            <w:pPr>
              <w:pStyle w:val="15"/>
            </w:pPr>
            <w:r>
              <w:t>≤114万元</w:t>
            </w:r>
          </w:p>
        </w:tc>
        <w:tc>
          <w:tcPr>
            <w:tcW w:w="2466"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各项工作顺利开展</w:t>
            </w:r>
          </w:p>
        </w:tc>
        <w:tc>
          <w:tcPr>
            <w:tcW w:w="2466" w:type="dxa"/>
            <w:vAlign w:val="center"/>
          </w:tcPr>
          <w:p>
            <w:pPr>
              <w:pStyle w:val="15"/>
            </w:pPr>
            <w:r>
              <w:t xml:space="preserve"> 各项工作统筹兼顾顺利开展</w:t>
            </w:r>
          </w:p>
        </w:tc>
        <w:tc>
          <w:tcPr>
            <w:tcW w:w="2466" w:type="dxa"/>
            <w:vAlign w:val="center"/>
          </w:tcPr>
          <w:p>
            <w:pPr>
              <w:pStyle w:val="15"/>
            </w:pPr>
            <w:r>
              <w:t xml:space="preserve"> 较上年提升</w:t>
            </w:r>
          </w:p>
        </w:tc>
        <w:tc>
          <w:tcPr>
            <w:tcW w:w="246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 xml:space="preserve"> 服务对象的满意度</w:t>
            </w:r>
          </w:p>
        </w:tc>
        <w:tc>
          <w:tcPr>
            <w:tcW w:w="2466" w:type="dxa"/>
            <w:vAlign w:val="center"/>
          </w:tcPr>
          <w:p>
            <w:pPr>
              <w:pStyle w:val="15"/>
            </w:pPr>
            <w:r>
              <w:t xml:space="preserve"> 受益对象满意度</w:t>
            </w:r>
          </w:p>
        </w:tc>
        <w:tc>
          <w:tcPr>
            <w:tcW w:w="2466" w:type="dxa"/>
            <w:vAlign w:val="center"/>
          </w:tcPr>
          <w:p>
            <w:pPr>
              <w:pStyle w:val="15"/>
            </w:pPr>
            <w:r>
              <w:t>≥90%</w:t>
            </w:r>
          </w:p>
        </w:tc>
        <w:tc>
          <w:tcPr>
            <w:tcW w:w="2466" w:type="dxa"/>
            <w:vAlign w:val="center"/>
          </w:tcPr>
          <w:p>
            <w:pPr>
              <w:pStyle w:val="15"/>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4" w:name="_Toc3260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2023年，中共石家庄市藁城区委巡察工作领导小组办公室安排政府采购预算0.00万元。具体内容见下表。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223中共石家庄市藁城区委巡察工作领导小组办公室</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2959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中共石家庄市藁城区委巡察工作领导小组办公室（含所属单位）上年末固定资产金额为25.29万元（详见下表）。本年度拟购置固定资产总额为0.00万元，已按要求列入政府采购预算，详见政府采购预算表。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223中共石家庄市藁城区委巡察工作领导小组办公室</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25.29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45</w:t>
            </w:r>
          </w:p>
        </w:tc>
        <w:tc>
          <w:tcPr>
            <w:tcW w:w="4933" w:type="dxa"/>
            <w:vAlign w:val="center"/>
          </w:tcPr>
          <w:p>
            <w:pPr>
              <w:pStyle w:val="14"/>
            </w:pPr>
            <w:r>
              <w:t>25.29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14001"/>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firstLineChars="20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firstLineChars="200"/>
        <w:jc w:val="left"/>
        <w:outlineLvl w:val="2"/>
      </w:pPr>
      <w:bookmarkStart w:id="17" w:name="_Toc6634"/>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both"/>
        <w:outlineLvl w:val="9"/>
      </w:pP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华文宋体">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9C92488"/>
    <w:rsid w:val="111C4933"/>
    <w:rsid w:val="14393359"/>
    <w:rsid w:val="15F449DB"/>
    <w:rsid w:val="27E84A52"/>
    <w:rsid w:val="2901142C"/>
    <w:rsid w:val="2FAC6A44"/>
    <w:rsid w:val="4F4E75AE"/>
    <w:rsid w:val="4FCA598B"/>
    <w:rsid w:val="5581278B"/>
    <w:rsid w:val="60B82919"/>
    <w:rsid w:val="65163B2C"/>
    <w:rsid w:val="65862E2D"/>
    <w:rsid w:val="6B0B6D2F"/>
    <w:rsid w:val="6D13651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5.xml"/><Relationship Id="rId8" Type="http://schemas.openxmlformats.org/officeDocument/2006/relationships/customXml" Target="../customXml/item4.xml"/><Relationship Id="rId7" Type="http://schemas.openxmlformats.org/officeDocument/2006/relationships/customXml" Target="../customXml/item3.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5.xml"/><Relationship Id="rId18" Type="http://schemas.openxmlformats.org/officeDocument/2006/relationships/customXml" Target="../customXml/item14.xml"/><Relationship Id="rId17" Type="http://schemas.openxmlformats.org/officeDocument/2006/relationships/customXml" Target="../customXml/item13.xml"/><Relationship Id="rId16" Type="http://schemas.openxmlformats.org/officeDocument/2006/relationships/customXml" Target="../customXml/item12.xml"/><Relationship Id="rId15" Type="http://schemas.openxmlformats.org/officeDocument/2006/relationships/customXml" Target="../customXml/item11.xml"/><Relationship Id="rId14" Type="http://schemas.openxmlformats.org/officeDocument/2006/relationships/customXml" Target="../customXml/item10.xml"/><Relationship Id="rId13" Type="http://schemas.openxmlformats.org/officeDocument/2006/relationships/customXml" Target="../customXml/item9.xml"/><Relationship Id="rId12" Type="http://schemas.openxmlformats.org/officeDocument/2006/relationships/customXml" Target="../customXml/item8.xml"/><Relationship Id="rId11" Type="http://schemas.openxmlformats.org/officeDocument/2006/relationships/customXml" Target="../customXml/item7.xml"/><Relationship Id="rId10" Type="http://schemas.openxmlformats.org/officeDocument/2006/relationships/customXml" Target="../customXml/item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2023-01-30T16:59:03Z</dcterms:created>
  <dcterms:modified xsi:type="dcterms:W3CDTF">2023-01-30T08:59:03Z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2023-01-30T16:58:51Z</dcterms:created>
  <dcterms:modified xsi:type="dcterms:W3CDTF">2023-01-30T08:58:51Z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2023-01-30T16:58:52Z</dcterms:created>
  <dcterms:modified xsi:type="dcterms:W3CDTF">2023-01-30T08:58:52Z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2023-01-30T16:58:53Z</dcterms:created>
  <dcterms:modified xsi:type="dcterms:W3CDTF">2023-01-30T08:58:53Z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2023-01-30T16:59:01Z</dcterms:created>
  <dcterms:modified xsi:type="dcterms:W3CDTF">2023-01-30T08:59:01Z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2023-01-30T16:58:51Z</dcterms:created>
  <dcterms:modified xsi:type="dcterms:W3CDTF">2023-01-30T08:58:51Z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2023-01-30T16:59:02Z</dcterms:created>
  <dcterms:modified xsi:type="dcterms:W3CDTF">2023-01-30T08:59:02Z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23bf2974-1a98-43cb-8c56-23f194f55544}">
  <ds:schemaRefs/>
</ds:datastoreItem>
</file>

<file path=customXml/itemProps11.xml><?xml version="1.0" encoding="utf-8"?>
<ds:datastoreItem xmlns:ds="http://schemas.openxmlformats.org/officeDocument/2006/customXml" ds:itemID="{5c8a5f3e-2f89-4272-a768-4ea50007e67c}">
  <ds:schemaRefs/>
</ds:datastoreItem>
</file>

<file path=customXml/itemProps12.xml><?xml version="1.0" encoding="utf-8"?>
<ds:datastoreItem xmlns:ds="http://schemas.openxmlformats.org/officeDocument/2006/customXml" ds:itemID="{54d5b3f3-06e6-4f64-98cf-4f326d6ac992}">
  <ds:schemaRefs/>
</ds:datastoreItem>
</file>

<file path=customXml/itemProps13.xml><?xml version="1.0" encoding="utf-8"?>
<ds:datastoreItem xmlns:ds="http://schemas.openxmlformats.org/officeDocument/2006/customXml" ds:itemID="{ae823fc6-50dd-434d-921a-8f5b756d9ed1}">
  <ds:schemaRefs/>
</ds:datastoreItem>
</file>

<file path=customXml/itemProps14.xml><?xml version="1.0" encoding="utf-8"?>
<ds:datastoreItem xmlns:ds="http://schemas.openxmlformats.org/officeDocument/2006/customXml" ds:itemID="{237966d7-7c34-4768-a51c-3f7a24f02f70}">
  <ds:schemaRefs/>
</ds:datastoreItem>
</file>

<file path=customXml/itemProps15.xml><?xml version="1.0" encoding="utf-8"?>
<ds:datastoreItem xmlns:ds="http://schemas.openxmlformats.org/officeDocument/2006/customXml" ds:itemID="{b08f79c4-859e-4fd0-8b09-683a3b11d57f}">
  <ds:schemaRefs/>
</ds:datastoreItem>
</file>

<file path=customXml/itemProps2.xml><?xml version="1.0" encoding="utf-8"?>
<ds:datastoreItem xmlns:ds="http://schemas.openxmlformats.org/officeDocument/2006/customXml" ds:itemID="{13012dda-886a-40b5-94fa-8a66da73a9c6}">
  <ds:schemaRefs/>
</ds:datastoreItem>
</file>

<file path=customXml/itemProps3.xml><?xml version="1.0" encoding="utf-8"?>
<ds:datastoreItem xmlns:ds="http://schemas.openxmlformats.org/officeDocument/2006/customXml" ds:itemID="{e5486e7e-b9e7-4497-b0b1-b23bc3682ab4}">
  <ds:schemaRefs/>
</ds:datastoreItem>
</file>

<file path=customXml/itemProps4.xml><?xml version="1.0" encoding="utf-8"?>
<ds:datastoreItem xmlns:ds="http://schemas.openxmlformats.org/officeDocument/2006/customXml" ds:itemID="{845ff20c-e110-4980-ad49-a834d9b73558}">
  <ds:schemaRefs/>
</ds:datastoreItem>
</file>

<file path=customXml/itemProps5.xml><?xml version="1.0" encoding="utf-8"?>
<ds:datastoreItem xmlns:ds="http://schemas.openxmlformats.org/officeDocument/2006/customXml" ds:itemID="{4dac2795-f62d-48ff-91aa-028b07e03110}">
  <ds:schemaRefs/>
</ds:datastoreItem>
</file>

<file path=customXml/itemProps6.xml><?xml version="1.0" encoding="utf-8"?>
<ds:datastoreItem xmlns:ds="http://schemas.openxmlformats.org/officeDocument/2006/customXml" ds:itemID="{9f30c765-bfbf-4eb7-a369-945e1a748676}">
  <ds:schemaRefs/>
</ds:datastoreItem>
</file>

<file path=customXml/itemProps7.xml><?xml version="1.0" encoding="utf-8"?>
<ds:datastoreItem xmlns:ds="http://schemas.openxmlformats.org/officeDocument/2006/customXml" ds:itemID="{ef0521dd-a71d-430f-b07d-0594f7f6febb}">
  <ds:schemaRefs/>
</ds:datastoreItem>
</file>

<file path=customXml/itemProps8.xml><?xml version="1.0" encoding="utf-8"?>
<ds:datastoreItem xmlns:ds="http://schemas.openxmlformats.org/officeDocument/2006/customXml" ds:itemID="{cae469bf-0867-4853-ac11-7c72fb27359f}">
  <ds:schemaRefs/>
</ds:datastoreItem>
</file>

<file path=customXml/itemProps9.xml><?xml version="1.0" encoding="utf-8"?>
<ds:datastoreItem xmlns:ds="http://schemas.openxmlformats.org/officeDocument/2006/customXml" ds:itemID="{b89c7e3c-c73c-4ad9-9588-160a1170f85e}">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2023-01-30T16:59:00Z</dcterms:created>
  <dc:creator>pc</dc:creator>
  <cp:lastModifiedBy>pc</cp:lastModifiedBy>
  <dcterms:modified xsi:type="dcterms:W3CDTF">2024-09-18T02:57:32Z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