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r>
        <w:rPr>
          <w:rFonts w:ascii="黑体" w:hAnsi="黑体" w:eastAsia="黑体" w:cs="黑体"/>
          <w:b/>
          <w:color w:val="000000"/>
          <w:sz w:val="44"/>
        </w:rPr>
        <w:t>中共石家庄市藁城区委办公室部门2023年度预算公开</w:t>
      </w:r>
    </w:p>
    <w:p>
      <w:pPr>
        <w:spacing w:before="0" w:after="0" w:line="240" w:lineRule="auto"/>
        <w:ind w:firstLine="0"/>
        <w:jc w:val="center"/>
        <w:outlineLvl w:val="0"/>
      </w:pP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800"/>
        </w:tabs>
      </w:pPr>
      <w:r>
        <w:fldChar w:fldCharType="begin"/>
      </w:r>
      <w:r>
        <w:instrText xml:space="preserve">TOC \o "2-2" \h \z \u</w:instrText>
      </w:r>
      <w:r>
        <w:fldChar w:fldCharType="separate"/>
      </w:r>
      <w:r>
        <w:fldChar w:fldCharType="begin"/>
      </w:r>
      <w:r>
        <w:instrText xml:space="preserve"> HYPERLINK \l _Toc1025202362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_Toc1025202362 </w:instrText>
      </w:r>
      <w:r>
        <w:fldChar w:fldCharType="separate"/>
      </w:r>
      <w:r>
        <w:t>2</w:t>
      </w:r>
      <w:r>
        <w:fldChar w:fldCharType="end"/>
      </w:r>
      <w:r>
        <w:fldChar w:fldCharType="end"/>
      </w:r>
    </w:p>
    <w:p>
      <w:pPr>
        <w:pStyle w:val="5"/>
        <w:tabs>
          <w:tab w:val="right" w:leader="dot" w:pos="14800"/>
        </w:tabs>
      </w:pPr>
      <w:r>
        <w:fldChar w:fldCharType="begin"/>
      </w:r>
      <w:r>
        <w:instrText xml:space="preserve"> HYPERLINK \l _Toc1350490027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_Toc1350490027 </w:instrText>
      </w:r>
      <w:r>
        <w:fldChar w:fldCharType="separate"/>
      </w:r>
      <w:r>
        <w:t>5</w:t>
      </w:r>
      <w:r>
        <w:fldChar w:fldCharType="end"/>
      </w:r>
      <w:r>
        <w:fldChar w:fldCharType="end"/>
      </w:r>
    </w:p>
    <w:p>
      <w:pPr>
        <w:pStyle w:val="5"/>
        <w:tabs>
          <w:tab w:val="right" w:leader="dot" w:pos="14800"/>
        </w:tabs>
      </w:pPr>
      <w:r>
        <w:fldChar w:fldCharType="begin"/>
      </w:r>
      <w:r>
        <w:instrText xml:space="preserve"> HYPERLINK \l _Toc783368690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_Toc783368690 </w:instrText>
      </w:r>
      <w:r>
        <w:fldChar w:fldCharType="separate"/>
      </w:r>
      <w:r>
        <w:t>7</w:t>
      </w:r>
      <w:r>
        <w:fldChar w:fldCharType="end"/>
      </w:r>
      <w:r>
        <w:fldChar w:fldCharType="end"/>
      </w:r>
    </w:p>
    <w:p>
      <w:pPr>
        <w:pStyle w:val="5"/>
        <w:tabs>
          <w:tab w:val="right" w:leader="dot" w:pos="14800"/>
        </w:tabs>
      </w:pPr>
      <w:r>
        <w:fldChar w:fldCharType="begin"/>
      </w:r>
      <w:r>
        <w:instrText xml:space="preserve"> HYPERLINK \l _Toc1102520059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_Toc1102520059 </w:instrText>
      </w:r>
      <w:r>
        <w:fldChar w:fldCharType="separate"/>
      </w:r>
      <w:r>
        <w:t>8</w:t>
      </w:r>
      <w:r>
        <w:fldChar w:fldCharType="end"/>
      </w:r>
      <w:r>
        <w:fldChar w:fldCharType="end"/>
      </w:r>
    </w:p>
    <w:p>
      <w:pPr>
        <w:pStyle w:val="5"/>
        <w:tabs>
          <w:tab w:val="right" w:leader="dot" w:pos="14800"/>
        </w:tabs>
      </w:pPr>
      <w:r>
        <w:fldChar w:fldCharType="begin"/>
      </w:r>
      <w:r>
        <w:instrText xml:space="preserve"> HYPERLINK \l _Toc2044897763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_Toc2044897763 </w:instrText>
      </w:r>
      <w:r>
        <w:fldChar w:fldCharType="separate"/>
      </w:r>
      <w:r>
        <w:t>14</w:t>
      </w:r>
      <w:r>
        <w:fldChar w:fldCharType="end"/>
      </w:r>
      <w:r>
        <w:fldChar w:fldCharType="end"/>
      </w:r>
    </w:p>
    <w:p>
      <w:pPr>
        <w:pStyle w:val="5"/>
        <w:tabs>
          <w:tab w:val="right" w:leader="dot" w:pos="14800"/>
        </w:tabs>
      </w:pPr>
      <w:r>
        <w:fldChar w:fldCharType="begin"/>
      </w:r>
      <w:r>
        <w:instrText xml:space="preserve"> HYPERLINK \l _Toc1967513926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_Toc1967513926 </w:instrText>
      </w:r>
      <w:r>
        <w:fldChar w:fldCharType="separate"/>
      </w:r>
      <w:r>
        <w:t>15</w:t>
      </w:r>
      <w:r>
        <w:fldChar w:fldCharType="end"/>
      </w:r>
      <w:r>
        <w:fldChar w:fldCharType="end"/>
      </w:r>
    </w:p>
    <w:p>
      <w:pPr>
        <w:pStyle w:val="5"/>
        <w:tabs>
          <w:tab w:val="right" w:leader="dot" w:pos="14800"/>
        </w:tabs>
      </w:pPr>
      <w:r>
        <w:fldChar w:fldCharType="begin"/>
      </w:r>
      <w:r>
        <w:instrText xml:space="preserve"> HYPERLINK \l _Toc1365180540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_Toc1365180540 </w:instrText>
      </w:r>
      <w:r>
        <w:fldChar w:fldCharType="separate"/>
      </w:r>
      <w:r>
        <w:t>17</w:t>
      </w:r>
      <w:r>
        <w:fldChar w:fldCharType="end"/>
      </w:r>
      <w:r>
        <w:fldChar w:fldCharType="end"/>
      </w:r>
    </w:p>
    <w:p>
      <w:pPr>
        <w:pStyle w:val="5"/>
        <w:tabs>
          <w:tab w:val="right" w:leader="dot" w:pos="14800"/>
        </w:tabs>
      </w:pPr>
      <w:r>
        <w:fldChar w:fldCharType="begin"/>
      </w:r>
      <w:r>
        <w:instrText xml:space="preserve"> HYPERLINK \l _Toc1540383426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_Toc1540383426 </w:instrText>
      </w:r>
      <w:r>
        <w:fldChar w:fldCharType="separate"/>
      </w:r>
      <w:r>
        <w:t>18</w:t>
      </w:r>
      <w:r>
        <w:fldChar w:fldCharType="end"/>
      </w:r>
      <w:r>
        <w:fldChar w:fldCharType="end"/>
      </w:r>
    </w:p>
    <w:p>
      <w:pPr>
        <w:pStyle w:val="5"/>
        <w:tabs>
          <w:tab w:val="right" w:leader="dot" w:pos="14800"/>
        </w:tabs>
      </w:pPr>
      <w:r>
        <w:fldChar w:fldCharType="begin"/>
      </w:r>
      <w:r>
        <w:instrText xml:space="preserve"> HYPERLINK \l _Toc304089172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_Toc304089172 </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_Toc846930886 </w:instrText>
      </w:r>
      <w:r>
        <w:fldChar w:fldCharType="separate"/>
      </w:r>
      <w:r>
        <w:rPr>
          <w:rFonts w:ascii="黑体" w:hAnsi="黑体" w:eastAsia="黑体" w:cs="黑体"/>
        </w:rPr>
        <w:t>一、部门职责及机构设置情况</w:t>
      </w:r>
      <w:r>
        <w:tab/>
      </w:r>
      <w:r>
        <w:fldChar w:fldCharType="begin"/>
      </w:r>
      <w:r>
        <w:instrText xml:space="preserve"> PAGEREF _Toc846930886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_Toc1681692777 </w:instrText>
      </w:r>
      <w:r>
        <w:fldChar w:fldCharType="separate"/>
      </w:r>
      <w:r>
        <w:rPr>
          <w:rFonts w:ascii="黑体" w:hAnsi="黑体" w:eastAsia="黑体" w:cs="黑体"/>
        </w:rPr>
        <w:t>二、部门预算安排的总体情况</w:t>
      </w:r>
      <w:r>
        <w:tab/>
      </w:r>
      <w:r>
        <w:fldChar w:fldCharType="begin"/>
      </w:r>
      <w:r>
        <w:instrText xml:space="preserve"> PAGEREF _Toc1681692777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_Toc1714636915 </w:instrText>
      </w:r>
      <w:r>
        <w:fldChar w:fldCharType="separate"/>
      </w:r>
      <w:r>
        <w:rPr>
          <w:rFonts w:ascii="黑体" w:hAnsi="黑体" w:eastAsia="黑体" w:cs="黑体"/>
        </w:rPr>
        <w:t>三、机关运行经费安排情况</w:t>
      </w:r>
      <w:r>
        <w:tab/>
      </w:r>
      <w:r>
        <w:fldChar w:fldCharType="begin"/>
      </w:r>
      <w:r>
        <w:instrText xml:space="preserve"> PAGEREF _Toc1714636915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_Toc1957747793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_Toc1957747793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_Toc424238335 </w:instrText>
      </w:r>
      <w:r>
        <w:fldChar w:fldCharType="separate"/>
      </w:r>
      <w:r>
        <w:rPr>
          <w:rFonts w:ascii="黑体" w:hAnsi="黑体" w:eastAsia="黑体" w:cs="黑体"/>
        </w:rPr>
        <w:t>五、预算绩效信息</w:t>
      </w:r>
      <w:r>
        <w:tab/>
      </w:r>
      <w:r>
        <w:fldChar w:fldCharType="begin"/>
      </w:r>
      <w:r>
        <w:instrText xml:space="preserve"> PAGEREF _Toc424238335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_Toc719885386 </w:instrText>
      </w:r>
      <w:r>
        <w:fldChar w:fldCharType="separate"/>
      </w:r>
      <w:r>
        <w:rPr>
          <w:rFonts w:ascii="黑体" w:hAnsi="黑体" w:eastAsia="黑体" w:cs="黑体"/>
        </w:rPr>
        <w:t>六、政府采购预算情况</w:t>
      </w:r>
      <w:r>
        <w:tab/>
      </w:r>
      <w:r>
        <w:fldChar w:fldCharType="begin"/>
      </w:r>
      <w:r>
        <w:instrText xml:space="preserve"> PAGEREF _Toc719885386 </w:instrText>
      </w:r>
      <w:r>
        <w:fldChar w:fldCharType="separate"/>
      </w:r>
      <w:r>
        <w:t>37</w:t>
      </w:r>
      <w:r>
        <w:fldChar w:fldCharType="end"/>
      </w:r>
      <w:r>
        <w:fldChar w:fldCharType="end"/>
      </w:r>
    </w:p>
    <w:p>
      <w:pPr>
        <w:pStyle w:val="2"/>
        <w:tabs>
          <w:tab w:val="right" w:leader="dot" w:pos="14800"/>
        </w:tabs>
      </w:pPr>
      <w:r>
        <w:fldChar w:fldCharType="begin"/>
      </w:r>
      <w:r>
        <w:instrText xml:space="preserve"> HYPERLINK \l _Toc1649760492 </w:instrText>
      </w:r>
      <w:r>
        <w:fldChar w:fldCharType="separate"/>
      </w:r>
      <w:r>
        <w:rPr>
          <w:rFonts w:ascii="黑体" w:hAnsi="黑体" w:eastAsia="黑体" w:cs="黑体"/>
        </w:rPr>
        <w:t>七、国有资产信息</w:t>
      </w:r>
      <w:r>
        <w:tab/>
      </w:r>
      <w:r>
        <w:fldChar w:fldCharType="begin"/>
      </w:r>
      <w:r>
        <w:instrText xml:space="preserve"> PAGEREF _Toc1649760492 </w:instrText>
      </w:r>
      <w:r>
        <w:fldChar w:fldCharType="separate"/>
      </w:r>
      <w:r>
        <w:t>37</w:t>
      </w:r>
      <w:r>
        <w:fldChar w:fldCharType="end"/>
      </w:r>
      <w:r>
        <w:fldChar w:fldCharType="end"/>
      </w:r>
    </w:p>
    <w:p>
      <w:pPr>
        <w:pStyle w:val="2"/>
        <w:tabs>
          <w:tab w:val="right" w:leader="dot" w:pos="14800"/>
        </w:tabs>
      </w:pPr>
      <w:r>
        <w:fldChar w:fldCharType="begin"/>
      </w:r>
      <w:r>
        <w:instrText xml:space="preserve"> HYPERLINK \l _Toc596516649 </w:instrText>
      </w:r>
      <w:r>
        <w:fldChar w:fldCharType="separate"/>
      </w:r>
      <w:r>
        <w:rPr>
          <w:rFonts w:ascii="黑体" w:hAnsi="黑体" w:eastAsia="黑体" w:cs="黑体"/>
        </w:rPr>
        <w:t>八、名词解释</w:t>
      </w:r>
      <w:r>
        <w:tab/>
      </w:r>
      <w:r>
        <w:fldChar w:fldCharType="begin"/>
      </w:r>
      <w:r>
        <w:instrText xml:space="preserve"> PAGEREF _Toc596516649 </w:instrText>
      </w:r>
      <w:r>
        <w:fldChar w:fldCharType="separate"/>
      </w:r>
      <w:r>
        <w:t>38</w:t>
      </w:r>
      <w:r>
        <w:fldChar w:fldCharType="end"/>
      </w:r>
      <w:r>
        <w:fldChar w:fldCharType="end"/>
      </w:r>
    </w:p>
    <w:p>
      <w:pPr>
        <w:pStyle w:val="2"/>
        <w:tabs>
          <w:tab w:val="right" w:leader="dot" w:pos="14800"/>
        </w:tabs>
      </w:pPr>
      <w:r>
        <w:fldChar w:fldCharType="begin"/>
      </w:r>
      <w:r>
        <w:instrText xml:space="preserve"> HYPERLINK \l _Toc1189641421 </w:instrText>
      </w:r>
      <w:r>
        <w:fldChar w:fldCharType="separate"/>
      </w:r>
      <w:r>
        <w:rPr>
          <w:rFonts w:ascii="黑体" w:hAnsi="黑体" w:eastAsia="黑体" w:cs="黑体"/>
        </w:rPr>
        <w:t>九、其他需要说明的事项</w:t>
      </w:r>
      <w:r>
        <w:tab/>
      </w:r>
      <w:r>
        <w:fldChar w:fldCharType="begin"/>
      </w:r>
      <w:r>
        <w:instrText xml:space="preserve"> PAGEREF _Toc1189641421 </w:instrText>
      </w:r>
      <w:r>
        <w:fldChar w:fldCharType="separate"/>
      </w:r>
      <w:r>
        <w:t>39</w:t>
      </w:r>
      <w:r>
        <w:fldChar w:fldCharType="end"/>
      </w:r>
      <w:r>
        <w:fldChar w:fldCharType="end"/>
      </w:r>
    </w:p>
    <w:p>
      <w:pPr>
        <w:rPr>
          <w:rFonts w:ascii="方正小标宋_GBK" w:hAnsi="方正小标宋_GBK" w:eastAsia="方正小标宋_GBK" w:cs="方正小标宋_GBK"/>
          <w:color w:val="000000"/>
          <w:sz w:val="36"/>
        </w:rPr>
      </w:pPr>
      <w:r>
        <w:fldChar w:fldCharType="end"/>
      </w:r>
    </w:p>
    <w:p>
      <w:pPr>
        <w:spacing w:before="0" w:after="0" w:line="240" w:lineRule="auto"/>
        <w:ind w:firstLine="0"/>
        <w:jc w:val="center"/>
        <w:outlineLvl w:val="1"/>
      </w:pPr>
      <w:bookmarkStart w:id="0" w:name="_Toc1025202362"/>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2126" w:type="dxa"/>
            <w:tcBorders>
              <w:top w:val="single" w:color="FFFFFF" w:sz="6" w:space="0"/>
              <w:left w:val="single" w:color="FFFFFF" w:sz="6" w:space="0"/>
              <w:right w:val="single" w:color="FFFFFF" w:sz="6" w:space="0"/>
            </w:tcBorders>
            <w:vAlign w:val="center"/>
          </w:tcPr>
          <w:p>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1338.27</w:t>
            </w:r>
          </w:p>
        </w:tc>
        <w:tc>
          <w:tcPr>
            <w:tcW w:w="4535" w:type="dxa"/>
            <w:vAlign w:val="center"/>
          </w:tcPr>
          <w:p>
            <w:pPr>
              <w:pStyle w:val="15"/>
            </w:pPr>
            <w:r>
              <w:t>一、一般公共服务支出</w:t>
            </w:r>
          </w:p>
        </w:tc>
        <w:tc>
          <w:tcPr>
            <w:tcW w:w="2126" w:type="dxa"/>
            <w:vAlign w:val="center"/>
          </w:tcPr>
          <w:p>
            <w:pPr>
              <w:pStyle w:val="14"/>
            </w:pPr>
            <w:r>
              <w:t>1338.27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1338.27</w:t>
            </w:r>
          </w:p>
        </w:tc>
        <w:tc>
          <w:tcPr>
            <w:tcW w:w="4535" w:type="dxa"/>
            <w:vAlign w:val="center"/>
          </w:tcPr>
          <w:p>
            <w:pPr>
              <w:pStyle w:val="17"/>
            </w:pPr>
            <w:r>
              <w:t>本年支出合计</w:t>
            </w:r>
          </w:p>
        </w:tc>
        <w:tc>
          <w:tcPr>
            <w:tcW w:w="2126" w:type="dxa"/>
            <w:vAlign w:val="center"/>
          </w:tcPr>
          <w:p>
            <w:pPr>
              <w:pStyle w:val="18"/>
            </w:pPr>
            <w:r>
              <w:t>1338.27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1338.27</w:t>
            </w:r>
          </w:p>
        </w:tc>
        <w:tc>
          <w:tcPr>
            <w:tcW w:w="4535" w:type="dxa"/>
            <w:vAlign w:val="center"/>
          </w:tcPr>
          <w:p>
            <w:pPr>
              <w:pStyle w:val="17"/>
            </w:pPr>
            <w:r>
              <w:t>支出总计</w:t>
            </w:r>
          </w:p>
        </w:tc>
        <w:tc>
          <w:tcPr>
            <w:tcW w:w="2126" w:type="dxa"/>
            <w:vAlign w:val="center"/>
          </w:tcPr>
          <w:p>
            <w:pPr>
              <w:pStyle w:val="18"/>
            </w:pPr>
            <w:r>
              <w:t>1338.27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1350490027"/>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1338.27</w:t>
            </w:r>
          </w:p>
        </w:tc>
        <w:tc>
          <w:tcPr>
            <w:tcW w:w="1134" w:type="dxa"/>
            <w:vAlign w:val="center"/>
          </w:tcPr>
          <w:p>
            <w:pPr>
              <w:pStyle w:val="18"/>
            </w:pPr>
            <w:r>
              <w:t>1338.27</w:t>
            </w:r>
          </w:p>
        </w:tc>
        <w:tc>
          <w:tcPr>
            <w:tcW w:w="1134" w:type="dxa"/>
            <w:vAlign w:val="center"/>
          </w:tcPr>
          <w:p>
            <w:pPr>
              <w:pStyle w:val="18"/>
            </w:pPr>
            <w:r>
              <w:t>1338.27</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1338.27</w:t>
            </w:r>
          </w:p>
        </w:tc>
        <w:tc>
          <w:tcPr>
            <w:tcW w:w="1134" w:type="dxa"/>
            <w:vAlign w:val="center"/>
          </w:tcPr>
          <w:p>
            <w:pPr>
              <w:pStyle w:val="14"/>
            </w:pPr>
            <w:r>
              <w:t>1338.27</w:t>
            </w:r>
          </w:p>
        </w:tc>
        <w:tc>
          <w:tcPr>
            <w:tcW w:w="1134" w:type="dxa"/>
            <w:vAlign w:val="center"/>
          </w:tcPr>
          <w:p>
            <w:pPr>
              <w:pStyle w:val="14"/>
            </w:pPr>
            <w:r>
              <w:t>1338.27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20128</w:t>
            </w:r>
          </w:p>
        </w:tc>
        <w:tc>
          <w:tcPr>
            <w:tcW w:w="1559" w:type="dxa"/>
            <w:vAlign w:val="center"/>
          </w:tcPr>
          <w:p>
            <w:pPr>
              <w:pStyle w:val="15"/>
            </w:pPr>
            <w:r>
              <w:t>民主党派及工商联事务</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2012802</w:t>
            </w:r>
          </w:p>
        </w:tc>
        <w:tc>
          <w:tcPr>
            <w:tcW w:w="1559" w:type="dxa"/>
            <w:vAlign w:val="center"/>
          </w:tcPr>
          <w:p>
            <w:pPr>
              <w:pStyle w:val="15"/>
            </w:pPr>
            <w:r>
              <w:t>一般行政管理事务</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20131</w:t>
            </w:r>
          </w:p>
        </w:tc>
        <w:tc>
          <w:tcPr>
            <w:tcW w:w="1559" w:type="dxa"/>
            <w:vAlign w:val="center"/>
          </w:tcPr>
          <w:p>
            <w:pPr>
              <w:pStyle w:val="15"/>
            </w:pPr>
            <w:r>
              <w:t>党委办公厅（室）及相关机构事务</w:t>
            </w:r>
          </w:p>
        </w:tc>
        <w:tc>
          <w:tcPr>
            <w:tcW w:w="1134" w:type="dxa"/>
            <w:vAlign w:val="center"/>
          </w:tcPr>
          <w:p>
            <w:pPr>
              <w:pStyle w:val="14"/>
            </w:pPr>
            <w:r>
              <w:t>1333.27</w:t>
            </w:r>
          </w:p>
        </w:tc>
        <w:tc>
          <w:tcPr>
            <w:tcW w:w="1134" w:type="dxa"/>
            <w:vAlign w:val="center"/>
          </w:tcPr>
          <w:p>
            <w:pPr>
              <w:pStyle w:val="14"/>
            </w:pPr>
            <w:r>
              <w:t>1333.27</w:t>
            </w:r>
          </w:p>
        </w:tc>
        <w:tc>
          <w:tcPr>
            <w:tcW w:w="1134" w:type="dxa"/>
            <w:vAlign w:val="center"/>
          </w:tcPr>
          <w:p>
            <w:pPr>
              <w:pStyle w:val="14"/>
            </w:pPr>
            <w:r>
              <w:t>1333.27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2013101</w:t>
            </w:r>
          </w:p>
        </w:tc>
        <w:tc>
          <w:tcPr>
            <w:tcW w:w="1559" w:type="dxa"/>
            <w:vAlign w:val="center"/>
          </w:tcPr>
          <w:p>
            <w:pPr>
              <w:pStyle w:val="15"/>
            </w:pPr>
            <w:r>
              <w:t>行政运行</w:t>
            </w:r>
          </w:p>
        </w:tc>
        <w:tc>
          <w:tcPr>
            <w:tcW w:w="1134" w:type="dxa"/>
            <w:vAlign w:val="center"/>
          </w:tcPr>
          <w:p>
            <w:pPr>
              <w:pStyle w:val="14"/>
            </w:pPr>
            <w:r>
              <w:t>1038.97</w:t>
            </w:r>
          </w:p>
        </w:tc>
        <w:tc>
          <w:tcPr>
            <w:tcW w:w="1134" w:type="dxa"/>
            <w:vAlign w:val="center"/>
          </w:tcPr>
          <w:p>
            <w:pPr>
              <w:pStyle w:val="14"/>
            </w:pPr>
            <w:r>
              <w:t>1038.97</w:t>
            </w:r>
          </w:p>
        </w:tc>
        <w:tc>
          <w:tcPr>
            <w:tcW w:w="1134" w:type="dxa"/>
            <w:vAlign w:val="center"/>
          </w:tcPr>
          <w:p>
            <w:pPr>
              <w:pStyle w:val="14"/>
            </w:pPr>
            <w:r>
              <w:t>1038.97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2013102</w:t>
            </w:r>
          </w:p>
        </w:tc>
        <w:tc>
          <w:tcPr>
            <w:tcW w:w="1559" w:type="dxa"/>
            <w:vAlign w:val="center"/>
          </w:tcPr>
          <w:p>
            <w:pPr>
              <w:pStyle w:val="15"/>
            </w:pPr>
            <w:r>
              <w:t>一般行政管理事务</w:t>
            </w:r>
          </w:p>
        </w:tc>
        <w:tc>
          <w:tcPr>
            <w:tcW w:w="1134" w:type="dxa"/>
            <w:vAlign w:val="center"/>
          </w:tcPr>
          <w:p>
            <w:pPr>
              <w:pStyle w:val="14"/>
            </w:pPr>
            <w:r>
              <w:t>294.30</w:t>
            </w:r>
          </w:p>
        </w:tc>
        <w:tc>
          <w:tcPr>
            <w:tcW w:w="1134" w:type="dxa"/>
            <w:vAlign w:val="center"/>
          </w:tcPr>
          <w:p>
            <w:pPr>
              <w:pStyle w:val="14"/>
            </w:pPr>
            <w:r>
              <w:t>294.30</w:t>
            </w:r>
          </w:p>
        </w:tc>
        <w:tc>
          <w:tcPr>
            <w:tcW w:w="1134" w:type="dxa"/>
            <w:vAlign w:val="center"/>
          </w:tcPr>
          <w:p>
            <w:pPr>
              <w:pStyle w:val="14"/>
            </w:pPr>
            <w:r>
              <w:t>294.30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783368690"/>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1338.27</w:t>
            </w:r>
          </w:p>
        </w:tc>
        <w:tc>
          <w:tcPr>
            <w:tcW w:w="1361" w:type="dxa"/>
            <w:vAlign w:val="center"/>
          </w:tcPr>
          <w:p>
            <w:pPr>
              <w:pStyle w:val="18"/>
            </w:pPr>
            <w:r>
              <w:t>1038.97</w:t>
            </w:r>
          </w:p>
        </w:tc>
        <w:tc>
          <w:tcPr>
            <w:tcW w:w="1361" w:type="dxa"/>
            <w:vAlign w:val="center"/>
          </w:tcPr>
          <w:p>
            <w:pPr>
              <w:pStyle w:val="18"/>
            </w:pPr>
            <w:r>
              <w:t>299.30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1338.27</w:t>
            </w:r>
          </w:p>
        </w:tc>
        <w:tc>
          <w:tcPr>
            <w:tcW w:w="1361" w:type="dxa"/>
            <w:vAlign w:val="center"/>
          </w:tcPr>
          <w:p>
            <w:pPr>
              <w:pStyle w:val="14"/>
            </w:pPr>
            <w:r>
              <w:t>1038.97</w:t>
            </w:r>
          </w:p>
        </w:tc>
        <w:tc>
          <w:tcPr>
            <w:tcW w:w="1361" w:type="dxa"/>
            <w:vAlign w:val="center"/>
          </w:tcPr>
          <w:p>
            <w:pPr>
              <w:pStyle w:val="14"/>
            </w:pPr>
            <w:r>
              <w:t>299.30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20128</w:t>
            </w:r>
          </w:p>
        </w:tc>
        <w:tc>
          <w:tcPr>
            <w:tcW w:w="4535" w:type="dxa"/>
            <w:vAlign w:val="center"/>
          </w:tcPr>
          <w:p>
            <w:pPr>
              <w:pStyle w:val="15"/>
            </w:pPr>
            <w:r>
              <w:t>民主党派及工商联事务</w:t>
            </w: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2012802</w:t>
            </w:r>
          </w:p>
        </w:tc>
        <w:tc>
          <w:tcPr>
            <w:tcW w:w="4535" w:type="dxa"/>
            <w:vAlign w:val="center"/>
          </w:tcPr>
          <w:p>
            <w:pPr>
              <w:pStyle w:val="15"/>
            </w:pPr>
            <w:r>
              <w:t>一般行政管理事务</w:t>
            </w: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20131</w:t>
            </w:r>
          </w:p>
        </w:tc>
        <w:tc>
          <w:tcPr>
            <w:tcW w:w="4535" w:type="dxa"/>
            <w:vAlign w:val="center"/>
          </w:tcPr>
          <w:p>
            <w:pPr>
              <w:pStyle w:val="15"/>
            </w:pPr>
            <w:r>
              <w:t>党委办公厅（室）及相关机构事务</w:t>
            </w:r>
          </w:p>
        </w:tc>
        <w:tc>
          <w:tcPr>
            <w:tcW w:w="1361" w:type="dxa"/>
            <w:vAlign w:val="center"/>
          </w:tcPr>
          <w:p>
            <w:pPr>
              <w:pStyle w:val="14"/>
            </w:pPr>
            <w:r>
              <w:t>1333.27</w:t>
            </w:r>
          </w:p>
        </w:tc>
        <w:tc>
          <w:tcPr>
            <w:tcW w:w="1361" w:type="dxa"/>
            <w:vAlign w:val="center"/>
          </w:tcPr>
          <w:p>
            <w:pPr>
              <w:pStyle w:val="14"/>
            </w:pPr>
            <w:r>
              <w:t>1038.97</w:t>
            </w:r>
          </w:p>
        </w:tc>
        <w:tc>
          <w:tcPr>
            <w:tcW w:w="1361" w:type="dxa"/>
            <w:vAlign w:val="center"/>
          </w:tcPr>
          <w:p>
            <w:pPr>
              <w:pStyle w:val="14"/>
            </w:pPr>
            <w:r>
              <w:t>294.30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2013101</w:t>
            </w:r>
          </w:p>
        </w:tc>
        <w:tc>
          <w:tcPr>
            <w:tcW w:w="4535" w:type="dxa"/>
            <w:vAlign w:val="center"/>
          </w:tcPr>
          <w:p>
            <w:pPr>
              <w:pStyle w:val="15"/>
            </w:pPr>
            <w:r>
              <w:t>行政运行</w:t>
            </w:r>
          </w:p>
        </w:tc>
        <w:tc>
          <w:tcPr>
            <w:tcW w:w="1361" w:type="dxa"/>
            <w:vAlign w:val="center"/>
          </w:tcPr>
          <w:p>
            <w:pPr>
              <w:pStyle w:val="14"/>
            </w:pPr>
            <w:r>
              <w:t>1038.97</w:t>
            </w:r>
          </w:p>
        </w:tc>
        <w:tc>
          <w:tcPr>
            <w:tcW w:w="1361" w:type="dxa"/>
            <w:vAlign w:val="center"/>
          </w:tcPr>
          <w:p>
            <w:pPr>
              <w:pStyle w:val="14"/>
            </w:pPr>
            <w:r>
              <w:t>1038.97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2013102</w:t>
            </w:r>
          </w:p>
        </w:tc>
        <w:tc>
          <w:tcPr>
            <w:tcW w:w="4535" w:type="dxa"/>
            <w:vAlign w:val="center"/>
          </w:tcPr>
          <w:p>
            <w:pPr>
              <w:pStyle w:val="15"/>
            </w:pPr>
            <w:r>
              <w:t>一般行政管理事务</w:t>
            </w:r>
          </w:p>
        </w:tc>
        <w:tc>
          <w:tcPr>
            <w:tcW w:w="1361" w:type="dxa"/>
            <w:vAlign w:val="center"/>
          </w:tcPr>
          <w:p>
            <w:pPr>
              <w:pStyle w:val="14"/>
            </w:pPr>
            <w:r>
              <w:t>294.30</w:t>
            </w:r>
          </w:p>
        </w:tc>
        <w:tc>
          <w:tcPr>
            <w:tcW w:w="1361" w:type="dxa"/>
            <w:vAlign w:val="center"/>
          </w:tcPr>
          <w:p>
            <w:pPr>
              <w:pStyle w:val="14"/>
            </w:pPr>
          </w:p>
        </w:tc>
        <w:tc>
          <w:tcPr>
            <w:tcW w:w="1361" w:type="dxa"/>
            <w:vAlign w:val="center"/>
          </w:tcPr>
          <w:p>
            <w:pPr>
              <w:pStyle w:val="14"/>
            </w:pPr>
            <w:r>
              <w:t>294.30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1102520059"/>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3402" w:type="dxa"/>
            <w:tcBorders>
              <w:top w:val="single" w:color="FFFFFF" w:sz="6" w:space="0"/>
              <w:left w:val="single" w:color="FFFFFF" w:sz="6" w:space="0"/>
              <w:right w:val="single" w:color="FFFFFF" w:sz="6" w:space="0"/>
            </w:tcBorders>
            <w:vAlign w:val="center"/>
          </w:tcPr>
          <w:p>
            <w:pPr>
              <w:pStyle w:val="11"/>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1338.27</w:t>
            </w:r>
          </w:p>
        </w:tc>
        <w:tc>
          <w:tcPr>
            <w:tcW w:w="3402" w:type="dxa"/>
            <w:vAlign w:val="center"/>
          </w:tcPr>
          <w:p>
            <w:pPr>
              <w:pStyle w:val="15"/>
            </w:pPr>
            <w:r>
              <w:t>一、一般公共服务支出</w:t>
            </w:r>
          </w:p>
        </w:tc>
        <w:tc>
          <w:tcPr>
            <w:tcW w:w="1474" w:type="dxa"/>
            <w:vAlign w:val="center"/>
          </w:tcPr>
          <w:p>
            <w:pPr>
              <w:pStyle w:val="14"/>
            </w:pPr>
            <w:r>
              <w:t>1338.27</w:t>
            </w:r>
          </w:p>
        </w:tc>
        <w:tc>
          <w:tcPr>
            <w:tcW w:w="1474" w:type="dxa"/>
            <w:vAlign w:val="center"/>
          </w:tcPr>
          <w:p>
            <w:pPr>
              <w:pStyle w:val="14"/>
            </w:pPr>
            <w:r>
              <w:t>1338.27</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1338.27</w:t>
            </w:r>
          </w:p>
        </w:tc>
        <w:tc>
          <w:tcPr>
            <w:tcW w:w="3402" w:type="dxa"/>
            <w:vAlign w:val="center"/>
          </w:tcPr>
          <w:p>
            <w:pPr>
              <w:pStyle w:val="17"/>
            </w:pPr>
            <w:r>
              <w:t>本年支出合计</w:t>
            </w:r>
          </w:p>
        </w:tc>
        <w:tc>
          <w:tcPr>
            <w:tcW w:w="1474" w:type="dxa"/>
            <w:vAlign w:val="center"/>
          </w:tcPr>
          <w:p>
            <w:pPr>
              <w:pStyle w:val="18"/>
            </w:pPr>
            <w:r>
              <w:t>1338.27</w:t>
            </w:r>
          </w:p>
        </w:tc>
        <w:tc>
          <w:tcPr>
            <w:tcW w:w="1474" w:type="dxa"/>
            <w:vAlign w:val="center"/>
          </w:tcPr>
          <w:p>
            <w:pPr>
              <w:pStyle w:val="18"/>
            </w:pPr>
            <w:r>
              <w:t>1338.27</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1338.27</w:t>
            </w:r>
          </w:p>
        </w:tc>
        <w:tc>
          <w:tcPr>
            <w:tcW w:w="3402" w:type="dxa"/>
            <w:vAlign w:val="center"/>
          </w:tcPr>
          <w:p>
            <w:pPr>
              <w:pStyle w:val="17"/>
            </w:pPr>
            <w:r>
              <w:t>支出总计</w:t>
            </w:r>
          </w:p>
        </w:tc>
        <w:tc>
          <w:tcPr>
            <w:tcW w:w="1474" w:type="dxa"/>
            <w:vAlign w:val="center"/>
          </w:tcPr>
          <w:p>
            <w:pPr>
              <w:pStyle w:val="18"/>
            </w:pPr>
            <w:r>
              <w:t>1338.27</w:t>
            </w:r>
          </w:p>
        </w:tc>
        <w:tc>
          <w:tcPr>
            <w:tcW w:w="1474" w:type="dxa"/>
            <w:vAlign w:val="center"/>
          </w:tcPr>
          <w:p>
            <w:pPr>
              <w:pStyle w:val="18"/>
            </w:pPr>
            <w:r>
              <w:t>1338.27</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2044897763"/>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1338.27</w:t>
            </w:r>
          </w:p>
        </w:tc>
        <w:tc>
          <w:tcPr>
            <w:tcW w:w="2551" w:type="dxa"/>
            <w:vAlign w:val="center"/>
          </w:tcPr>
          <w:p>
            <w:pPr>
              <w:pStyle w:val="18"/>
            </w:pPr>
            <w:r>
              <w:t>1038.97</w:t>
            </w:r>
          </w:p>
        </w:tc>
        <w:tc>
          <w:tcPr>
            <w:tcW w:w="2551" w:type="dxa"/>
            <w:vAlign w:val="center"/>
          </w:tcPr>
          <w:p>
            <w:pPr>
              <w:pStyle w:val="18"/>
            </w:pPr>
            <w:r>
              <w:t>299.30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1338.27</w:t>
            </w:r>
          </w:p>
        </w:tc>
        <w:tc>
          <w:tcPr>
            <w:tcW w:w="2551" w:type="dxa"/>
            <w:vAlign w:val="center"/>
          </w:tcPr>
          <w:p>
            <w:pPr>
              <w:pStyle w:val="14"/>
            </w:pPr>
            <w:r>
              <w:t>1038.97</w:t>
            </w:r>
          </w:p>
        </w:tc>
        <w:tc>
          <w:tcPr>
            <w:tcW w:w="2551" w:type="dxa"/>
            <w:vAlign w:val="center"/>
          </w:tcPr>
          <w:p>
            <w:pPr>
              <w:pStyle w:val="14"/>
            </w:pPr>
            <w:r>
              <w:t>299.30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20128</w:t>
            </w:r>
          </w:p>
        </w:tc>
        <w:tc>
          <w:tcPr>
            <w:tcW w:w="4535" w:type="dxa"/>
            <w:vAlign w:val="center"/>
          </w:tcPr>
          <w:p>
            <w:pPr>
              <w:pStyle w:val="15"/>
            </w:pPr>
            <w:r>
              <w:t>民主党派及工商联事务</w:t>
            </w:r>
          </w:p>
        </w:tc>
        <w:tc>
          <w:tcPr>
            <w:tcW w:w="2551" w:type="dxa"/>
            <w:vAlign w:val="center"/>
          </w:tcPr>
          <w:p>
            <w:pPr>
              <w:pStyle w:val="14"/>
            </w:pPr>
            <w:r>
              <w:t>5.00</w:t>
            </w:r>
          </w:p>
        </w:tc>
        <w:tc>
          <w:tcPr>
            <w:tcW w:w="2551" w:type="dxa"/>
            <w:vAlign w:val="center"/>
          </w:tcPr>
          <w:p>
            <w:pPr>
              <w:pStyle w:val="14"/>
            </w:pPr>
          </w:p>
        </w:tc>
        <w:tc>
          <w:tcPr>
            <w:tcW w:w="2551"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2012802</w:t>
            </w:r>
          </w:p>
        </w:tc>
        <w:tc>
          <w:tcPr>
            <w:tcW w:w="4535" w:type="dxa"/>
            <w:vAlign w:val="center"/>
          </w:tcPr>
          <w:p>
            <w:pPr>
              <w:pStyle w:val="15"/>
            </w:pPr>
            <w:r>
              <w:t>一般行政管理事务</w:t>
            </w:r>
          </w:p>
        </w:tc>
        <w:tc>
          <w:tcPr>
            <w:tcW w:w="2551" w:type="dxa"/>
            <w:vAlign w:val="center"/>
          </w:tcPr>
          <w:p>
            <w:pPr>
              <w:pStyle w:val="14"/>
            </w:pPr>
            <w:r>
              <w:t>5.00</w:t>
            </w:r>
          </w:p>
        </w:tc>
        <w:tc>
          <w:tcPr>
            <w:tcW w:w="2551" w:type="dxa"/>
            <w:vAlign w:val="center"/>
          </w:tcPr>
          <w:p>
            <w:pPr>
              <w:pStyle w:val="14"/>
            </w:pPr>
          </w:p>
        </w:tc>
        <w:tc>
          <w:tcPr>
            <w:tcW w:w="2551"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20131</w:t>
            </w:r>
          </w:p>
        </w:tc>
        <w:tc>
          <w:tcPr>
            <w:tcW w:w="4535" w:type="dxa"/>
            <w:vAlign w:val="center"/>
          </w:tcPr>
          <w:p>
            <w:pPr>
              <w:pStyle w:val="15"/>
            </w:pPr>
            <w:r>
              <w:t>党委办公厅（室）及相关机构事务</w:t>
            </w:r>
          </w:p>
        </w:tc>
        <w:tc>
          <w:tcPr>
            <w:tcW w:w="2551" w:type="dxa"/>
            <w:vAlign w:val="center"/>
          </w:tcPr>
          <w:p>
            <w:pPr>
              <w:pStyle w:val="14"/>
            </w:pPr>
            <w:r>
              <w:t>1333.27</w:t>
            </w:r>
          </w:p>
        </w:tc>
        <w:tc>
          <w:tcPr>
            <w:tcW w:w="2551" w:type="dxa"/>
            <w:vAlign w:val="center"/>
          </w:tcPr>
          <w:p>
            <w:pPr>
              <w:pStyle w:val="14"/>
            </w:pPr>
            <w:r>
              <w:t>1038.97</w:t>
            </w:r>
          </w:p>
        </w:tc>
        <w:tc>
          <w:tcPr>
            <w:tcW w:w="2551" w:type="dxa"/>
            <w:vAlign w:val="center"/>
          </w:tcPr>
          <w:p>
            <w:pPr>
              <w:pStyle w:val="14"/>
            </w:pPr>
            <w:r>
              <w:t>294.30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2013101</w:t>
            </w:r>
          </w:p>
        </w:tc>
        <w:tc>
          <w:tcPr>
            <w:tcW w:w="4535" w:type="dxa"/>
            <w:vAlign w:val="center"/>
          </w:tcPr>
          <w:p>
            <w:pPr>
              <w:pStyle w:val="15"/>
            </w:pPr>
            <w:r>
              <w:t>行政运行</w:t>
            </w:r>
          </w:p>
        </w:tc>
        <w:tc>
          <w:tcPr>
            <w:tcW w:w="2551" w:type="dxa"/>
            <w:vAlign w:val="center"/>
          </w:tcPr>
          <w:p>
            <w:pPr>
              <w:pStyle w:val="14"/>
            </w:pPr>
            <w:r>
              <w:t>1038.97</w:t>
            </w:r>
          </w:p>
        </w:tc>
        <w:tc>
          <w:tcPr>
            <w:tcW w:w="2551" w:type="dxa"/>
            <w:vAlign w:val="center"/>
          </w:tcPr>
          <w:p>
            <w:pPr>
              <w:pStyle w:val="14"/>
            </w:pPr>
            <w:r>
              <w:t>1038.97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2013102</w:t>
            </w:r>
          </w:p>
        </w:tc>
        <w:tc>
          <w:tcPr>
            <w:tcW w:w="4535" w:type="dxa"/>
            <w:vAlign w:val="center"/>
          </w:tcPr>
          <w:p>
            <w:pPr>
              <w:pStyle w:val="15"/>
            </w:pPr>
            <w:r>
              <w:t>一般行政管理事务</w:t>
            </w:r>
          </w:p>
        </w:tc>
        <w:tc>
          <w:tcPr>
            <w:tcW w:w="2551" w:type="dxa"/>
            <w:vAlign w:val="center"/>
          </w:tcPr>
          <w:p>
            <w:pPr>
              <w:pStyle w:val="14"/>
            </w:pPr>
            <w:r>
              <w:t>294.30</w:t>
            </w:r>
          </w:p>
        </w:tc>
        <w:tc>
          <w:tcPr>
            <w:tcW w:w="2551" w:type="dxa"/>
            <w:vAlign w:val="center"/>
          </w:tcPr>
          <w:p>
            <w:pPr>
              <w:pStyle w:val="14"/>
            </w:pPr>
          </w:p>
        </w:tc>
        <w:tc>
          <w:tcPr>
            <w:tcW w:w="2551" w:type="dxa"/>
            <w:vAlign w:val="center"/>
          </w:tcPr>
          <w:p>
            <w:pPr>
              <w:pStyle w:val="14"/>
            </w:pPr>
            <w:r>
              <w:t>294.30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196751392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1038.97</w:t>
            </w:r>
          </w:p>
        </w:tc>
        <w:tc>
          <w:tcPr>
            <w:tcW w:w="2551" w:type="dxa"/>
            <w:vAlign w:val="center"/>
          </w:tcPr>
          <w:p>
            <w:pPr>
              <w:pStyle w:val="18"/>
            </w:pPr>
            <w:r>
              <w:t>813.83</w:t>
            </w:r>
          </w:p>
        </w:tc>
        <w:tc>
          <w:tcPr>
            <w:tcW w:w="2551" w:type="dxa"/>
            <w:vAlign w:val="center"/>
          </w:tcPr>
          <w:p>
            <w:pPr>
              <w:pStyle w:val="18"/>
            </w:pPr>
            <w:r>
              <w:t>225.14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734.81</w:t>
            </w:r>
          </w:p>
        </w:tc>
        <w:tc>
          <w:tcPr>
            <w:tcW w:w="2551" w:type="dxa"/>
            <w:vAlign w:val="center"/>
          </w:tcPr>
          <w:p>
            <w:pPr>
              <w:pStyle w:val="14"/>
            </w:pPr>
            <w:r>
              <w:t>734.81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168.34</w:t>
            </w:r>
          </w:p>
        </w:tc>
        <w:tc>
          <w:tcPr>
            <w:tcW w:w="2551" w:type="dxa"/>
            <w:vAlign w:val="center"/>
          </w:tcPr>
          <w:p>
            <w:pPr>
              <w:pStyle w:val="14"/>
            </w:pPr>
            <w:r>
              <w:t>168.34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199.53</w:t>
            </w:r>
          </w:p>
        </w:tc>
        <w:tc>
          <w:tcPr>
            <w:tcW w:w="2551" w:type="dxa"/>
            <w:vAlign w:val="center"/>
          </w:tcPr>
          <w:p>
            <w:pPr>
              <w:pStyle w:val="14"/>
            </w:pPr>
            <w:r>
              <w:t>199.53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11.64</w:t>
            </w:r>
          </w:p>
        </w:tc>
        <w:tc>
          <w:tcPr>
            <w:tcW w:w="2551" w:type="dxa"/>
            <w:vAlign w:val="center"/>
          </w:tcPr>
          <w:p>
            <w:pPr>
              <w:pStyle w:val="14"/>
            </w:pPr>
            <w:r>
              <w:t>11.64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127.59</w:t>
            </w:r>
          </w:p>
        </w:tc>
        <w:tc>
          <w:tcPr>
            <w:tcW w:w="2551" w:type="dxa"/>
            <w:vAlign w:val="center"/>
          </w:tcPr>
          <w:p>
            <w:pPr>
              <w:pStyle w:val="14"/>
            </w:pPr>
            <w:r>
              <w:t>127.59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83.82</w:t>
            </w:r>
          </w:p>
        </w:tc>
        <w:tc>
          <w:tcPr>
            <w:tcW w:w="2551" w:type="dxa"/>
            <w:vAlign w:val="center"/>
          </w:tcPr>
          <w:p>
            <w:pPr>
              <w:pStyle w:val="14"/>
            </w:pPr>
            <w:r>
              <w:t>83.82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28.06</w:t>
            </w:r>
          </w:p>
        </w:tc>
        <w:tc>
          <w:tcPr>
            <w:tcW w:w="2551" w:type="dxa"/>
            <w:vAlign w:val="center"/>
          </w:tcPr>
          <w:p>
            <w:pPr>
              <w:pStyle w:val="14"/>
            </w:pPr>
            <w:r>
              <w:t>28.06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21.71</w:t>
            </w:r>
          </w:p>
        </w:tc>
        <w:tc>
          <w:tcPr>
            <w:tcW w:w="2551" w:type="dxa"/>
            <w:vAlign w:val="center"/>
          </w:tcPr>
          <w:p>
            <w:pPr>
              <w:pStyle w:val="14"/>
            </w:pPr>
            <w:r>
              <w:t>21.71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31.25</w:t>
            </w:r>
          </w:p>
        </w:tc>
        <w:tc>
          <w:tcPr>
            <w:tcW w:w="2551" w:type="dxa"/>
            <w:vAlign w:val="center"/>
          </w:tcPr>
          <w:p>
            <w:pPr>
              <w:pStyle w:val="14"/>
            </w:pPr>
            <w:r>
              <w:t>31.25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62.87</w:t>
            </w:r>
          </w:p>
        </w:tc>
        <w:tc>
          <w:tcPr>
            <w:tcW w:w="2551" w:type="dxa"/>
            <w:vAlign w:val="center"/>
          </w:tcPr>
          <w:p>
            <w:pPr>
              <w:pStyle w:val="14"/>
            </w:pPr>
            <w:r>
              <w:t>62.87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225.14</w:t>
            </w:r>
          </w:p>
        </w:tc>
        <w:tc>
          <w:tcPr>
            <w:tcW w:w="2551" w:type="dxa"/>
            <w:vAlign w:val="center"/>
          </w:tcPr>
          <w:p>
            <w:pPr>
              <w:pStyle w:val="14"/>
            </w:pPr>
          </w:p>
        </w:tc>
        <w:tc>
          <w:tcPr>
            <w:tcW w:w="2551" w:type="dxa"/>
            <w:vAlign w:val="center"/>
          </w:tcPr>
          <w:p>
            <w:pPr>
              <w:pStyle w:val="14"/>
            </w:pPr>
            <w:r>
              <w:t>225.14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73.50</w:t>
            </w:r>
          </w:p>
        </w:tc>
        <w:tc>
          <w:tcPr>
            <w:tcW w:w="2551" w:type="dxa"/>
            <w:vAlign w:val="center"/>
          </w:tcPr>
          <w:p>
            <w:pPr>
              <w:pStyle w:val="14"/>
            </w:pPr>
          </w:p>
        </w:tc>
        <w:tc>
          <w:tcPr>
            <w:tcW w:w="2551" w:type="dxa"/>
            <w:vAlign w:val="center"/>
          </w:tcPr>
          <w:p>
            <w:pPr>
              <w:pStyle w:val="14"/>
            </w:pPr>
            <w:r>
              <w:t>73.50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30202</w:t>
            </w:r>
          </w:p>
        </w:tc>
        <w:tc>
          <w:tcPr>
            <w:tcW w:w="4535" w:type="dxa"/>
            <w:vAlign w:val="center"/>
          </w:tcPr>
          <w:p>
            <w:pPr>
              <w:pStyle w:val="15"/>
            </w:pPr>
            <w:r>
              <w:t>印刷费</w:t>
            </w:r>
          </w:p>
        </w:tc>
        <w:tc>
          <w:tcPr>
            <w:tcW w:w="2551" w:type="dxa"/>
            <w:vAlign w:val="center"/>
          </w:tcPr>
          <w:p>
            <w:pPr>
              <w:pStyle w:val="14"/>
            </w:pPr>
            <w:r>
              <w:t>20.00</w:t>
            </w:r>
          </w:p>
        </w:tc>
        <w:tc>
          <w:tcPr>
            <w:tcW w:w="2551" w:type="dxa"/>
            <w:vAlign w:val="center"/>
          </w:tcPr>
          <w:p>
            <w:pPr>
              <w:pStyle w:val="14"/>
            </w:pPr>
          </w:p>
        </w:tc>
        <w:tc>
          <w:tcPr>
            <w:tcW w:w="255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26.03</w:t>
            </w:r>
          </w:p>
        </w:tc>
        <w:tc>
          <w:tcPr>
            <w:tcW w:w="2551" w:type="dxa"/>
            <w:vAlign w:val="center"/>
          </w:tcPr>
          <w:p>
            <w:pPr>
              <w:pStyle w:val="14"/>
            </w:pPr>
          </w:p>
        </w:tc>
        <w:tc>
          <w:tcPr>
            <w:tcW w:w="2551" w:type="dxa"/>
            <w:vAlign w:val="center"/>
          </w:tcPr>
          <w:p>
            <w:pPr>
              <w:pStyle w:val="14"/>
            </w:pPr>
            <w:r>
              <w:t>26.03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30211</w:t>
            </w:r>
          </w:p>
        </w:tc>
        <w:tc>
          <w:tcPr>
            <w:tcW w:w="4535" w:type="dxa"/>
            <w:vAlign w:val="center"/>
          </w:tcPr>
          <w:p>
            <w:pPr>
              <w:pStyle w:val="15"/>
            </w:pPr>
            <w:r>
              <w:t>差旅费</w:t>
            </w:r>
          </w:p>
        </w:tc>
        <w:tc>
          <w:tcPr>
            <w:tcW w:w="2551" w:type="dxa"/>
            <w:vAlign w:val="center"/>
          </w:tcPr>
          <w:p>
            <w:pPr>
              <w:pStyle w:val="14"/>
            </w:pPr>
            <w:r>
              <w:t>6.00</w:t>
            </w:r>
          </w:p>
        </w:tc>
        <w:tc>
          <w:tcPr>
            <w:tcW w:w="2551" w:type="dxa"/>
            <w:vAlign w:val="center"/>
          </w:tcPr>
          <w:p>
            <w:pPr>
              <w:pStyle w:val="14"/>
            </w:pPr>
          </w:p>
        </w:tc>
        <w:tc>
          <w:tcPr>
            <w:tcW w:w="2551"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30212</w:t>
            </w:r>
          </w:p>
        </w:tc>
        <w:tc>
          <w:tcPr>
            <w:tcW w:w="4535" w:type="dxa"/>
            <w:vAlign w:val="center"/>
          </w:tcPr>
          <w:p>
            <w:pPr>
              <w:pStyle w:val="15"/>
            </w:pPr>
            <w:r>
              <w:t>因公出国（境）费用</w:t>
            </w:r>
          </w:p>
        </w:tc>
        <w:tc>
          <w:tcPr>
            <w:tcW w:w="2551" w:type="dxa"/>
            <w:vAlign w:val="center"/>
          </w:tcPr>
          <w:p>
            <w:pPr>
              <w:pStyle w:val="14"/>
            </w:pPr>
            <w:r>
              <w:t>20.00</w:t>
            </w:r>
          </w:p>
        </w:tc>
        <w:tc>
          <w:tcPr>
            <w:tcW w:w="2551" w:type="dxa"/>
            <w:vAlign w:val="center"/>
          </w:tcPr>
          <w:p>
            <w:pPr>
              <w:pStyle w:val="14"/>
            </w:pPr>
          </w:p>
        </w:tc>
        <w:tc>
          <w:tcPr>
            <w:tcW w:w="255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3021202</w:t>
            </w:r>
          </w:p>
        </w:tc>
        <w:tc>
          <w:tcPr>
            <w:tcW w:w="4535" w:type="dxa"/>
            <w:vAlign w:val="center"/>
          </w:tcPr>
          <w:p>
            <w:pPr>
              <w:pStyle w:val="15"/>
            </w:pPr>
            <w:r>
              <w:t>其他因公出国（境）费</w:t>
            </w:r>
          </w:p>
        </w:tc>
        <w:tc>
          <w:tcPr>
            <w:tcW w:w="2551" w:type="dxa"/>
            <w:vAlign w:val="center"/>
          </w:tcPr>
          <w:p>
            <w:pPr>
              <w:pStyle w:val="14"/>
            </w:pPr>
            <w:r>
              <w:t>20.00</w:t>
            </w:r>
          </w:p>
        </w:tc>
        <w:tc>
          <w:tcPr>
            <w:tcW w:w="2551" w:type="dxa"/>
            <w:vAlign w:val="center"/>
          </w:tcPr>
          <w:p>
            <w:pPr>
              <w:pStyle w:val="14"/>
            </w:pPr>
          </w:p>
        </w:tc>
        <w:tc>
          <w:tcPr>
            <w:tcW w:w="255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30226</w:t>
            </w:r>
          </w:p>
        </w:tc>
        <w:tc>
          <w:tcPr>
            <w:tcW w:w="4535" w:type="dxa"/>
            <w:vAlign w:val="center"/>
          </w:tcPr>
          <w:p>
            <w:pPr>
              <w:pStyle w:val="15"/>
            </w:pPr>
            <w:r>
              <w:t>劳务费</w:t>
            </w:r>
          </w:p>
        </w:tc>
        <w:tc>
          <w:tcPr>
            <w:tcW w:w="2551" w:type="dxa"/>
            <w:vAlign w:val="center"/>
          </w:tcPr>
          <w:p>
            <w:pPr>
              <w:pStyle w:val="14"/>
            </w:pPr>
            <w:r>
              <w:t>28.30</w:t>
            </w:r>
          </w:p>
        </w:tc>
        <w:tc>
          <w:tcPr>
            <w:tcW w:w="2551" w:type="dxa"/>
            <w:vAlign w:val="center"/>
          </w:tcPr>
          <w:p>
            <w:pPr>
              <w:pStyle w:val="14"/>
            </w:pPr>
          </w:p>
        </w:tc>
        <w:tc>
          <w:tcPr>
            <w:tcW w:w="2551" w:type="dxa"/>
            <w:vAlign w:val="center"/>
          </w:tcPr>
          <w:p>
            <w:pPr>
              <w:pStyle w:val="14"/>
            </w:pPr>
            <w:r>
              <w:t>28.30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5.06</w:t>
            </w:r>
          </w:p>
        </w:tc>
        <w:tc>
          <w:tcPr>
            <w:tcW w:w="2551" w:type="dxa"/>
            <w:vAlign w:val="center"/>
          </w:tcPr>
          <w:p>
            <w:pPr>
              <w:pStyle w:val="14"/>
            </w:pPr>
          </w:p>
        </w:tc>
        <w:tc>
          <w:tcPr>
            <w:tcW w:w="2551" w:type="dxa"/>
            <w:vAlign w:val="center"/>
          </w:tcPr>
          <w:p>
            <w:pPr>
              <w:pStyle w:val="14"/>
            </w:pPr>
            <w: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30229</w:t>
            </w:r>
          </w:p>
        </w:tc>
        <w:tc>
          <w:tcPr>
            <w:tcW w:w="4535" w:type="dxa"/>
            <w:vAlign w:val="center"/>
          </w:tcPr>
          <w:p>
            <w:pPr>
              <w:pStyle w:val="15"/>
            </w:pPr>
            <w:r>
              <w:t>福利费</w:t>
            </w:r>
          </w:p>
        </w:tc>
        <w:tc>
          <w:tcPr>
            <w:tcW w:w="2551" w:type="dxa"/>
            <w:vAlign w:val="center"/>
          </w:tcPr>
          <w:p>
            <w:pPr>
              <w:pStyle w:val="14"/>
            </w:pPr>
            <w:r>
              <w:t>4.21</w:t>
            </w:r>
          </w:p>
        </w:tc>
        <w:tc>
          <w:tcPr>
            <w:tcW w:w="2551" w:type="dxa"/>
            <w:vAlign w:val="center"/>
          </w:tcPr>
          <w:p>
            <w:pPr>
              <w:pStyle w:val="14"/>
            </w:pPr>
          </w:p>
        </w:tc>
        <w:tc>
          <w:tcPr>
            <w:tcW w:w="2551" w:type="dxa"/>
            <w:vAlign w:val="center"/>
          </w:tcPr>
          <w:p>
            <w:pPr>
              <w:pStyle w:val="14"/>
            </w:pPr>
            <w:r>
              <w:t>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17.60</w:t>
            </w:r>
          </w:p>
        </w:tc>
        <w:tc>
          <w:tcPr>
            <w:tcW w:w="2551" w:type="dxa"/>
            <w:vAlign w:val="center"/>
          </w:tcPr>
          <w:p>
            <w:pPr>
              <w:pStyle w:val="14"/>
            </w:pPr>
          </w:p>
        </w:tc>
        <w:tc>
          <w:tcPr>
            <w:tcW w:w="2551" w:type="dxa"/>
            <w:vAlign w:val="center"/>
          </w:tcPr>
          <w:p>
            <w:pPr>
              <w:pStyle w:val="14"/>
            </w:pPr>
            <w: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22.62</w:t>
            </w:r>
          </w:p>
        </w:tc>
        <w:tc>
          <w:tcPr>
            <w:tcW w:w="2551" w:type="dxa"/>
            <w:vAlign w:val="center"/>
          </w:tcPr>
          <w:p>
            <w:pPr>
              <w:pStyle w:val="14"/>
            </w:pPr>
          </w:p>
        </w:tc>
        <w:tc>
          <w:tcPr>
            <w:tcW w:w="2551" w:type="dxa"/>
            <w:vAlign w:val="center"/>
          </w:tcPr>
          <w:p>
            <w:pPr>
              <w:pStyle w:val="14"/>
            </w:pPr>
            <w:r>
              <w:t>22.62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1.83</w:t>
            </w:r>
          </w:p>
        </w:tc>
        <w:tc>
          <w:tcPr>
            <w:tcW w:w="2551" w:type="dxa"/>
            <w:vAlign w:val="center"/>
          </w:tcPr>
          <w:p>
            <w:pPr>
              <w:pStyle w:val="14"/>
            </w:pPr>
          </w:p>
        </w:tc>
        <w:tc>
          <w:tcPr>
            <w:tcW w:w="2551" w:type="dxa"/>
            <w:vAlign w:val="center"/>
          </w:tcPr>
          <w:p>
            <w:pPr>
              <w:pStyle w:val="14"/>
            </w:pPr>
            <w:r>
              <w:t>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79.02</w:t>
            </w:r>
          </w:p>
        </w:tc>
        <w:tc>
          <w:tcPr>
            <w:tcW w:w="2551" w:type="dxa"/>
            <w:vAlign w:val="center"/>
          </w:tcPr>
          <w:p>
            <w:pPr>
              <w:pStyle w:val="14"/>
            </w:pPr>
            <w:r>
              <w:t>79.02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79.02</w:t>
            </w:r>
          </w:p>
        </w:tc>
        <w:tc>
          <w:tcPr>
            <w:tcW w:w="2551" w:type="dxa"/>
            <w:vAlign w:val="center"/>
          </w:tcPr>
          <w:p>
            <w:pPr>
              <w:pStyle w:val="14"/>
            </w:pPr>
            <w:r>
              <w:t>79.02</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1365180540"/>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pPr>
        <w:spacing w:before="0" w:after="0" w:line="240" w:lineRule="auto"/>
        <w:ind w:firstLine="0"/>
        <w:jc w:val="center"/>
        <w:outlineLvl w:val="1"/>
      </w:pPr>
      <w:bookmarkStart w:id="7" w:name="_Toc1540383426"/>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304089172"/>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2381" w:type="dxa"/>
            <w:tcBorders>
              <w:top w:val="single" w:color="FFFFFF" w:sz="6" w:space="0"/>
              <w:left w:val="single" w:color="FFFFFF" w:sz="6" w:space="0"/>
              <w:right w:val="single" w:color="FFFFFF" w:sz="6" w:space="0"/>
            </w:tcBorders>
            <w:vAlign w:val="center"/>
          </w:tcPr>
          <w:p>
            <w:pPr>
              <w:pStyle w:val="11"/>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rPr>
                <w:rFonts w:hint="default" w:eastAsia="方正书宋_GBK"/>
                <w:lang w:val="en-US" w:eastAsia="zh-CN"/>
              </w:rPr>
            </w:pPr>
            <w:r>
              <w:rPr>
                <w:rFonts w:hint="eastAsia"/>
                <w:lang w:val="en-US" w:eastAsia="zh-CN"/>
              </w:rPr>
              <w:t>37.6</w:t>
            </w:r>
          </w:p>
        </w:tc>
        <w:tc>
          <w:tcPr>
            <w:tcW w:w="2381" w:type="dxa"/>
            <w:vAlign w:val="center"/>
          </w:tcPr>
          <w:p>
            <w:pPr>
              <w:pStyle w:val="18"/>
              <w:rPr>
                <w:rFonts w:hint="default" w:eastAsia="方正书宋_GBK"/>
                <w:lang w:val="en-US" w:eastAsia="zh-CN"/>
              </w:rPr>
            </w:pPr>
            <w:r>
              <w:rPr>
                <w:rFonts w:hint="eastAsia"/>
                <w:lang w:val="en-US" w:eastAsia="zh-CN"/>
              </w:rPr>
              <w:t>37.6</w:t>
            </w:r>
          </w:p>
        </w:tc>
        <w:tc>
          <w:tcPr>
            <w:tcW w:w="2381" w:type="dxa"/>
            <w:vAlign w:val="center"/>
          </w:tcPr>
          <w:p>
            <w:pPr>
              <w:pStyle w:val="18"/>
              <w:ind w:firstLine="0" w:firstLineChars="0"/>
            </w:pPr>
          </w:p>
        </w:tc>
        <w:tc>
          <w:tcPr>
            <w:tcW w:w="2381" w:type="dxa"/>
            <w:vAlign w:val="center"/>
          </w:tcPr>
          <w:p>
            <w:pPr>
              <w:pStyle w:val="18"/>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“三公”经费小计</w:t>
            </w:r>
          </w:p>
        </w:tc>
        <w:tc>
          <w:tcPr>
            <w:tcW w:w="2381" w:type="dxa"/>
            <w:vAlign w:val="center"/>
          </w:tcPr>
          <w:p>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37.6</w:t>
            </w:r>
          </w:p>
        </w:tc>
        <w:tc>
          <w:tcPr>
            <w:tcW w:w="2381" w:type="dxa"/>
            <w:vAlign w:val="center"/>
          </w:tcPr>
          <w:p>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37.6</w:t>
            </w:r>
          </w:p>
        </w:tc>
        <w:tc>
          <w:tcPr>
            <w:tcW w:w="2381" w:type="dxa"/>
            <w:vAlign w:val="center"/>
          </w:tcPr>
          <w:p>
            <w:pPr>
              <w:jc w:val="right"/>
            </w:pPr>
          </w:p>
        </w:tc>
        <w:tc>
          <w:tcPr>
            <w:tcW w:w="238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一、因公出国（境）费</w:t>
            </w:r>
          </w:p>
        </w:tc>
        <w:tc>
          <w:tcPr>
            <w:tcW w:w="2381" w:type="dxa"/>
            <w:vAlign w:val="center"/>
          </w:tcPr>
          <w:p>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20.00</w:t>
            </w:r>
          </w:p>
        </w:tc>
        <w:tc>
          <w:tcPr>
            <w:tcW w:w="2381" w:type="dxa"/>
            <w:vAlign w:val="center"/>
          </w:tcPr>
          <w:p>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20.00</w:t>
            </w:r>
          </w:p>
        </w:tc>
        <w:tc>
          <w:tcPr>
            <w:tcW w:w="2381" w:type="dxa"/>
            <w:vAlign w:val="center"/>
          </w:tcPr>
          <w:p>
            <w:pPr>
              <w:jc w:val="right"/>
            </w:pPr>
          </w:p>
        </w:tc>
        <w:tc>
          <w:tcPr>
            <w:tcW w:w="238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ind w:firstLine="0" w:firstLineChars="0"/>
            </w:pPr>
          </w:p>
        </w:tc>
        <w:tc>
          <w:tcPr>
            <w:tcW w:w="2381" w:type="dxa"/>
            <w:vAlign w:val="center"/>
          </w:tcPr>
          <w:p>
            <w:pPr>
              <w:pStyle w:val="14"/>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其他因公出国（境）费</w:t>
            </w:r>
          </w:p>
        </w:tc>
        <w:tc>
          <w:tcPr>
            <w:tcW w:w="2381" w:type="dxa"/>
            <w:vAlign w:val="center"/>
          </w:tcPr>
          <w:p>
            <w:pPr>
              <w:pStyle w:val="14"/>
            </w:pPr>
            <w:r>
              <w:t>20.00</w:t>
            </w:r>
          </w:p>
        </w:tc>
        <w:tc>
          <w:tcPr>
            <w:tcW w:w="2381" w:type="dxa"/>
            <w:vAlign w:val="center"/>
          </w:tcPr>
          <w:p>
            <w:pPr>
              <w:pStyle w:val="14"/>
            </w:pPr>
            <w:r>
              <w:t>20.00</w:t>
            </w:r>
          </w:p>
        </w:tc>
        <w:tc>
          <w:tcPr>
            <w:tcW w:w="2381" w:type="dxa"/>
            <w:vAlign w:val="center"/>
          </w:tcPr>
          <w:p>
            <w:pPr>
              <w:pStyle w:val="14"/>
              <w:ind w:firstLine="0" w:firstLineChars="0"/>
            </w:pPr>
          </w:p>
        </w:tc>
        <w:tc>
          <w:tcPr>
            <w:tcW w:w="2381" w:type="dxa"/>
            <w:vAlign w:val="center"/>
          </w:tcPr>
          <w:p>
            <w:pPr>
              <w:pStyle w:val="14"/>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二、公务用车购置及运维费</w:t>
            </w:r>
          </w:p>
        </w:tc>
        <w:tc>
          <w:tcPr>
            <w:tcW w:w="2381" w:type="dxa"/>
            <w:vAlign w:val="center"/>
          </w:tcPr>
          <w:p>
            <w:pPr>
              <w:jc w:val="righ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17.60</w:t>
            </w:r>
          </w:p>
        </w:tc>
        <w:tc>
          <w:tcPr>
            <w:tcW w:w="2381" w:type="dxa"/>
            <w:vAlign w:val="center"/>
          </w:tcPr>
          <w:p>
            <w:pPr>
              <w:jc w:val="righ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17.60</w:t>
            </w:r>
          </w:p>
        </w:tc>
        <w:tc>
          <w:tcPr>
            <w:tcW w:w="2381" w:type="dxa"/>
            <w:vAlign w:val="center"/>
          </w:tcPr>
          <w:p>
            <w:pPr>
              <w:jc w:val="right"/>
            </w:pPr>
          </w:p>
        </w:tc>
        <w:tc>
          <w:tcPr>
            <w:tcW w:w="238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ind w:firstLine="0" w:firstLineChars="0"/>
            </w:pPr>
          </w:p>
        </w:tc>
        <w:tc>
          <w:tcPr>
            <w:tcW w:w="2381" w:type="dxa"/>
            <w:vAlign w:val="center"/>
          </w:tcPr>
          <w:p>
            <w:pPr>
              <w:pStyle w:val="14"/>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 xml:space="preserve">          公务用车运行维护费</w:t>
            </w:r>
          </w:p>
        </w:tc>
        <w:tc>
          <w:tcPr>
            <w:tcW w:w="2381" w:type="dxa"/>
            <w:vAlign w:val="center"/>
          </w:tcPr>
          <w:p>
            <w:pPr>
              <w:pStyle w:val="14"/>
            </w:pPr>
            <w:r>
              <w:t>17.60</w:t>
            </w:r>
          </w:p>
        </w:tc>
        <w:tc>
          <w:tcPr>
            <w:tcW w:w="2381" w:type="dxa"/>
            <w:vAlign w:val="center"/>
          </w:tcPr>
          <w:p>
            <w:pPr>
              <w:pStyle w:val="14"/>
            </w:pPr>
            <w:r>
              <w:t>17.60</w:t>
            </w:r>
          </w:p>
        </w:tc>
        <w:tc>
          <w:tcPr>
            <w:tcW w:w="2381" w:type="dxa"/>
            <w:vAlign w:val="center"/>
          </w:tcPr>
          <w:p>
            <w:pPr>
              <w:pStyle w:val="14"/>
              <w:ind w:firstLine="0" w:firstLineChars="0"/>
            </w:pPr>
          </w:p>
        </w:tc>
        <w:tc>
          <w:tcPr>
            <w:tcW w:w="2381" w:type="dxa"/>
            <w:vAlign w:val="center"/>
          </w:tcPr>
          <w:p>
            <w:pPr>
              <w:pStyle w:val="14"/>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9</w:t>
            </w:r>
          </w:p>
        </w:tc>
        <w:tc>
          <w:tcPr>
            <w:tcW w:w="3798" w:type="dxa"/>
            <w:vAlign w:val="center"/>
          </w:tcPr>
          <w:p>
            <w:pPr>
              <w:pStyle w:val="15"/>
            </w:pPr>
            <w:r>
              <w:t>三、公务接待费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中共石家庄市藁城区委员会办公室2023年部门预算信息公开情况说明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中共石家庄市藁城区委员会办公室2023年部门预算信息公开情况说明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按照《预算法》、《地方预决算公开操作规程》和《关于进一步推进预算公开工作的实施意见》规定，现将中共石家庄市藁城区委员会办公室2023年部门预算公开如下：</w:t>
      </w:r>
    </w:p>
    <w:p>
      <w:pPr>
        <w:spacing w:before="10" w:after="10" w:line="360" w:lineRule="auto"/>
        <w:ind w:firstLine="640"/>
        <w:jc w:val="left"/>
        <w:outlineLvl w:val="2"/>
      </w:pPr>
      <w:bookmarkStart w:id="9" w:name="_Toc846930886"/>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坚持目标导向、问题导向、结果导向，以当好参谋助手、加强统筹协调、强化督办落实、优化服务保障为主线，以改革创新为动力，坚持系统观念，全力推动党中央重大决策和区委工作部署落地落实，组织开展全区全面深化改革重大问题的政策研究；协调督促有关方面落实领导小组决定事项、工作部署和要求；协调各专项小组、有关部门和单位就改革重要问题进行研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中共石家庄市藁城区委员会办公室本级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line="360" w:lineRule="auto"/>
        <w:ind w:firstLine="640"/>
        <w:jc w:val="left"/>
        <w:outlineLvl w:val="2"/>
      </w:pPr>
      <w:bookmarkStart w:id="10" w:name="_Toc1681692777"/>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按照预算管理有关规定，目前我省部门预算的编制实行综合预算管理，即全部收入和支出都反映在预算中。中共石家庄市藁城区委员会办公室机关及所属事业单位的收支包含在部门预算中。</w:t>
      </w:r>
    </w:p>
    <w:p>
      <w:pPr>
        <w:pStyle w:val="21"/>
      </w:pPr>
      <w:r>
        <w:t>1、收入说明</w:t>
      </w:r>
    </w:p>
    <w:p>
      <w:pPr>
        <w:pStyle w:val="21"/>
      </w:pPr>
      <w:r>
        <w:t>反映本部门当年全部收入。2023年预算收入1338.27万元，其中：一般公共预算收入1338.27万元，基金预算收入0万元，财政专户核拨收入0万元，其他来源收入0万元。</w:t>
      </w:r>
    </w:p>
    <w:p>
      <w:pPr>
        <w:pStyle w:val="21"/>
      </w:pPr>
      <w:r>
        <w:t>2、支出说明</w:t>
      </w:r>
    </w:p>
    <w:p>
      <w:pPr>
        <w:pStyle w:val="21"/>
      </w:pPr>
      <w:r>
        <w:t>收支预算总表支出栏、基本支出表、项目支出表按经济分类和支出功能分类科目编制，反映本部门预算中支出预算的总体情况。2023年部门支出预算为1338.27万元，其中基本支出1038.97万元，包括人员经费813.83万元和日常公用经费225.14万元；项目支出299.3万元，主要为疫情大数据云视频会议系统1.8万元，“纠风”活动经费4.5万元，档案管理经费5万元，地方志年鉴编纂经费10万元，电子公文系统开发建设及运维费25万元，国家安全宣传经费5万元，三重四创五优化办公经费5万元，深化改革管理系统维护费5万元，省委应急值守综合指挥调度平台运营费5万元，市级应急值守平台运营费1.8万元，新型决策咨询智库运营经费50万元</w:t>
      </w:r>
      <w:r>
        <w:rPr>
          <w:rFonts w:hint="eastAsia"/>
          <w:lang w:eastAsia="zh-CN"/>
        </w:rPr>
        <w:t>，其它均为涉密项目，不予公开</w:t>
      </w:r>
      <w:r>
        <w:t>；其他支出0万元。</w:t>
      </w:r>
    </w:p>
    <w:p>
      <w:pPr>
        <w:pStyle w:val="21"/>
      </w:pPr>
      <w:r>
        <w:t>3、比上年增减情况</w:t>
      </w:r>
    </w:p>
    <w:p>
      <w:pPr>
        <w:pStyle w:val="21"/>
      </w:pPr>
      <w:r>
        <w:t>2023年部门预算收支安排1338.27万元，较2022年增加68.81万元，其中：基本支出增加59.86万元，主要是增加月度绩效奖金，相应增加人员经费；项目支出增加8.95万元，主要是增加疫情大数据云视频会议系统、机要密码设备换装经费；其他支出无增减变化。</w:t>
      </w:r>
    </w:p>
    <w:p>
      <w:pPr>
        <w:spacing w:before="10" w:after="10" w:line="360" w:lineRule="auto"/>
        <w:ind w:firstLine="640"/>
        <w:jc w:val="left"/>
        <w:outlineLvl w:val="2"/>
      </w:pPr>
      <w:bookmarkStart w:id="11" w:name="_Toc1714636915"/>
      <w:r>
        <w:rPr>
          <w:rFonts w:ascii="黑体" w:hAnsi="黑体" w:eastAsia="黑体" w:cs="黑体"/>
          <w:color w:val="000000"/>
          <w:sz w:val="32"/>
        </w:rPr>
        <w:t>三、机关运行经费安排情况</w:t>
      </w:r>
      <w:bookmarkEnd w:id="11"/>
    </w:p>
    <w:p>
      <w:pPr>
        <w:pStyle w:val="22"/>
      </w:pPr>
      <w:r>
        <w:t>2023年，我部门机关运行经费共计安排225.14万元，主要用于保证机关正常运转的办公及印刷费、邮电费、差旅费、会议费、福利费、专用材料及一般设备购置费、公务车运行维护费等支出。</w:t>
      </w:r>
    </w:p>
    <w:p>
      <w:pPr>
        <w:keepNext w:val="0"/>
        <w:keepLines w:val="0"/>
        <w:pageBreakBefore w:val="0"/>
        <w:widowControl/>
        <w:kinsoku/>
        <w:wordWrap/>
        <w:overflowPunct/>
        <w:topLinePunct w:val="0"/>
        <w:autoSpaceDE/>
        <w:autoSpaceDN/>
        <w:bidi w:val="0"/>
        <w:adjustRightInd/>
        <w:snapToGrid/>
        <w:spacing w:line="360" w:lineRule="auto"/>
        <w:ind w:firstLine="641"/>
        <w:jc w:val="left"/>
        <w:textAlignment w:val="auto"/>
        <w:outlineLvl w:val="2"/>
      </w:pPr>
      <w:bookmarkStart w:id="12" w:name="_Toc1957747793"/>
      <w:r>
        <w:rPr>
          <w:rFonts w:ascii="黑体" w:hAnsi="黑体" w:eastAsia="黑体" w:cs="黑体"/>
          <w:color w:val="000000"/>
          <w:sz w:val="32"/>
        </w:rPr>
        <w:t>四、财政拨款“三公”经费预算情况及增减变化原因</w:t>
      </w:r>
      <w:bookmarkEnd w:id="12"/>
    </w:p>
    <w:p>
      <w:pPr>
        <w:pStyle w:val="23"/>
      </w:pPr>
      <w:r>
        <w:t>2023年，我部门财政拨款“三公”经费预算安排37.6万元，其中：因公出国（境）费20万元，与上年持平，无增减变化；公务用车购置及运维费17.6万元（其中：公务用车购置费0万元，较上年减少81万元，原因是无公车购置计划；公务用车运行维护费17.6万元，与上年持平，无增减变化。）；公务接待费0万元，与上年持平，无增减变化。“三公”经费与上年相比减少81万元，原因是无购车公车计划。</w:t>
      </w:r>
    </w:p>
    <w:p>
      <w:pPr>
        <w:spacing w:before="10" w:after="10" w:line="360" w:lineRule="auto"/>
        <w:ind w:firstLine="640"/>
        <w:jc w:val="left"/>
        <w:outlineLvl w:val="2"/>
      </w:pPr>
      <w:bookmarkStart w:id="13" w:name="_Toc424238335"/>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坚持以习近平新时代中国特色社会主义思想为指导，深入贯彻党的十九大和十九届二中、三中、四中、五中全会精神，增强“四个意识”、坚定“四个自信”、做到“两个维护”，坚持目标导向、问题导向、结果导向，以当好参谋助手、加强统筹协调、强化督办落实、优化服务保障为主线，以改革创新为动力，坚持系统观念，全力推动党中央重大决策和区委工作部署落地落实，争做让党放心、让人民满意的模范机关，坚决当好省委“坚强前哨”和“巩固后院”，以优异的成绩庆祝建党一百周年。</w:t>
      </w:r>
    </w:p>
    <w:p>
      <w:pPr>
        <w:pStyle w:val="24"/>
      </w:pPr>
      <w:r>
        <w:t>组织开展全区全面深化改革重大问题的政策研究；协调督促有关方面落实领导小组决定事项、工作部署和要求；协调各专项小组、有关部门和单位就改革重要问题进行研究。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1.信息收集与督查调研</w:t>
      </w:r>
    </w:p>
    <w:p>
      <w:pPr>
        <w:pStyle w:val="25"/>
      </w:pPr>
      <w:r>
        <w:t>绩效目标：充分发挥信息主渠道作用，为区领导提供高质量的信息服务；围绕党中央重大决策和省委、区委工作部署，聚焦“十四五”开好局、起好步，聚焦领导关注点和人民群众反映强烈的热点难点问题，深入组织开展调查研究，努力形成一批有深度、有价值的调研成果；围绕热点难点问题，精准督查，深度督办，强力推进中央和省委各项决策部署落到实处；充分发挥信息主渠道作用，为中央和省委领导提供高质量的信息服务。</w:t>
      </w:r>
    </w:p>
    <w:p>
      <w:pPr>
        <w:pStyle w:val="25"/>
      </w:pPr>
      <w:r>
        <w:t>绩效指标：对中央和省委、区委重大决策部署落实情况进行专项督查8次以上，区委重点工作任务督办率达到100%，督查督办按时办结率95%以上。</w:t>
      </w:r>
    </w:p>
    <w:p>
      <w:pPr>
        <w:pStyle w:val="25"/>
      </w:pPr>
      <w:r>
        <w:t>2.全区党委办公厅（室）系统信息化建设</w:t>
      </w:r>
    </w:p>
    <w:p>
      <w:pPr>
        <w:pStyle w:val="25"/>
      </w:pPr>
      <w:r>
        <w:t>绩效目标：加快推进藁城区党委系统机关创新网上办公，进一步提升我区党委系统机关业务工作规范化、信息化水平，实现无纸化办公；保障区公务内网具有高可靠性和安全保密性，保证承载的应用系统正常运行，具备完备的网络安全保障及运营支撑体系。</w:t>
      </w:r>
    </w:p>
    <w:p>
      <w:pPr>
        <w:pStyle w:val="25"/>
      </w:pPr>
      <w:r>
        <w:t>绩效指标：进一步提高机关办公效率，机关节约办公用纸25%，实现公务内网纵向连接横向带宽不小于155M；非不可抗力造成的公务内网业务故障处理时限在4小时以内。</w:t>
      </w:r>
    </w:p>
    <w:p>
      <w:pPr>
        <w:pStyle w:val="25"/>
      </w:pPr>
      <w:r>
        <w:t>3.保密机要管理</w:t>
      </w:r>
    </w:p>
    <w:p>
      <w:pPr>
        <w:pStyle w:val="25"/>
      </w:pPr>
      <w:r>
        <w:t>绩效目标：做好保密机要工作，加大培训力度，确保不发生失、泄密情况。</w:t>
      </w:r>
    </w:p>
    <w:p>
      <w:pPr>
        <w:pStyle w:val="25"/>
      </w:pPr>
      <w:r>
        <w:t>绩效指标：机要保密工作完成率100%；业务培训覆盖率98%；保密机要知识普及率100%。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（一）完善制度建设。我办制定完善预算绩效管理制度、资金管理办法、工作保障制度等，为全年预算绩效目标的实现奠定制度基础。</w:t>
      </w:r>
    </w:p>
    <w:p>
      <w:pPr>
        <w:pStyle w:val="26"/>
      </w:pPr>
      <w:r>
        <w:t>（二）加强支出管理。通过优化支出结构、编细编实预算、加快履行政府采购手续、尽快启动项目、及时支付资金、6月底前细化代编预算、按规定及时下达资金等多种措施，确保支出进度达标。</w:t>
      </w:r>
    </w:p>
    <w:p>
      <w:pPr>
        <w:pStyle w:val="26"/>
      </w:pPr>
      <w:r>
        <w:t>（三）加强绩效运行监控。按要求开展绩效运行监控，发现问题及时采取措施，确保绩效目标如期保质实现。</w:t>
      </w:r>
    </w:p>
    <w:p>
      <w:pPr>
        <w:pStyle w:val="26"/>
      </w:pPr>
      <w:r>
        <w:t>（四）做好绩效自评。按要求开展上年度部门预算绩效自评和重点评价工作，对评价中发现的问题及时整改，调整优化支出结构，提高财政资金使用效益。</w:t>
      </w:r>
    </w:p>
    <w:p>
      <w:pPr>
        <w:pStyle w:val="26"/>
      </w:pPr>
      <w:r>
        <w:t>（五）规范财务资产管理。完善财务管理制度，严格审批程序，加强固定资产登记、使用和报废处置管理，做到支出合理，物尽其用。</w:t>
      </w:r>
    </w:p>
    <w:p>
      <w:pPr>
        <w:pStyle w:val="26"/>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6"/>
      </w:pPr>
      <w:r>
        <w:t>（七）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1、“纠风”活动经费绩效目标表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1.完成“纠风”活动任务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印制文件份数</w:t>
            </w:r>
          </w:p>
        </w:tc>
        <w:tc>
          <w:tcPr>
            <w:tcW w:w="2835" w:type="dxa"/>
            <w:vAlign w:val="center"/>
          </w:tcPr>
          <w:p>
            <w:pPr>
              <w:pStyle w:val="15"/>
            </w:pPr>
            <w:r>
              <w:t>打印文件份数</w:t>
            </w:r>
          </w:p>
        </w:tc>
        <w:tc>
          <w:tcPr>
            <w:tcW w:w="2551" w:type="dxa"/>
            <w:vAlign w:val="center"/>
          </w:tcPr>
          <w:p>
            <w:pPr>
              <w:pStyle w:val="15"/>
            </w:pPr>
            <w:r>
              <w:t>≥200份</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印制质量合格率</w:t>
            </w:r>
          </w:p>
        </w:tc>
        <w:tc>
          <w:tcPr>
            <w:tcW w:w="2835" w:type="dxa"/>
            <w:vAlign w:val="center"/>
          </w:tcPr>
          <w:p>
            <w:pPr>
              <w:pStyle w:val="15"/>
            </w:pPr>
            <w:r>
              <w:t>打印文件质量合格率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打印工作完成率</w:t>
            </w:r>
          </w:p>
        </w:tc>
        <w:tc>
          <w:tcPr>
            <w:tcW w:w="2835" w:type="dxa"/>
            <w:vAlign w:val="center"/>
          </w:tcPr>
          <w:p>
            <w:pPr>
              <w:pStyle w:val="15"/>
            </w:pPr>
            <w:r>
              <w:t>打印文件工作完成率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≤4.5万元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保障工作顺利开展</w:t>
            </w:r>
          </w:p>
        </w:tc>
        <w:tc>
          <w:tcPr>
            <w:tcW w:w="2835" w:type="dxa"/>
            <w:vAlign w:val="center"/>
          </w:tcPr>
          <w:p>
            <w:pPr>
              <w:pStyle w:val="15"/>
            </w:pPr>
            <w:r>
              <w:t>保障工作正常开展</w:t>
            </w:r>
          </w:p>
        </w:tc>
        <w:tc>
          <w:tcPr>
            <w:tcW w:w="2551" w:type="dxa"/>
            <w:vAlign w:val="center"/>
          </w:tcPr>
          <w:p>
            <w:pPr>
              <w:pStyle w:val="15"/>
              <w:rPr>
                <w:rFonts w:hint="eastAsia" w:eastAsia="方正书宋_GBK"/>
                <w:lang w:eastAsia="zh-CN"/>
              </w:rPr>
            </w:pPr>
            <w:r>
              <w:rPr>
                <w:rFonts w:hint="eastAsia"/>
                <w:lang w:eastAsia="zh-CN"/>
              </w:rPr>
              <w:t>保障工作正常开展</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所服务对象满意程度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、档案管理经费绩效目标表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1.完成档案管理工作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印制文件份数</w:t>
            </w:r>
          </w:p>
        </w:tc>
        <w:tc>
          <w:tcPr>
            <w:tcW w:w="2835" w:type="dxa"/>
            <w:vAlign w:val="center"/>
          </w:tcPr>
          <w:p>
            <w:pPr>
              <w:pStyle w:val="15"/>
            </w:pPr>
            <w:r>
              <w:t>打印文件份数</w:t>
            </w:r>
          </w:p>
        </w:tc>
        <w:tc>
          <w:tcPr>
            <w:tcW w:w="2551" w:type="dxa"/>
            <w:vAlign w:val="center"/>
          </w:tcPr>
          <w:p>
            <w:pPr>
              <w:pStyle w:val="15"/>
            </w:pPr>
            <w:r>
              <w:t>≥1500份</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印制质量合格率</w:t>
            </w:r>
          </w:p>
        </w:tc>
        <w:tc>
          <w:tcPr>
            <w:tcW w:w="2835" w:type="dxa"/>
            <w:vAlign w:val="center"/>
          </w:tcPr>
          <w:p>
            <w:pPr>
              <w:pStyle w:val="15"/>
            </w:pPr>
            <w:r>
              <w:t>打印文件质量合格率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打印工作完成率</w:t>
            </w:r>
          </w:p>
        </w:tc>
        <w:tc>
          <w:tcPr>
            <w:tcW w:w="2835" w:type="dxa"/>
            <w:vAlign w:val="center"/>
          </w:tcPr>
          <w:p>
            <w:pPr>
              <w:pStyle w:val="15"/>
            </w:pPr>
            <w:r>
              <w:t>打印文件工作完成率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≤5万元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保障工作顺利开展</w:t>
            </w:r>
          </w:p>
        </w:tc>
        <w:tc>
          <w:tcPr>
            <w:tcW w:w="2835" w:type="dxa"/>
            <w:vAlign w:val="center"/>
          </w:tcPr>
          <w:p>
            <w:pPr>
              <w:pStyle w:val="15"/>
            </w:pPr>
            <w:r>
              <w:t>保障工作正常开展</w:t>
            </w:r>
          </w:p>
        </w:tc>
        <w:tc>
          <w:tcPr>
            <w:tcW w:w="2551" w:type="dxa"/>
            <w:vAlign w:val="center"/>
          </w:tcPr>
          <w:p>
            <w:pPr>
              <w:pStyle w:val="15"/>
            </w:pPr>
            <w:r>
              <w:rPr>
                <w:rFonts w:hint="eastAsia"/>
                <w:lang w:eastAsia="zh-CN"/>
              </w:rPr>
              <w:t>保障工作正常开展</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所服务对象满意程度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、地方志年鉴编纂经费绩效目标表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1.完成地方志编纂工作任务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年鉴份数</w:t>
            </w:r>
          </w:p>
        </w:tc>
        <w:tc>
          <w:tcPr>
            <w:tcW w:w="2835" w:type="dxa"/>
            <w:vAlign w:val="center"/>
          </w:tcPr>
          <w:p>
            <w:pPr>
              <w:pStyle w:val="15"/>
            </w:pPr>
            <w:r>
              <w:t>印制年鉴份数</w:t>
            </w:r>
          </w:p>
        </w:tc>
        <w:tc>
          <w:tcPr>
            <w:tcW w:w="2551" w:type="dxa"/>
            <w:vAlign w:val="center"/>
          </w:tcPr>
          <w:p>
            <w:pPr>
              <w:pStyle w:val="15"/>
            </w:pPr>
            <w:r>
              <w:t>≥1600份</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年鉴编纂完成率</w:t>
            </w:r>
          </w:p>
        </w:tc>
        <w:tc>
          <w:tcPr>
            <w:tcW w:w="2835" w:type="dxa"/>
            <w:vAlign w:val="center"/>
          </w:tcPr>
          <w:p>
            <w:pPr>
              <w:pStyle w:val="15"/>
            </w:pPr>
            <w:r>
              <w:t>地方志年鉴编纂完成率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资金到位率</w:t>
            </w:r>
          </w:p>
        </w:tc>
        <w:tc>
          <w:tcPr>
            <w:tcW w:w="2835" w:type="dxa"/>
            <w:vAlign w:val="center"/>
          </w:tcPr>
          <w:p>
            <w:pPr>
              <w:pStyle w:val="15"/>
            </w:pPr>
            <w:r>
              <w:t>年鉴编纂经费到位率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根据市场价确定</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确保地方志工作按时完成</w:t>
            </w:r>
          </w:p>
        </w:tc>
        <w:tc>
          <w:tcPr>
            <w:tcW w:w="2835" w:type="dxa"/>
            <w:vAlign w:val="center"/>
          </w:tcPr>
          <w:p>
            <w:pPr>
              <w:pStyle w:val="15"/>
            </w:pPr>
            <w:r>
              <w:t>确保地方志工作按时完成</w:t>
            </w:r>
          </w:p>
        </w:tc>
        <w:tc>
          <w:tcPr>
            <w:tcW w:w="2551" w:type="dxa"/>
            <w:vAlign w:val="center"/>
          </w:tcPr>
          <w:p>
            <w:pPr>
              <w:pStyle w:val="15"/>
            </w:pPr>
            <w:r>
              <w:rPr>
                <w:rFonts w:hint="eastAsia"/>
                <w:lang w:eastAsia="zh-CN"/>
              </w:rPr>
              <w:t>保障地方志工作正常开展</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各单位对地方志年鉴的满意程度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、电子公文系统开发建设及运维费绩效目标表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1.完成电子公文系统开发建设及运维工作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系统覆盖率</w:t>
            </w:r>
          </w:p>
        </w:tc>
        <w:tc>
          <w:tcPr>
            <w:tcW w:w="2835" w:type="dxa"/>
            <w:vAlign w:val="center"/>
          </w:tcPr>
          <w:p>
            <w:pPr>
              <w:pStyle w:val="15"/>
            </w:pPr>
            <w:r>
              <w:t>系统使用覆盖率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故障排除率</w:t>
            </w:r>
          </w:p>
        </w:tc>
        <w:tc>
          <w:tcPr>
            <w:tcW w:w="2835" w:type="dxa"/>
            <w:vAlign w:val="center"/>
          </w:tcPr>
          <w:p>
            <w:pPr>
              <w:pStyle w:val="15"/>
            </w:pPr>
            <w:r>
              <w:t>系统故障排除率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系统完成率</w:t>
            </w:r>
          </w:p>
        </w:tc>
        <w:tc>
          <w:tcPr>
            <w:tcW w:w="2835" w:type="dxa"/>
            <w:vAlign w:val="center"/>
          </w:tcPr>
          <w:p>
            <w:pPr>
              <w:pStyle w:val="15"/>
            </w:pPr>
            <w:r>
              <w:t>系统按时完成率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≤25万元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保障系统正常运转</w:t>
            </w:r>
          </w:p>
        </w:tc>
        <w:tc>
          <w:tcPr>
            <w:tcW w:w="2835" w:type="dxa"/>
            <w:vAlign w:val="center"/>
          </w:tcPr>
          <w:p>
            <w:pPr>
              <w:pStyle w:val="15"/>
            </w:pPr>
            <w:r>
              <w:t>保障系统正常运转</w:t>
            </w:r>
          </w:p>
        </w:tc>
        <w:tc>
          <w:tcPr>
            <w:tcW w:w="2551" w:type="dxa"/>
            <w:vAlign w:val="center"/>
          </w:tcPr>
          <w:p>
            <w:pPr>
              <w:pStyle w:val="15"/>
              <w:rPr>
                <w:rFonts w:hint="eastAsia" w:eastAsia="方正书宋_GBK"/>
                <w:lang w:eastAsia="zh-CN"/>
              </w:rPr>
            </w:pPr>
            <w:r>
              <w:rPr>
                <w:rFonts w:hint="eastAsia"/>
                <w:lang w:eastAsia="zh-CN"/>
              </w:rPr>
              <w:t>保障系统正常运转</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用户使用满意度</w:t>
            </w:r>
          </w:p>
        </w:tc>
        <w:tc>
          <w:tcPr>
            <w:tcW w:w="2835" w:type="dxa"/>
            <w:vAlign w:val="center"/>
          </w:tcPr>
          <w:p>
            <w:pPr>
              <w:pStyle w:val="15"/>
            </w:pPr>
            <w:r>
              <w:t>用户使用平台的满意度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、国家安全宣传经费绩效目标表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1.完成国家安全宣传工作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购置展牌数量</w:t>
            </w:r>
          </w:p>
        </w:tc>
        <w:tc>
          <w:tcPr>
            <w:tcW w:w="2835" w:type="dxa"/>
            <w:vAlign w:val="center"/>
          </w:tcPr>
          <w:p>
            <w:pPr>
              <w:pStyle w:val="15"/>
            </w:pPr>
            <w:r>
              <w:t>购置展牌数量</w:t>
            </w:r>
          </w:p>
        </w:tc>
        <w:tc>
          <w:tcPr>
            <w:tcW w:w="2551" w:type="dxa"/>
            <w:vAlign w:val="center"/>
          </w:tcPr>
          <w:p>
            <w:pPr>
              <w:pStyle w:val="15"/>
            </w:pPr>
            <w:r>
              <w:t>≥100块</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展牌质量合格率</w:t>
            </w:r>
          </w:p>
        </w:tc>
        <w:tc>
          <w:tcPr>
            <w:tcW w:w="2835" w:type="dxa"/>
            <w:vAlign w:val="center"/>
          </w:tcPr>
          <w:p>
            <w:pPr>
              <w:pStyle w:val="15"/>
            </w:pPr>
            <w:r>
              <w:t>确保展牌数量合格</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宣传及时率</w:t>
            </w:r>
          </w:p>
        </w:tc>
        <w:tc>
          <w:tcPr>
            <w:tcW w:w="2835" w:type="dxa"/>
            <w:vAlign w:val="center"/>
          </w:tcPr>
          <w:p>
            <w:pPr>
              <w:pStyle w:val="15"/>
            </w:pPr>
            <w:r>
              <w:t>按规定完成对国家安全的宣传</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≤5万元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社会影响力</w:t>
            </w:r>
          </w:p>
        </w:tc>
        <w:tc>
          <w:tcPr>
            <w:tcW w:w="2835" w:type="dxa"/>
            <w:vAlign w:val="center"/>
          </w:tcPr>
          <w:p>
            <w:pPr>
              <w:pStyle w:val="15"/>
            </w:pPr>
            <w:r>
              <w:t>社会影响力</w:t>
            </w:r>
          </w:p>
        </w:tc>
        <w:tc>
          <w:tcPr>
            <w:tcW w:w="2551" w:type="dxa"/>
            <w:vAlign w:val="center"/>
          </w:tcPr>
          <w:p>
            <w:pPr>
              <w:pStyle w:val="15"/>
              <w:rPr>
                <w:rFonts w:hint="eastAsia" w:eastAsia="方正书宋_GBK"/>
                <w:lang w:eastAsia="zh-CN"/>
              </w:rPr>
            </w:pPr>
            <w:r>
              <w:rPr>
                <w:rFonts w:hint="eastAsia"/>
                <w:lang w:eastAsia="zh-CN"/>
              </w:rPr>
              <w:t>社会影响力发挥良好</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所提供服务的满意度</w:t>
            </w:r>
          </w:p>
        </w:tc>
        <w:tc>
          <w:tcPr>
            <w:tcW w:w="2551" w:type="dxa"/>
            <w:vAlign w:val="center"/>
          </w:tcPr>
          <w:p>
            <w:pPr>
              <w:pStyle w:val="15"/>
            </w:pPr>
            <w:r>
              <w:t>≥98%</w:t>
            </w:r>
          </w:p>
        </w:tc>
        <w:tc>
          <w:tcPr>
            <w:tcW w:w="2268" w:type="dxa"/>
            <w:vAlign w:val="center"/>
          </w:tcPr>
          <w:p>
            <w:pPr>
              <w:pStyle w:val="15"/>
            </w:pPr>
            <w:r>
              <w:t>调查问卷</w:t>
            </w:r>
          </w:p>
        </w:tc>
      </w:tr>
    </w:tbl>
    <w:p>
      <w:pPr>
        <w:rPr>
          <w:rFonts w:hint="eastAsia"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 xml:space="preserve"> </w:t>
      </w: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、三重四创五优化办公经费绩效目标表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1.完成三重四创五优化工作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打印文件份数</w:t>
            </w:r>
          </w:p>
        </w:tc>
        <w:tc>
          <w:tcPr>
            <w:tcW w:w="2835" w:type="dxa"/>
            <w:vAlign w:val="center"/>
          </w:tcPr>
          <w:p>
            <w:pPr>
              <w:pStyle w:val="15"/>
            </w:pPr>
            <w:r>
              <w:t>印制文件材料份数</w:t>
            </w:r>
          </w:p>
        </w:tc>
        <w:tc>
          <w:tcPr>
            <w:tcW w:w="2551" w:type="dxa"/>
            <w:vAlign w:val="center"/>
          </w:tcPr>
          <w:p>
            <w:pPr>
              <w:pStyle w:val="15"/>
            </w:pPr>
            <w:r>
              <w:t>≥2000份</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文件质量合格率</w:t>
            </w:r>
          </w:p>
        </w:tc>
        <w:tc>
          <w:tcPr>
            <w:tcW w:w="2835" w:type="dxa"/>
            <w:vAlign w:val="center"/>
          </w:tcPr>
          <w:p>
            <w:pPr>
              <w:pStyle w:val="15"/>
            </w:pPr>
            <w:r>
              <w:t>确保文件质量合格</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按时完成率</w:t>
            </w:r>
          </w:p>
        </w:tc>
        <w:tc>
          <w:tcPr>
            <w:tcW w:w="2835" w:type="dxa"/>
            <w:vAlign w:val="center"/>
          </w:tcPr>
          <w:p>
            <w:pPr>
              <w:pStyle w:val="15"/>
            </w:pPr>
            <w:r>
              <w:t>按时完成工作率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≤5万元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保障工作顺利开展</w:t>
            </w:r>
          </w:p>
        </w:tc>
        <w:tc>
          <w:tcPr>
            <w:tcW w:w="2835" w:type="dxa"/>
            <w:vAlign w:val="center"/>
          </w:tcPr>
          <w:p>
            <w:pPr>
              <w:pStyle w:val="15"/>
            </w:pPr>
            <w:r>
              <w:t>保障工作正常开展</w:t>
            </w:r>
          </w:p>
        </w:tc>
        <w:tc>
          <w:tcPr>
            <w:tcW w:w="2551" w:type="dxa"/>
            <w:vAlign w:val="center"/>
          </w:tcPr>
          <w:p>
            <w:pPr>
              <w:pStyle w:val="15"/>
              <w:rPr>
                <w:rFonts w:hint="eastAsia" w:eastAsia="方正书宋_GBK"/>
                <w:lang w:eastAsia="zh-CN"/>
              </w:rPr>
            </w:pPr>
            <w:r>
              <w:rPr>
                <w:rFonts w:hint="eastAsia"/>
                <w:lang w:eastAsia="zh-CN"/>
              </w:rPr>
              <w:t>保障工作正常开展</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服务对象满意程度</w:t>
            </w:r>
          </w:p>
        </w:tc>
        <w:tc>
          <w:tcPr>
            <w:tcW w:w="2835" w:type="dxa"/>
            <w:vAlign w:val="center"/>
          </w:tcPr>
          <w:p>
            <w:pPr>
              <w:pStyle w:val="15"/>
            </w:pPr>
            <w:r>
              <w:t>所提供服务的满意度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、深化改革管理系统维护费绩效目标表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1.完成深化改革管理系统维护工作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系统覆盖率</w:t>
            </w:r>
          </w:p>
        </w:tc>
        <w:tc>
          <w:tcPr>
            <w:tcW w:w="2835" w:type="dxa"/>
            <w:vAlign w:val="center"/>
          </w:tcPr>
          <w:p>
            <w:pPr>
              <w:pStyle w:val="15"/>
            </w:pPr>
            <w:r>
              <w:t>系统使用覆盖率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故障排除率</w:t>
            </w:r>
          </w:p>
        </w:tc>
        <w:tc>
          <w:tcPr>
            <w:tcW w:w="2835" w:type="dxa"/>
            <w:vAlign w:val="center"/>
          </w:tcPr>
          <w:p>
            <w:pPr>
              <w:pStyle w:val="15"/>
            </w:pPr>
            <w:r>
              <w:t>系统故障排除率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系统完成率</w:t>
            </w:r>
          </w:p>
        </w:tc>
        <w:tc>
          <w:tcPr>
            <w:tcW w:w="2835" w:type="dxa"/>
            <w:vAlign w:val="center"/>
          </w:tcPr>
          <w:p>
            <w:pPr>
              <w:pStyle w:val="15"/>
            </w:pPr>
            <w:r>
              <w:t>系统按时完成率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≤5万元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保障系统正常运转</w:t>
            </w:r>
          </w:p>
        </w:tc>
        <w:tc>
          <w:tcPr>
            <w:tcW w:w="2835" w:type="dxa"/>
            <w:vAlign w:val="center"/>
          </w:tcPr>
          <w:p>
            <w:pPr>
              <w:pStyle w:val="15"/>
            </w:pPr>
            <w:r>
              <w:t>保障系统正常运转</w:t>
            </w:r>
          </w:p>
        </w:tc>
        <w:tc>
          <w:tcPr>
            <w:tcW w:w="2551" w:type="dxa"/>
            <w:vAlign w:val="center"/>
          </w:tcPr>
          <w:p>
            <w:pPr>
              <w:pStyle w:val="15"/>
              <w:rPr>
                <w:rFonts w:hint="eastAsia" w:eastAsia="方正书宋_GBK"/>
                <w:lang w:eastAsia="zh-CN"/>
              </w:rPr>
            </w:pPr>
            <w:r>
              <w:rPr>
                <w:rFonts w:hint="eastAsia"/>
                <w:lang w:eastAsia="zh-CN"/>
              </w:rPr>
              <w:t>保障系统正常运转</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用户使用满意度</w:t>
            </w:r>
          </w:p>
        </w:tc>
        <w:tc>
          <w:tcPr>
            <w:tcW w:w="2835" w:type="dxa"/>
            <w:vAlign w:val="center"/>
          </w:tcPr>
          <w:p>
            <w:pPr>
              <w:pStyle w:val="15"/>
            </w:pPr>
            <w:r>
              <w:t>用户使用平台的满意度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、省委应急值守综合指挥调度平台运营费绩效目标表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1.完成省委应急值守综合指挥调度平台运营工作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系统覆盖率</w:t>
            </w:r>
          </w:p>
        </w:tc>
        <w:tc>
          <w:tcPr>
            <w:tcW w:w="2835" w:type="dxa"/>
            <w:vAlign w:val="center"/>
          </w:tcPr>
          <w:p>
            <w:pPr>
              <w:pStyle w:val="15"/>
            </w:pPr>
            <w:r>
              <w:t>系统覆盖率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平台运营良好</w:t>
            </w:r>
          </w:p>
        </w:tc>
        <w:tc>
          <w:tcPr>
            <w:tcW w:w="2835" w:type="dxa"/>
            <w:vAlign w:val="center"/>
          </w:tcPr>
          <w:p>
            <w:pPr>
              <w:pStyle w:val="15"/>
            </w:pPr>
            <w:r>
              <w:t>平台发生故障时间少</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平台运营及时率</w:t>
            </w:r>
          </w:p>
        </w:tc>
        <w:tc>
          <w:tcPr>
            <w:tcW w:w="2835" w:type="dxa"/>
            <w:vAlign w:val="center"/>
          </w:tcPr>
          <w:p>
            <w:pPr>
              <w:pStyle w:val="15"/>
            </w:pPr>
            <w:r>
              <w:t>平台及时运营</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≤5万元</w:t>
            </w:r>
          </w:p>
        </w:tc>
        <w:tc>
          <w:tcPr>
            <w:tcW w:w="2268" w:type="dxa"/>
            <w:vAlign w:val="center"/>
          </w:tcPr>
          <w:p>
            <w:pPr>
              <w:pStyle w:val="15"/>
            </w:pPr>
            <w:r>
              <w:t>预算文本</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平台运营良好运转</w:t>
            </w:r>
          </w:p>
        </w:tc>
        <w:tc>
          <w:tcPr>
            <w:tcW w:w="2835" w:type="dxa"/>
            <w:vAlign w:val="center"/>
          </w:tcPr>
          <w:p>
            <w:pPr>
              <w:pStyle w:val="15"/>
            </w:pPr>
            <w:r>
              <w:t>平台良好运营，工作顺利开展</w:t>
            </w:r>
          </w:p>
        </w:tc>
        <w:tc>
          <w:tcPr>
            <w:tcW w:w="2551" w:type="dxa"/>
            <w:vAlign w:val="center"/>
          </w:tcPr>
          <w:p>
            <w:pPr>
              <w:pStyle w:val="15"/>
              <w:rPr>
                <w:rFonts w:hint="eastAsia" w:eastAsia="方正书宋_GBK"/>
                <w:lang w:eastAsia="zh-CN"/>
              </w:rPr>
            </w:pPr>
            <w:r>
              <w:rPr>
                <w:rFonts w:hint="eastAsia"/>
                <w:lang w:eastAsia="zh-CN"/>
              </w:rPr>
              <w:t>保障平台良好运营</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对平台运营的满意度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、市级应急值守平台运营费绩效目标表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1.完成市级应急值守平台运营工作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系统覆盖率</w:t>
            </w:r>
          </w:p>
        </w:tc>
        <w:tc>
          <w:tcPr>
            <w:tcW w:w="2835" w:type="dxa"/>
            <w:vAlign w:val="center"/>
          </w:tcPr>
          <w:p>
            <w:pPr>
              <w:pStyle w:val="15"/>
            </w:pPr>
            <w:r>
              <w:t>系统覆盖率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平台运营良好</w:t>
            </w:r>
          </w:p>
        </w:tc>
        <w:tc>
          <w:tcPr>
            <w:tcW w:w="2835" w:type="dxa"/>
            <w:vAlign w:val="center"/>
          </w:tcPr>
          <w:p>
            <w:pPr>
              <w:pStyle w:val="15"/>
            </w:pPr>
            <w:r>
              <w:t>平台发生故障时间少</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平台运营及时率</w:t>
            </w:r>
          </w:p>
        </w:tc>
        <w:tc>
          <w:tcPr>
            <w:tcW w:w="2835" w:type="dxa"/>
            <w:vAlign w:val="center"/>
          </w:tcPr>
          <w:p>
            <w:pPr>
              <w:pStyle w:val="15"/>
            </w:pPr>
            <w:r>
              <w:t>平台及时运营</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≤1.8万元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平台运营良好运转</w:t>
            </w:r>
          </w:p>
        </w:tc>
        <w:tc>
          <w:tcPr>
            <w:tcW w:w="2835" w:type="dxa"/>
            <w:vAlign w:val="center"/>
          </w:tcPr>
          <w:p>
            <w:pPr>
              <w:pStyle w:val="15"/>
            </w:pPr>
            <w:r>
              <w:t>平台良好运营</w:t>
            </w:r>
          </w:p>
        </w:tc>
        <w:tc>
          <w:tcPr>
            <w:tcW w:w="2551" w:type="dxa"/>
            <w:vAlign w:val="center"/>
          </w:tcPr>
          <w:p>
            <w:pPr>
              <w:pStyle w:val="15"/>
            </w:pPr>
            <w:r>
              <w:rPr>
                <w:rFonts w:hint="eastAsia"/>
                <w:lang w:eastAsia="zh-CN"/>
              </w:rPr>
              <w:t>保障平台良好运营</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对平台运营的满意度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、新型决策咨询智库运营经费绩效目标表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1.完成新型决策咨询智库工作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办公耗材数量</w:t>
            </w:r>
          </w:p>
        </w:tc>
        <w:tc>
          <w:tcPr>
            <w:tcW w:w="2835" w:type="dxa"/>
            <w:vAlign w:val="center"/>
          </w:tcPr>
          <w:p>
            <w:pPr>
              <w:pStyle w:val="15"/>
            </w:pPr>
            <w:r>
              <w:t>购置办公产品数量</w:t>
            </w:r>
          </w:p>
        </w:tc>
        <w:tc>
          <w:tcPr>
            <w:tcW w:w="2551" w:type="dxa"/>
            <w:vAlign w:val="center"/>
          </w:tcPr>
          <w:p>
            <w:pPr>
              <w:pStyle w:val="15"/>
            </w:pPr>
            <w:r>
              <w:t>≥500份</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工作完成率</w:t>
            </w:r>
          </w:p>
        </w:tc>
        <w:tc>
          <w:tcPr>
            <w:tcW w:w="2835" w:type="dxa"/>
            <w:vAlign w:val="center"/>
          </w:tcPr>
          <w:p>
            <w:pPr>
              <w:pStyle w:val="15"/>
            </w:pPr>
            <w:r>
              <w:t>智库工作完成率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资金到位率</w:t>
            </w:r>
          </w:p>
        </w:tc>
        <w:tc>
          <w:tcPr>
            <w:tcW w:w="2835" w:type="dxa"/>
            <w:vAlign w:val="center"/>
          </w:tcPr>
          <w:p>
            <w:pPr>
              <w:pStyle w:val="15"/>
            </w:pPr>
            <w:r>
              <w:t>资金及时到位率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≤50万元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保障工作正常开展</w:t>
            </w:r>
          </w:p>
        </w:tc>
        <w:tc>
          <w:tcPr>
            <w:tcW w:w="2835" w:type="dxa"/>
            <w:vAlign w:val="center"/>
          </w:tcPr>
          <w:p>
            <w:pPr>
              <w:pStyle w:val="15"/>
            </w:pPr>
            <w:r>
              <w:t>保障智库工作正常开展</w:t>
            </w:r>
          </w:p>
        </w:tc>
        <w:tc>
          <w:tcPr>
            <w:tcW w:w="2551" w:type="dxa"/>
            <w:vAlign w:val="center"/>
          </w:tcPr>
          <w:p>
            <w:pPr>
              <w:pStyle w:val="15"/>
              <w:rPr>
                <w:rFonts w:hint="eastAsia" w:eastAsia="方正书宋_GBK"/>
                <w:lang w:eastAsia="zh-CN"/>
              </w:rPr>
            </w:pPr>
            <w:r>
              <w:rPr>
                <w:rFonts w:hint="eastAsia"/>
                <w:lang w:eastAsia="zh-CN"/>
              </w:rPr>
              <w:t>保障智库工作正常开展</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2835" w:type="dxa"/>
            <w:vAlign w:val="center"/>
          </w:tcPr>
          <w:p>
            <w:pPr>
              <w:pStyle w:val="15"/>
            </w:pPr>
            <w:r>
              <w:t>所提供服务的满意度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11</w:t>
      </w:r>
      <w:r>
        <w:rPr>
          <w:rFonts w:ascii="方正仿宋_GBK" w:hAnsi="方正仿宋_GBK" w:eastAsia="方正仿宋_GBK" w:cs="方正仿宋_GBK"/>
          <w:b/>
          <w:color w:val="000000"/>
          <w:sz w:val="28"/>
        </w:rPr>
        <w:t>、疫情大数据云视频会议系统绩效目标表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t>1.完成疫情大数据云视频系统使用工作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系统覆盖率</w:t>
            </w:r>
          </w:p>
        </w:tc>
        <w:tc>
          <w:tcPr>
            <w:tcW w:w="2835" w:type="dxa"/>
            <w:vAlign w:val="center"/>
          </w:tcPr>
          <w:p>
            <w:pPr>
              <w:pStyle w:val="15"/>
            </w:pPr>
            <w:r>
              <w:t>系统使用覆盖率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故障排除率</w:t>
            </w:r>
          </w:p>
        </w:tc>
        <w:tc>
          <w:tcPr>
            <w:tcW w:w="2835" w:type="dxa"/>
            <w:vAlign w:val="center"/>
          </w:tcPr>
          <w:p>
            <w:pPr>
              <w:pStyle w:val="15"/>
            </w:pPr>
            <w:r>
              <w:t>系统故障排除率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系统完成率</w:t>
            </w:r>
          </w:p>
        </w:tc>
        <w:tc>
          <w:tcPr>
            <w:tcW w:w="2835" w:type="dxa"/>
            <w:vAlign w:val="center"/>
          </w:tcPr>
          <w:p>
            <w:pPr>
              <w:pStyle w:val="15"/>
            </w:pPr>
            <w:r>
              <w:t>系统按时完成率</w:t>
            </w:r>
          </w:p>
        </w:tc>
        <w:tc>
          <w:tcPr>
            <w:tcW w:w="2551" w:type="dxa"/>
            <w:vAlign w:val="center"/>
          </w:tcPr>
          <w:p>
            <w:pPr>
              <w:pStyle w:val="15"/>
            </w:pPr>
            <w:r>
              <w:t>≥98%</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预算控制数</w:t>
            </w:r>
          </w:p>
        </w:tc>
        <w:tc>
          <w:tcPr>
            <w:tcW w:w="2835" w:type="dxa"/>
            <w:vAlign w:val="center"/>
          </w:tcPr>
          <w:p>
            <w:pPr>
              <w:pStyle w:val="15"/>
            </w:pPr>
            <w:r>
              <w:t>预算控制数</w:t>
            </w:r>
          </w:p>
        </w:tc>
        <w:tc>
          <w:tcPr>
            <w:tcW w:w="2551" w:type="dxa"/>
            <w:vAlign w:val="center"/>
          </w:tcPr>
          <w:p>
            <w:pPr>
              <w:pStyle w:val="15"/>
            </w:pPr>
            <w:r>
              <w:t>≤1.8万元</w:t>
            </w:r>
          </w:p>
        </w:tc>
        <w:tc>
          <w:tcPr>
            <w:tcW w:w="2268" w:type="dxa"/>
            <w:vAlign w:val="center"/>
          </w:tcPr>
          <w:p>
            <w:pPr>
              <w:pStyle w:val="15"/>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保障系统正常运转</w:t>
            </w:r>
          </w:p>
        </w:tc>
        <w:tc>
          <w:tcPr>
            <w:tcW w:w="2835" w:type="dxa"/>
            <w:vAlign w:val="center"/>
          </w:tcPr>
          <w:p>
            <w:pPr>
              <w:pStyle w:val="15"/>
            </w:pPr>
            <w:r>
              <w:t>保障系统正常运转</w:t>
            </w:r>
          </w:p>
        </w:tc>
        <w:tc>
          <w:tcPr>
            <w:tcW w:w="2551" w:type="dxa"/>
            <w:vAlign w:val="center"/>
          </w:tcPr>
          <w:p>
            <w:pPr>
              <w:pStyle w:val="15"/>
              <w:rPr>
                <w:rFonts w:hint="eastAsia" w:eastAsia="方正书宋_GBK"/>
                <w:lang w:eastAsia="zh-CN"/>
              </w:rPr>
            </w:pPr>
            <w:r>
              <w:rPr>
                <w:rFonts w:hint="eastAsia"/>
                <w:lang w:eastAsia="zh-CN"/>
              </w:rPr>
              <w:t>保障系统正常运转</w:t>
            </w:r>
            <w:bookmarkStart w:id="18" w:name="_GoBack"/>
            <w:bookmarkEnd w:id="18"/>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用户使用满意度</w:t>
            </w:r>
          </w:p>
        </w:tc>
        <w:tc>
          <w:tcPr>
            <w:tcW w:w="2835" w:type="dxa"/>
            <w:vAlign w:val="center"/>
          </w:tcPr>
          <w:p>
            <w:pPr>
              <w:pStyle w:val="15"/>
            </w:pPr>
            <w:r>
              <w:t>用户使用平台的满意度</w:t>
            </w:r>
          </w:p>
        </w:tc>
        <w:tc>
          <w:tcPr>
            <w:tcW w:w="2551" w:type="dxa"/>
            <w:vAlign w:val="center"/>
          </w:tcPr>
          <w:p>
            <w:pPr>
              <w:pStyle w:val="15"/>
            </w:pPr>
            <w:r>
              <w:t>≥98%</w:t>
            </w:r>
          </w:p>
        </w:tc>
        <w:tc>
          <w:tcPr>
            <w:tcW w:w="2268"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719885386"/>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2023年，中共石家庄市藁城区委员会办公室安排政府采购预算0.00万元。具体内容见下表。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1649760492"/>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中共石家庄市藁城区委员会办公室（含所属单位）上年末固定资产金额为653.17万元（详见下表）。本年度拟购置固定资产总额为0.00万元，已按要求列入政府采购预算，详见政府采购预算表。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653.17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4</w:t>
            </w:r>
          </w:p>
        </w:tc>
        <w:tc>
          <w:tcPr>
            <w:tcW w:w="2835" w:type="dxa"/>
            <w:vAlign w:val="center"/>
          </w:tcPr>
          <w:p>
            <w:pPr>
              <w:pStyle w:val="14"/>
            </w:pPr>
            <w:r>
              <w:t>97.63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r>
              <w:t>555.54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596516649"/>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1189641421"/>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文泉驿微米黑"/>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方正小标宋简体"/>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文泉驿微米黑">
    <w:panose1 w:val="020B0606030804020204"/>
    <w:charset w:val="86"/>
    <w:family w:val="auto"/>
    <w:pitch w:val="default"/>
    <w:sig w:usb0="E10002EF" w:usb1="6BDFFCFB" w:usb2="00800036" w:usb3="00000000" w:csb0="603E019F" w:csb1="DFD70000"/>
  </w:font>
  <w:font w:name="方正黑体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NotTrackMoves/>
  <w:documentProtection w:enforcement="0"/>
  <w:defaultTabStop w:val="720"/>
  <w:evenAndOddHeaders w:val="true"/>
  <w:displayHorizontalDrawingGridEvery w:val="1"/>
  <w:displayVerticalDrawingGridEvery w:val="1"/>
  <w:noPunctuationKerning w:val="true"/>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47F1C6D"/>
    <w:rsid w:val="0AB7549A"/>
    <w:rsid w:val="1BFCC53C"/>
    <w:rsid w:val="29B5B926"/>
    <w:rsid w:val="2ED673E3"/>
    <w:rsid w:val="3109570A"/>
    <w:rsid w:val="37E76F6B"/>
    <w:rsid w:val="3BFC456A"/>
    <w:rsid w:val="3DEFD741"/>
    <w:rsid w:val="3F5420AC"/>
    <w:rsid w:val="4DFF5A1D"/>
    <w:rsid w:val="4FFBFEE2"/>
    <w:rsid w:val="56ED6282"/>
    <w:rsid w:val="5A752C28"/>
    <w:rsid w:val="5DB75D1B"/>
    <w:rsid w:val="5ED79250"/>
    <w:rsid w:val="5EEF8AAA"/>
    <w:rsid w:val="5FF43784"/>
    <w:rsid w:val="647F1C57"/>
    <w:rsid w:val="6F2B1736"/>
    <w:rsid w:val="6FB1C891"/>
    <w:rsid w:val="6FFA10E8"/>
    <w:rsid w:val="6FFF8964"/>
    <w:rsid w:val="772F56FF"/>
    <w:rsid w:val="77EF2DEC"/>
    <w:rsid w:val="77FA868D"/>
    <w:rsid w:val="7A7DDE3E"/>
    <w:rsid w:val="7D5F920A"/>
    <w:rsid w:val="7DE709FF"/>
    <w:rsid w:val="7E6FD5D7"/>
    <w:rsid w:val="7E765B17"/>
    <w:rsid w:val="7E7BE56E"/>
    <w:rsid w:val="7EF68F8F"/>
    <w:rsid w:val="7EFB6C60"/>
    <w:rsid w:val="7EFF00EF"/>
    <w:rsid w:val="7FB79BFE"/>
    <w:rsid w:val="7FFFEACA"/>
    <w:rsid w:val="8DDC4028"/>
    <w:rsid w:val="90BA1488"/>
    <w:rsid w:val="97C73E75"/>
    <w:rsid w:val="ADDF1D68"/>
    <w:rsid w:val="AFD75959"/>
    <w:rsid w:val="B4F614A7"/>
    <w:rsid w:val="BBBE0760"/>
    <w:rsid w:val="BD7F65CF"/>
    <w:rsid w:val="BDDDB720"/>
    <w:rsid w:val="BE3FC5EA"/>
    <w:rsid w:val="C1CF8040"/>
    <w:rsid w:val="CBB9F01A"/>
    <w:rsid w:val="CFCF1086"/>
    <w:rsid w:val="DBFDF301"/>
    <w:rsid w:val="DBFEC25C"/>
    <w:rsid w:val="DC38A44B"/>
    <w:rsid w:val="DE56AB77"/>
    <w:rsid w:val="DE7D0B60"/>
    <w:rsid w:val="DFF29126"/>
    <w:rsid w:val="E2755FA2"/>
    <w:rsid w:val="E79D77A1"/>
    <w:rsid w:val="E7F7E07D"/>
    <w:rsid w:val="EADE7857"/>
    <w:rsid w:val="EF6B5499"/>
    <w:rsid w:val="EF7FC4D6"/>
    <w:rsid w:val="F6EB4671"/>
    <w:rsid w:val="F6FE0937"/>
    <w:rsid w:val="F75B8DB0"/>
    <w:rsid w:val="F7BE3B7E"/>
    <w:rsid w:val="F7DF5AC4"/>
    <w:rsid w:val="F7EFD0B0"/>
    <w:rsid w:val="F8FF3CB2"/>
    <w:rsid w:val="F9FD4629"/>
    <w:rsid w:val="FB776330"/>
    <w:rsid w:val="FCBE651B"/>
    <w:rsid w:val="FCBF49FF"/>
    <w:rsid w:val="FCFFB412"/>
    <w:rsid w:val="FDB6A937"/>
    <w:rsid w:val="FDCB95E6"/>
    <w:rsid w:val="FDDF2805"/>
    <w:rsid w:val="FE7D40B5"/>
    <w:rsid w:val="FEAFE1C9"/>
    <w:rsid w:val="FEBD5C4D"/>
    <w:rsid w:val="FEFE7F06"/>
    <w:rsid w:val="FF56DCB2"/>
    <w:rsid w:val="FFDF4878"/>
    <w:rsid w:val="FFEAAC2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Office_11.1.0.10161_F1E327BC-269C-435d-A152-05C5408002CA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2023-02-02T22:35:00Z</dcterms:created>
  <dc:creator>uos</dc:creator>
  <cp:lastModifiedBy>uos</cp:lastModifiedBy>
  <cp:lastPrinted>2023-02-09T22:19:00Z</cp:lastPrinted>
  <dcterms:modified xsi:type="dcterms:W3CDTF">2024-09-14T16:49:53Z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2052-11.1.0.10161</vt:lpwstr>
  </property>
</Properties>
</file>