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中共石家庄市藁城区委办公室</w:t>
      </w:r>
      <w:r>
        <w:rPr>
          <w:rFonts w:hint="eastAsia" w:ascii="黑体" w:hAnsi="黑体" w:eastAsia="黑体" w:cs="黑体"/>
          <w:b/>
          <w:color w:val="000000"/>
          <w:sz w:val="44"/>
          <w:lang w:eastAsia="zh-CN"/>
        </w:rPr>
        <w:t>部门</w:t>
      </w:r>
      <w:r>
        <w:rPr>
          <w:rFonts w:ascii="黑体" w:hAnsi="黑体" w:eastAsia="黑体" w:cs="黑体"/>
          <w:b/>
          <w:color w:val="000000"/>
          <w:sz w:val="44"/>
        </w:rPr>
        <w:t>所属单位2023年度预算公开</w:t>
      </w:r>
    </w:p>
    <w:p>
      <w:pPr>
        <w:spacing w:before="0" w:after="0" w:line="240" w:lineRule="auto"/>
        <w:ind w:firstLine="0"/>
        <w:jc w:val="center"/>
        <w:outlineLvl w:val="0"/>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一、中共石家庄市藁城区委员会办公室本级收支预算</w:t>
      </w:r>
      <w:r>
        <w:tab/>
      </w:r>
      <w:r>
        <w:fldChar w:fldCharType="begin"/>
      </w:r>
      <w:r>
        <w:instrText xml:space="preserve">PAGEREF _Toc_4_4_0000000019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1338.27</w:t>
            </w:r>
          </w:p>
        </w:tc>
        <w:tc>
          <w:tcPr>
            <w:tcW w:w="4535" w:type="dxa"/>
            <w:vAlign w:val="center"/>
          </w:tcPr>
          <w:p>
            <w:pPr>
              <w:pStyle w:val="15"/>
            </w:pPr>
            <w:r>
              <w:t>一、一般公共服务支出</w:t>
            </w:r>
          </w:p>
        </w:tc>
        <w:tc>
          <w:tcPr>
            <w:tcW w:w="2126" w:type="dxa"/>
            <w:vAlign w:val="center"/>
          </w:tcPr>
          <w:p>
            <w:pPr>
              <w:pStyle w:val="14"/>
            </w:pPr>
            <w:r>
              <w:t>1338.27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1338.27</w:t>
            </w:r>
          </w:p>
        </w:tc>
        <w:tc>
          <w:tcPr>
            <w:tcW w:w="4535" w:type="dxa"/>
            <w:vAlign w:val="center"/>
          </w:tcPr>
          <w:p>
            <w:pPr>
              <w:pStyle w:val="17"/>
            </w:pPr>
            <w:r>
              <w:t>本年支出合计</w:t>
            </w:r>
          </w:p>
        </w:tc>
        <w:tc>
          <w:tcPr>
            <w:tcW w:w="2126" w:type="dxa"/>
            <w:vAlign w:val="center"/>
          </w:tcPr>
          <w:p>
            <w:pPr>
              <w:pStyle w:val="18"/>
            </w:pPr>
            <w:r>
              <w:t>1338.27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1338.27</w:t>
            </w:r>
          </w:p>
        </w:tc>
        <w:tc>
          <w:tcPr>
            <w:tcW w:w="4535" w:type="dxa"/>
            <w:vAlign w:val="center"/>
          </w:tcPr>
          <w:p>
            <w:pPr>
              <w:pStyle w:val="17"/>
            </w:pPr>
            <w:r>
              <w:t>支出总计</w:t>
            </w:r>
          </w:p>
        </w:tc>
        <w:tc>
          <w:tcPr>
            <w:tcW w:w="2126" w:type="dxa"/>
            <w:vAlign w:val="center"/>
          </w:tcPr>
          <w:p>
            <w:pPr>
              <w:pStyle w:val="18"/>
            </w:pPr>
            <w:r>
              <w:t>1338.27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1338.27</w:t>
            </w:r>
          </w:p>
        </w:tc>
        <w:tc>
          <w:tcPr>
            <w:tcW w:w="1134" w:type="dxa"/>
            <w:vAlign w:val="center"/>
          </w:tcPr>
          <w:p>
            <w:pPr>
              <w:pStyle w:val="18"/>
            </w:pPr>
            <w:r>
              <w:t>1338.27</w:t>
            </w:r>
          </w:p>
        </w:tc>
        <w:tc>
          <w:tcPr>
            <w:tcW w:w="1134" w:type="dxa"/>
            <w:vAlign w:val="center"/>
          </w:tcPr>
          <w:p>
            <w:pPr>
              <w:pStyle w:val="18"/>
            </w:pPr>
            <w:r>
              <w:t>1338.27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1338.27</w:t>
            </w:r>
          </w:p>
        </w:tc>
        <w:tc>
          <w:tcPr>
            <w:tcW w:w="1134" w:type="dxa"/>
            <w:vAlign w:val="center"/>
          </w:tcPr>
          <w:p>
            <w:pPr>
              <w:pStyle w:val="14"/>
            </w:pPr>
            <w:r>
              <w:t>1338.27</w:t>
            </w:r>
          </w:p>
        </w:tc>
        <w:tc>
          <w:tcPr>
            <w:tcW w:w="1134" w:type="dxa"/>
            <w:vAlign w:val="center"/>
          </w:tcPr>
          <w:p>
            <w:pPr>
              <w:pStyle w:val="14"/>
            </w:pPr>
            <w:r>
              <w:t>1338.27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20128</w:t>
            </w:r>
          </w:p>
        </w:tc>
        <w:tc>
          <w:tcPr>
            <w:tcW w:w="1559" w:type="dxa"/>
            <w:vAlign w:val="center"/>
          </w:tcPr>
          <w:p>
            <w:pPr>
              <w:pStyle w:val="15"/>
            </w:pPr>
            <w:r>
              <w:t>民主党派及工商联事务</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2012802</w:t>
            </w:r>
          </w:p>
        </w:tc>
        <w:tc>
          <w:tcPr>
            <w:tcW w:w="1559" w:type="dxa"/>
            <w:vAlign w:val="center"/>
          </w:tcPr>
          <w:p>
            <w:pPr>
              <w:pStyle w:val="15"/>
            </w:pPr>
            <w:r>
              <w:t>一般行政管理事务</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20131</w:t>
            </w:r>
          </w:p>
        </w:tc>
        <w:tc>
          <w:tcPr>
            <w:tcW w:w="1559" w:type="dxa"/>
            <w:vAlign w:val="center"/>
          </w:tcPr>
          <w:p>
            <w:pPr>
              <w:pStyle w:val="15"/>
            </w:pPr>
            <w:r>
              <w:t>党委办公厅（室）及相关机构事务</w:t>
            </w:r>
          </w:p>
        </w:tc>
        <w:tc>
          <w:tcPr>
            <w:tcW w:w="1134" w:type="dxa"/>
            <w:vAlign w:val="center"/>
          </w:tcPr>
          <w:p>
            <w:pPr>
              <w:pStyle w:val="14"/>
            </w:pPr>
            <w:r>
              <w:t>1333.27</w:t>
            </w:r>
          </w:p>
        </w:tc>
        <w:tc>
          <w:tcPr>
            <w:tcW w:w="1134" w:type="dxa"/>
            <w:vAlign w:val="center"/>
          </w:tcPr>
          <w:p>
            <w:pPr>
              <w:pStyle w:val="14"/>
            </w:pPr>
            <w:r>
              <w:t>1333.27</w:t>
            </w:r>
          </w:p>
        </w:tc>
        <w:tc>
          <w:tcPr>
            <w:tcW w:w="1134" w:type="dxa"/>
            <w:vAlign w:val="center"/>
          </w:tcPr>
          <w:p>
            <w:pPr>
              <w:pStyle w:val="14"/>
            </w:pPr>
            <w:r>
              <w:t>1333.27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2013101</w:t>
            </w:r>
          </w:p>
        </w:tc>
        <w:tc>
          <w:tcPr>
            <w:tcW w:w="1559" w:type="dxa"/>
            <w:vAlign w:val="center"/>
          </w:tcPr>
          <w:p>
            <w:pPr>
              <w:pStyle w:val="15"/>
            </w:pPr>
            <w:r>
              <w:t>行政运行</w:t>
            </w:r>
          </w:p>
        </w:tc>
        <w:tc>
          <w:tcPr>
            <w:tcW w:w="1134" w:type="dxa"/>
            <w:vAlign w:val="center"/>
          </w:tcPr>
          <w:p>
            <w:pPr>
              <w:pStyle w:val="14"/>
            </w:pPr>
            <w:r>
              <w:t>1038.97</w:t>
            </w:r>
          </w:p>
        </w:tc>
        <w:tc>
          <w:tcPr>
            <w:tcW w:w="1134" w:type="dxa"/>
            <w:vAlign w:val="center"/>
          </w:tcPr>
          <w:p>
            <w:pPr>
              <w:pStyle w:val="14"/>
            </w:pPr>
            <w:r>
              <w:t>1038.97</w:t>
            </w:r>
          </w:p>
        </w:tc>
        <w:tc>
          <w:tcPr>
            <w:tcW w:w="1134" w:type="dxa"/>
            <w:vAlign w:val="center"/>
          </w:tcPr>
          <w:p>
            <w:pPr>
              <w:pStyle w:val="14"/>
            </w:pPr>
            <w:r>
              <w:t>1038.97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2013102</w:t>
            </w:r>
          </w:p>
        </w:tc>
        <w:tc>
          <w:tcPr>
            <w:tcW w:w="1559" w:type="dxa"/>
            <w:vAlign w:val="center"/>
          </w:tcPr>
          <w:p>
            <w:pPr>
              <w:pStyle w:val="15"/>
            </w:pPr>
            <w:r>
              <w:t>一般行政管理事务</w:t>
            </w:r>
          </w:p>
        </w:tc>
        <w:tc>
          <w:tcPr>
            <w:tcW w:w="1134" w:type="dxa"/>
            <w:vAlign w:val="center"/>
          </w:tcPr>
          <w:p>
            <w:pPr>
              <w:pStyle w:val="14"/>
            </w:pPr>
            <w:r>
              <w:t>294.30</w:t>
            </w:r>
          </w:p>
        </w:tc>
        <w:tc>
          <w:tcPr>
            <w:tcW w:w="1134" w:type="dxa"/>
            <w:vAlign w:val="center"/>
          </w:tcPr>
          <w:p>
            <w:pPr>
              <w:pStyle w:val="14"/>
            </w:pPr>
            <w:r>
              <w:t>294.30</w:t>
            </w:r>
          </w:p>
        </w:tc>
        <w:tc>
          <w:tcPr>
            <w:tcW w:w="1134" w:type="dxa"/>
            <w:vAlign w:val="center"/>
          </w:tcPr>
          <w:p>
            <w:pPr>
              <w:pStyle w:val="14"/>
            </w:pPr>
            <w:r>
              <w:t>294.30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1338.27</w:t>
            </w:r>
          </w:p>
        </w:tc>
        <w:tc>
          <w:tcPr>
            <w:tcW w:w="1361" w:type="dxa"/>
            <w:vAlign w:val="center"/>
          </w:tcPr>
          <w:p>
            <w:pPr>
              <w:pStyle w:val="18"/>
            </w:pPr>
            <w:r>
              <w:t>1038.97</w:t>
            </w:r>
          </w:p>
        </w:tc>
        <w:tc>
          <w:tcPr>
            <w:tcW w:w="1361" w:type="dxa"/>
            <w:vAlign w:val="center"/>
          </w:tcPr>
          <w:p>
            <w:pPr>
              <w:pStyle w:val="18"/>
            </w:pPr>
            <w:r>
              <w:t>299.30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1338.27</w:t>
            </w:r>
          </w:p>
        </w:tc>
        <w:tc>
          <w:tcPr>
            <w:tcW w:w="1361" w:type="dxa"/>
            <w:vAlign w:val="center"/>
          </w:tcPr>
          <w:p>
            <w:pPr>
              <w:pStyle w:val="14"/>
            </w:pPr>
            <w:r>
              <w:t>1038.97</w:t>
            </w:r>
          </w:p>
        </w:tc>
        <w:tc>
          <w:tcPr>
            <w:tcW w:w="1361" w:type="dxa"/>
            <w:vAlign w:val="center"/>
          </w:tcPr>
          <w:p>
            <w:pPr>
              <w:pStyle w:val="14"/>
            </w:pPr>
            <w:r>
              <w:t>299.30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20128</w:t>
            </w:r>
          </w:p>
        </w:tc>
        <w:tc>
          <w:tcPr>
            <w:tcW w:w="4535" w:type="dxa"/>
            <w:vAlign w:val="center"/>
          </w:tcPr>
          <w:p>
            <w:pPr>
              <w:pStyle w:val="15"/>
            </w:pPr>
            <w:r>
              <w:t>民主党派及工商联事务</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2012802</w:t>
            </w:r>
          </w:p>
        </w:tc>
        <w:tc>
          <w:tcPr>
            <w:tcW w:w="4535" w:type="dxa"/>
            <w:vAlign w:val="center"/>
          </w:tcPr>
          <w:p>
            <w:pPr>
              <w:pStyle w:val="15"/>
            </w:pPr>
            <w:r>
              <w:t>一般行政管理事务</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20131</w:t>
            </w:r>
          </w:p>
        </w:tc>
        <w:tc>
          <w:tcPr>
            <w:tcW w:w="4535" w:type="dxa"/>
            <w:vAlign w:val="center"/>
          </w:tcPr>
          <w:p>
            <w:pPr>
              <w:pStyle w:val="15"/>
            </w:pPr>
            <w:r>
              <w:t>党委办公厅（室）及相关机构事务</w:t>
            </w:r>
          </w:p>
        </w:tc>
        <w:tc>
          <w:tcPr>
            <w:tcW w:w="1361" w:type="dxa"/>
            <w:vAlign w:val="center"/>
          </w:tcPr>
          <w:p>
            <w:pPr>
              <w:pStyle w:val="14"/>
            </w:pPr>
            <w:r>
              <w:t>1333.27</w:t>
            </w:r>
          </w:p>
        </w:tc>
        <w:tc>
          <w:tcPr>
            <w:tcW w:w="1361" w:type="dxa"/>
            <w:vAlign w:val="center"/>
          </w:tcPr>
          <w:p>
            <w:pPr>
              <w:pStyle w:val="14"/>
            </w:pPr>
            <w:r>
              <w:t>1038.97</w:t>
            </w: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2013101</w:t>
            </w:r>
          </w:p>
        </w:tc>
        <w:tc>
          <w:tcPr>
            <w:tcW w:w="4535" w:type="dxa"/>
            <w:vAlign w:val="center"/>
          </w:tcPr>
          <w:p>
            <w:pPr>
              <w:pStyle w:val="15"/>
            </w:pPr>
            <w:r>
              <w:t>行政运行</w:t>
            </w:r>
          </w:p>
        </w:tc>
        <w:tc>
          <w:tcPr>
            <w:tcW w:w="1361" w:type="dxa"/>
            <w:vAlign w:val="center"/>
          </w:tcPr>
          <w:p>
            <w:pPr>
              <w:pStyle w:val="14"/>
            </w:pPr>
            <w:r>
              <w:t>1038.97</w:t>
            </w:r>
          </w:p>
        </w:tc>
        <w:tc>
          <w:tcPr>
            <w:tcW w:w="1361" w:type="dxa"/>
            <w:vAlign w:val="center"/>
          </w:tcPr>
          <w:p>
            <w:pPr>
              <w:pStyle w:val="14"/>
            </w:pPr>
            <w:r>
              <w:t>1038.97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2013102</w:t>
            </w:r>
          </w:p>
        </w:tc>
        <w:tc>
          <w:tcPr>
            <w:tcW w:w="4535" w:type="dxa"/>
            <w:vAlign w:val="center"/>
          </w:tcPr>
          <w:p>
            <w:pPr>
              <w:pStyle w:val="15"/>
            </w:pPr>
            <w:r>
              <w:t>一般行政管理事务</w:t>
            </w: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1338.27</w:t>
            </w:r>
          </w:p>
        </w:tc>
        <w:tc>
          <w:tcPr>
            <w:tcW w:w="3402" w:type="dxa"/>
            <w:vAlign w:val="center"/>
          </w:tcPr>
          <w:p>
            <w:pPr>
              <w:pStyle w:val="15"/>
            </w:pPr>
            <w:r>
              <w:t>一、一般公共服务支出</w:t>
            </w:r>
          </w:p>
        </w:tc>
        <w:tc>
          <w:tcPr>
            <w:tcW w:w="1474" w:type="dxa"/>
            <w:vAlign w:val="center"/>
          </w:tcPr>
          <w:p>
            <w:pPr>
              <w:pStyle w:val="14"/>
            </w:pPr>
            <w:r>
              <w:t>1338.27</w:t>
            </w:r>
          </w:p>
        </w:tc>
        <w:tc>
          <w:tcPr>
            <w:tcW w:w="1474" w:type="dxa"/>
            <w:vAlign w:val="center"/>
          </w:tcPr>
          <w:p>
            <w:pPr>
              <w:pStyle w:val="14"/>
            </w:pPr>
            <w:r>
              <w:t>1338.27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1338.27</w:t>
            </w:r>
          </w:p>
        </w:tc>
        <w:tc>
          <w:tcPr>
            <w:tcW w:w="3402" w:type="dxa"/>
            <w:vAlign w:val="center"/>
          </w:tcPr>
          <w:p>
            <w:pPr>
              <w:pStyle w:val="17"/>
            </w:pPr>
            <w:r>
              <w:t>本年支出合计</w:t>
            </w:r>
          </w:p>
        </w:tc>
        <w:tc>
          <w:tcPr>
            <w:tcW w:w="1474" w:type="dxa"/>
            <w:vAlign w:val="center"/>
          </w:tcPr>
          <w:p>
            <w:pPr>
              <w:pStyle w:val="18"/>
            </w:pPr>
            <w:r>
              <w:t>1338.27</w:t>
            </w:r>
          </w:p>
        </w:tc>
        <w:tc>
          <w:tcPr>
            <w:tcW w:w="1474" w:type="dxa"/>
            <w:vAlign w:val="center"/>
          </w:tcPr>
          <w:p>
            <w:pPr>
              <w:pStyle w:val="18"/>
            </w:pPr>
            <w:r>
              <w:t>1338.27</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1338.27</w:t>
            </w:r>
          </w:p>
        </w:tc>
        <w:tc>
          <w:tcPr>
            <w:tcW w:w="3402" w:type="dxa"/>
            <w:vAlign w:val="center"/>
          </w:tcPr>
          <w:p>
            <w:pPr>
              <w:pStyle w:val="17"/>
            </w:pPr>
            <w:r>
              <w:t>支出总计</w:t>
            </w:r>
          </w:p>
        </w:tc>
        <w:tc>
          <w:tcPr>
            <w:tcW w:w="1474" w:type="dxa"/>
            <w:vAlign w:val="center"/>
          </w:tcPr>
          <w:p>
            <w:pPr>
              <w:pStyle w:val="18"/>
            </w:pPr>
            <w:r>
              <w:t>1338.27</w:t>
            </w:r>
          </w:p>
        </w:tc>
        <w:tc>
          <w:tcPr>
            <w:tcW w:w="1474" w:type="dxa"/>
            <w:vAlign w:val="center"/>
          </w:tcPr>
          <w:p>
            <w:pPr>
              <w:pStyle w:val="18"/>
            </w:pPr>
            <w:r>
              <w:t>1338.27</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1338.27</w:t>
            </w:r>
          </w:p>
        </w:tc>
        <w:tc>
          <w:tcPr>
            <w:tcW w:w="2551" w:type="dxa"/>
            <w:vAlign w:val="center"/>
          </w:tcPr>
          <w:p>
            <w:pPr>
              <w:pStyle w:val="18"/>
            </w:pPr>
            <w:r>
              <w:t>1038.97</w:t>
            </w:r>
          </w:p>
        </w:tc>
        <w:tc>
          <w:tcPr>
            <w:tcW w:w="2551" w:type="dxa"/>
            <w:vAlign w:val="center"/>
          </w:tcPr>
          <w:p>
            <w:pPr>
              <w:pStyle w:val="18"/>
            </w:pPr>
            <w:r>
              <w:t>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1338.27</w:t>
            </w:r>
          </w:p>
        </w:tc>
        <w:tc>
          <w:tcPr>
            <w:tcW w:w="2551" w:type="dxa"/>
            <w:vAlign w:val="center"/>
          </w:tcPr>
          <w:p>
            <w:pPr>
              <w:pStyle w:val="14"/>
            </w:pPr>
            <w:r>
              <w:t>1038.97</w:t>
            </w:r>
          </w:p>
        </w:tc>
        <w:tc>
          <w:tcPr>
            <w:tcW w:w="2551" w:type="dxa"/>
            <w:vAlign w:val="center"/>
          </w:tcPr>
          <w:p>
            <w:pPr>
              <w:pStyle w:val="14"/>
            </w:pPr>
            <w:r>
              <w:t>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20128</w:t>
            </w:r>
          </w:p>
        </w:tc>
        <w:tc>
          <w:tcPr>
            <w:tcW w:w="4535" w:type="dxa"/>
            <w:vAlign w:val="center"/>
          </w:tcPr>
          <w:p>
            <w:pPr>
              <w:pStyle w:val="15"/>
            </w:pPr>
            <w:r>
              <w:t>民主党派及工商联事务</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4</w:t>
            </w:r>
          </w:p>
        </w:tc>
        <w:tc>
          <w:tcPr>
            <w:tcW w:w="1191" w:type="dxa"/>
            <w:vAlign w:val="center"/>
          </w:tcPr>
          <w:p>
            <w:pPr>
              <w:pStyle w:val="15"/>
            </w:pPr>
            <w:r>
              <w:t>2012802</w:t>
            </w:r>
          </w:p>
        </w:tc>
        <w:tc>
          <w:tcPr>
            <w:tcW w:w="4535" w:type="dxa"/>
            <w:vAlign w:val="center"/>
          </w:tcPr>
          <w:p>
            <w:pPr>
              <w:pStyle w:val="15"/>
            </w:pPr>
            <w:r>
              <w:t>一般行政管理事务</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20131</w:t>
            </w:r>
          </w:p>
        </w:tc>
        <w:tc>
          <w:tcPr>
            <w:tcW w:w="4535" w:type="dxa"/>
            <w:vAlign w:val="center"/>
          </w:tcPr>
          <w:p>
            <w:pPr>
              <w:pStyle w:val="15"/>
            </w:pPr>
            <w:r>
              <w:t>党委办公厅（室）及相关机构事务</w:t>
            </w:r>
          </w:p>
        </w:tc>
        <w:tc>
          <w:tcPr>
            <w:tcW w:w="2551" w:type="dxa"/>
            <w:vAlign w:val="center"/>
          </w:tcPr>
          <w:p>
            <w:pPr>
              <w:pStyle w:val="14"/>
            </w:pPr>
            <w:r>
              <w:t>1333.27</w:t>
            </w:r>
          </w:p>
        </w:tc>
        <w:tc>
          <w:tcPr>
            <w:tcW w:w="2551" w:type="dxa"/>
            <w:vAlign w:val="center"/>
          </w:tcPr>
          <w:p>
            <w:pPr>
              <w:pStyle w:val="14"/>
            </w:pPr>
            <w:r>
              <w:t>1038.97</w:t>
            </w:r>
          </w:p>
        </w:tc>
        <w:tc>
          <w:tcPr>
            <w:tcW w:w="2551" w:type="dxa"/>
            <w:vAlign w:val="center"/>
          </w:tcPr>
          <w:p>
            <w:pPr>
              <w:pStyle w:val="14"/>
            </w:pPr>
            <w:r>
              <w:t>294.30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2013101</w:t>
            </w:r>
          </w:p>
        </w:tc>
        <w:tc>
          <w:tcPr>
            <w:tcW w:w="4535" w:type="dxa"/>
            <w:vAlign w:val="center"/>
          </w:tcPr>
          <w:p>
            <w:pPr>
              <w:pStyle w:val="15"/>
            </w:pPr>
            <w:r>
              <w:t>行政运行</w:t>
            </w:r>
          </w:p>
        </w:tc>
        <w:tc>
          <w:tcPr>
            <w:tcW w:w="2551" w:type="dxa"/>
            <w:vAlign w:val="center"/>
          </w:tcPr>
          <w:p>
            <w:pPr>
              <w:pStyle w:val="14"/>
            </w:pPr>
            <w:r>
              <w:t>1038.97</w:t>
            </w:r>
          </w:p>
        </w:tc>
        <w:tc>
          <w:tcPr>
            <w:tcW w:w="2551" w:type="dxa"/>
            <w:vAlign w:val="center"/>
          </w:tcPr>
          <w:p>
            <w:pPr>
              <w:pStyle w:val="14"/>
            </w:pPr>
            <w:r>
              <w:t>1038.97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2013102</w:t>
            </w:r>
          </w:p>
        </w:tc>
        <w:tc>
          <w:tcPr>
            <w:tcW w:w="4535" w:type="dxa"/>
            <w:vAlign w:val="center"/>
          </w:tcPr>
          <w:p>
            <w:pPr>
              <w:pStyle w:val="15"/>
            </w:pPr>
            <w:r>
              <w:t>一般行政管理事务</w:t>
            </w:r>
          </w:p>
        </w:tc>
        <w:tc>
          <w:tcPr>
            <w:tcW w:w="2551" w:type="dxa"/>
            <w:vAlign w:val="center"/>
          </w:tcPr>
          <w:p>
            <w:pPr>
              <w:pStyle w:val="14"/>
            </w:pPr>
            <w:r>
              <w:t>294.30</w:t>
            </w:r>
          </w:p>
        </w:tc>
        <w:tc>
          <w:tcPr>
            <w:tcW w:w="2551" w:type="dxa"/>
            <w:vAlign w:val="center"/>
          </w:tcPr>
          <w:p>
            <w:pPr>
              <w:pStyle w:val="14"/>
            </w:pPr>
          </w:p>
        </w:tc>
        <w:tc>
          <w:tcPr>
            <w:tcW w:w="2551" w:type="dxa"/>
            <w:vAlign w:val="center"/>
          </w:tcPr>
          <w:p>
            <w:pPr>
              <w:pStyle w:val="14"/>
            </w:pPr>
            <w:r>
              <w:t>294.30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w:t>
            </w:r>
            <w:r>
              <w:rPr>
                <w:rFonts w:hint="eastAsia"/>
                <w:lang w:eastAsia="zh-CN"/>
              </w:rPr>
              <w:t>单位</w:t>
            </w:r>
            <w:r>
              <w:t>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1038.97</w:t>
            </w:r>
          </w:p>
        </w:tc>
        <w:tc>
          <w:tcPr>
            <w:tcW w:w="2551" w:type="dxa"/>
            <w:vAlign w:val="center"/>
          </w:tcPr>
          <w:p>
            <w:pPr>
              <w:pStyle w:val="18"/>
            </w:pPr>
            <w:r>
              <w:t>813.83</w:t>
            </w:r>
          </w:p>
        </w:tc>
        <w:tc>
          <w:tcPr>
            <w:tcW w:w="2551" w:type="dxa"/>
            <w:vAlign w:val="center"/>
          </w:tcPr>
          <w:p>
            <w:pPr>
              <w:pStyle w:val="18"/>
            </w:pPr>
            <w:r>
              <w:t>225.14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734.81</w:t>
            </w:r>
          </w:p>
        </w:tc>
        <w:tc>
          <w:tcPr>
            <w:tcW w:w="2551" w:type="dxa"/>
            <w:vAlign w:val="center"/>
          </w:tcPr>
          <w:p>
            <w:pPr>
              <w:pStyle w:val="14"/>
            </w:pPr>
            <w:r>
              <w:t>734.81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168.34</w:t>
            </w:r>
          </w:p>
        </w:tc>
        <w:tc>
          <w:tcPr>
            <w:tcW w:w="2551" w:type="dxa"/>
            <w:vAlign w:val="center"/>
          </w:tcPr>
          <w:p>
            <w:pPr>
              <w:pStyle w:val="14"/>
            </w:pPr>
            <w:r>
              <w:t>168.34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199.53</w:t>
            </w:r>
          </w:p>
        </w:tc>
        <w:tc>
          <w:tcPr>
            <w:tcW w:w="2551" w:type="dxa"/>
            <w:vAlign w:val="center"/>
          </w:tcPr>
          <w:p>
            <w:pPr>
              <w:pStyle w:val="14"/>
            </w:pPr>
            <w:r>
              <w:t>199.53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11.64</w:t>
            </w:r>
          </w:p>
        </w:tc>
        <w:tc>
          <w:tcPr>
            <w:tcW w:w="2551" w:type="dxa"/>
            <w:vAlign w:val="center"/>
          </w:tcPr>
          <w:p>
            <w:pPr>
              <w:pStyle w:val="14"/>
            </w:pPr>
            <w:r>
              <w:t>11.64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127.59</w:t>
            </w:r>
          </w:p>
        </w:tc>
        <w:tc>
          <w:tcPr>
            <w:tcW w:w="2551" w:type="dxa"/>
            <w:vAlign w:val="center"/>
          </w:tcPr>
          <w:p>
            <w:pPr>
              <w:pStyle w:val="14"/>
            </w:pPr>
            <w:r>
              <w:t>127.59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83.82</w:t>
            </w:r>
          </w:p>
        </w:tc>
        <w:tc>
          <w:tcPr>
            <w:tcW w:w="2551" w:type="dxa"/>
            <w:vAlign w:val="center"/>
          </w:tcPr>
          <w:p>
            <w:pPr>
              <w:pStyle w:val="14"/>
            </w:pPr>
            <w:r>
              <w:t>83.82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28.06</w:t>
            </w:r>
          </w:p>
        </w:tc>
        <w:tc>
          <w:tcPr>
            <w:tcW w:w="2551" w:type="dxa"/>
            <w:vAlign w:val="center"/>
          </w:tcPr>
          <w:p>
            <w:pPr>
              <w:pStyle w:val="14"/>
            </w:pPr>
            <w:r>
              <w:t>28.06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21.71</w:t>
            </w:r>
          </w:p>
        </w:tc>
        <w:tc>
          <w:tcPr>
            <w:tcW w:w="2551" w:type="dxa"/>
            <w:vAlign w:val="center"/>
          </w:tcPr>
          <w:p>
            <w:pPr>
              <w:pStyle w:val="14"/>
            </w:pPr>
            <w:r>
              <w:t>21.71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31.25</w:t>
            </w:r>
          </w:p>
        </w:tc>
        <w:tc>
          <w:tcPr>
            <w:tcW w:w="2551" w:type="dxa"/>
            <w:vAlign w:val="center"/>
          </w:tcPr>
          <w:p>
            <w:pPr>
              <w:pStyle w:val="14"/>
            </w:pPr>
            <w:r>
              <w:t>31.25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62.87</w:t>
            </w:r>
          </w:p>
        </w:tc>
        <w:tc>
          <w:tcPr>
            <w:tcW w:w="2551" w:type="dxa"/>
            <w:vAlign w:val="center"/>
          </w:tcPr>
          <w:p>
            <w:pPr>
              <w:pStyle w:val="14"/>
            </w:pPr>
            <w:r>
              <w:t>62.87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225.14</w:t>
            </w:r>
          </w:p>
        </w:tc>
        <w:tc>
          <w:tcPr>
            <w:tcW w:w="2551" w:type="dxa"/>
            <w:vAlign w:val="center"/>
          </w:tcPr>
          <w:p>
            <w:pPr>
              <w:pStyle w:val="14"/>
            </w:pPr>
          </w:p>
        </w:tc>
        <w:tc>
          <w:tcPr>
            <w:tcW w:w="2551" w:type="dxa"/>
            <w:vAlign w:val="center"/>
          </w:tcPr>
          <w:p>
            <w:pPr>
              <w:pStyle w:val="14"/>
            </w:pPr>
            <w:r>
              <w:t>225.14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73.50</w:t>
            </w:r>
          </w:p>
        </w:tc>
        <w:tc>
          <w:tcPr>
            <w:tcW w:w="2551" w:type="dxa"/>
            <w:vAlign w:val="center"/>
          </w:tcPr>
          <w:p>
            <w:pPr>
              <w:pStyle w:val="14"/>
            </w:pPr>
          </w:p>
        </w:tc>
        <w:tc>
          <w:tcPr>
            <w:tcW w:w="2551" w:type="dxa"/>
            <w:vAlign w:val="center"/>
          </w:tcPr>
          <w:p>
            <w:pPr>
              <w:pStyle w:val="14"/>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26.03</w:t>
            </w:r>
          </w:p>
        </w:tc>
        <w:tc>
          <w:tcPr>
            <w:tcW w:w="2551" w:type="dxa"/>
            <w:vAlign w:val="center"/>
          </w:tcPr>
          <w:p>
            <w:pPr>
              <w:pStyle w:val="14"/>
            </w:pPr>
          </w:p>
        </w:tc>
        <w:tc>
          <w:tcPr>
            <w:tcW w:w="2551" w:type="dxa"/>
            <w:vAlign w:val="center"/>
          </w:tcPr>
          <w:p>
            <w:pPr>
              <w:pStyle w:val="14"/>
            </w:pPr>
            <w:r>
              <w:t>26.03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16</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30212</w:t>
            </w:r>
          </w:p>
        </w:tc>
        <w:tc>
          <w:tcPr>
            <w:tcW w:w="4535" w:type="dxa"/>
            <w:vAlign w:val="center"/>
          </w:tcPr>
          <w:p>
            <w:pPr>
              <w:pStyle w:val="15"/>
            </w:pPr>
            <w:r>
              <w:t>因公出国（境）费用</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3021202</w:t>
            </w:r>
          </w:p>
        </w:tc>
        <w:tc>
          <w:tcPr>
            <w:tcW w:w="4535" w:type="dxa"/>
            <w:vAlign w:val="center"/>
          </w:tcPr>
          <w:p>
            <w:pPr>
              <w:pStyle w:val="15"/>
            </w:pPr>
            <w:r>
              <w:t>其他因公出国（境）费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28.30</w:t>
            </w:r>
          </w:p>
        </w:tc>
        <w:tc>
          <w:tcPr>
            <w:tcW w:w="2551" w:type="dxa"/>
            <w:vAlign w:val="center"/>
          </w:tcPr>
          <w:p>
            <w:pPr>
              <w:pStyle w:val="14"/>
            </w:pPr>
          </w:p>
        </w:tc>
        <w:tc>
          <w:tcPr>
            <w:tcW w:w="2551" w:type="dxa"/>
            <w:vAlign w:val="center"/>
          </w:tcPr>
          <w:p>
            <w:pPr>
              <w:pStyle w:val="14"/>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20</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5.06</w:t>
            </w:r>
          </w:p>
        </w:tc>
        <w:tc>
          <w:tcPr>
            <w:tcW w:w="2551" w:type="dxa"/>
            <w:vAlign w:val="center"/>
          </w:tcPr>
          <w:p>
            <w:pPr>
              <w:pStyle w:val="14"/>
            </w:pPr>
          </w:p>
        </w:tc>
        <w:tc>
          <w:tcPr>
            <w:tcW w:w="2551" w:type="dxa"/>
            <w:vAlign w:val="center"/>
          </w:tcPr>
          <w:p>
            <w:pPr>
              <w:pStyle w:val="14"/>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4.21</w:t>
            </w:r>
          </w:p>
        </w:tc>
        <w:tc>
          <w:tcPr>
            <w:tcW w:w="2551" w:type="dxa"/>
            <w:vAlign w:val="center"/>
          </w:tcPr>
          <w:p>
            <w:pPr>
              <w:pStyle w:val="14"/>
            </w:pPr>
          </w:p>
        </w:tc>
        <w:tc>
          <w:tcPr>
            <w:tcW w:w="2551" w:type="dxa"/>
            <w:vAlign w:val="center"/>
          </w:tcPr>
          <w:p>
            <w:pPr>
              <w:pStyle w:val="14"/>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17.60</w:t>
            </w:r>
          </w:p>
        </w:tc>
        <w:tc>
          <w:tcPr>
            <w:tcW w:w="2551" w:type="dxa"/>
            <w:vAlign w:val="center"/>
          </w:tcPr>
          <w:p>
            <w:pPr>
              <w:pStyle w:val="14"/>
            </w:pPr>
          </w:p>
        </w:tc>
        <w:tc>
          <w:tcPr>
            <w:tcW w:w="2551" w:type="dxa"/>
            <w:vAlign w:val="center"/>
          </w:tcPr>
          <w:p>
            <w:pPr>
              <w:pStyle w:val="14"/>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22.62</w:t>
            </w:r>
          </w:p>
        </w:tc>
        <w:tc>
          <w:tcPr>
            <w:tcW w:w="2551" w:type="dxa"/>
            <w:vAlign w:val="center"/>
          </w:tcPr>
          <w:p>
            <w:pPr>
              <w:pStyle w:val="14"/>
            </w:pPr>
          </w:p>
        </w:tc>
        <w:tc>
          <w:tcPr>
            <w:tcW w:w="2551" w:type="dxa"/>
            <w:vAlign w:val="center"/>
          </w:tcPr>
          <w:p>
            <w:pPr>
              <w:pStyle w:val="14"/>
            </w:pPr>
            <w:r>
              <w:t>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24</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1.83</w:t>
            </w:r>
          </w:p>
        </w:tc>
        <w:tc>
          <w:tcPr>
            <w:tcW w:w="2551" w:type="dxa"/>
            <w:vAlign w:val="center"/>
          </w:tcPr>
          <w:p>
            <w:pPr>
              <w:pStyle w:val="14"/>
            </w:pPr>
          </w:p>
        </w:tc>
        <w:tc>
          <w:tcPr>
            <w:tcW w:w="2551" w:type="dxa"/>
            <w:vAlign w:val="center"/>
          </w:tcPr>
          <w:p>
            <w:pPr>
              <w:pStyle w:val="14"/>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79.02</w:t>
            </w:r>
          </w:p>
        </w:tc>
        <w:tc>
          <w:tcPr>
            <w:tcW w:w="2551" w:type="dxa"/>
            <w:vAlign w:val="center"/>
          </w:tcPr>
          <w:p>
            <w:pPr>
              <w:pStyle w:val="14"/>
            </w:pPr>
            <w:r>
              <w:t>79.02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79.02</w:t>
            </w:r>
          </w:p>
        </w:tc>
        <w:tc>
          <w:tcPr>
            <w:tcW w:w="2551" w:type="dxa"/>
            <w:vAlign w:val="center"/>
          </w:tcPr>
          <w:p>
            <w:pPr>
              <w:pStyle w:val="14"/>
            </w:pPr>
            <w:r>
              <w:t>79.02</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rPr>
                <w:rFonts w:hint="default" w:eastAsia="方正书宋_GBK"/>
                <w:lang w:val="en-US" w:eastAsia="zh-CN"/>
              </w:rPr>
            </w:pPr>
            <w:r>
              <w:rPr>
                <w:rFonts w:hint="eastAsia"/>
                <w:lang w:val="en-US" w:eastAsia="zh-CN"/>
              </w:rPr>
              <w:t>37.6</w:t>
            </w:r>
          </w:p>
        </w:tc>
        <w:tc>
          <w:tcPr>
            <w:tcW w:w="2381" w:type="dxa"/>
            <w:vAlign w:val="center"/>
          </w:tcPr>
          <w:p>
            <w:pPr>
              <w:pStyle w:val="18"/>
              <w:rPr>
                <w:rFonts w:hint="default" w:eastAsia="方正书宋_GBK"/>
                <w:lang w:val="en-US" w:eastAsia="zh-CN"/>
              </w:rPr>
            </w:pPr>
            <w:r>
              <w:rPr>
                <w:rFonts w:hint="eastAsia"/>
                <w:lang w:val="en-US" w:eastAsia="zh-CN"/>
              </w:rPr>
              <w:t>37.6</w:t>
            </w:r>
          </w:p>
        </w:tc>
        <w:tc>
          <w:tcPr>
            <w:tcW w:w="2381" w:type="dxa"/>
            <w:vAlign w:val="center"/>
          </w:tcPr>
          <w:p>
            <w:pPr>
              <w:pStyle w:val="18"/>
              <w:ind w:firstLine="0" w:firstLineChars="0"/>
            </w:pPr>
          </w:p>
        </w:tc>
        <w:tc>
          <w:tcPr>
            <w:tcW w:w="2381" w:type="dxa"/>
            <w:vAlign w:val="center"/>
          </w:tcPr>
          <w:p>
            <w:pPr>
              <w:pStyle w:val="18"/>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rPr>
                <w:rFonts w:hint="default" w:eastAsia="方正书宋_GBK"/>
                <w:lang w:val="en-US" w:eastAsia="zh-CN"/>
              </w:rPr>
            </w:pPr>
            <w:r>
              <w:rPr>
                <w:rFonts w:hint="eastAsia"/>
                <w:lang w:val="en-US" w:eastAsia="zh-CN"/>
              </w:rPr>
              <w:t>37.6</w:t>
            </w:r>
          </w:p>
        </w:tc>
        <w:tc>
          <w:tcPr>
            <w:tcW w:w="2381" w:type="dxa"/>
            <w:vAlign w:val="center"/>
          </w:tcPr>
          <w:p>
            <w:pPr>
              <w:pStyle w:val="14"/>
              <w:rPr>
                <w:rFonts w:hint="default" w:eastAsia="方正书宋_GBK"/>
                <w:lang w:val="en-US" w:eastAsia="zh-CN"/>
              </w:rPr>
            </w:pPr>
            <w:r>
              <w:rPr>
                <w:rFonts w:hint="eastAsia"/>
                <w:lang w:val="en-US" w:eastAsia="zh-CN"/>
              </w:rPr>
              <w:t>37.6</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rPr>
                <w:rFonts w:hint="default" w:eastAsia="方正书宋_GBK"/>
                <w:lang w:val="en-US" w:eastAsia="zh-CN"/>
              </w:rPr>
            </w:pPr>
            <w:r>
              <w:rPr>
                <w:rFonts w:hint="eastAsia"/>
                <w:lang w:val="en-US" w:eastAsia="zh-CN"/>
              </w:rPr>
              <w:t>20</w:t>
            </w:r>
          </w:p>
        </w:tc>
        <w:tc>
          <w:tcPr>
            <w:tcW w:w="2381" w:type="dxa"/>
            <w:vAlign w:val="center"/>
          </w:tcPr>
          <w:p>
            <w:pPr>
              <w:pStyle w:val="14"/>
              <w:rPr>
                <w:rFonts w:hint="default" w:eastAsia="方正书宋_GBK"/>
                <w:lang w:val="en-US" w:eastAsia="zh-CN"/>
              </w:rPr>
            </w:pPr>
            <w:r>
              <w:rPr>
                <w:rFonts w:hint="eastAsia"/>
                <w:lang w:val="en-US" w:eastAsia="zh-CN"/>
              </w:rPr>
              <w:t>20</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r>
              <w:t>20.00</w:t>
            </w:r>
          </w:p>
        </w:tc>
        <w:tc>
          <w:tcPr>
            <w:tcW w:w="2381" w:type="dxa"/>
            <w:vAlign w:val="center"/>
          </w:tcPr>
          <w:p>
            <w:pPr>
              <w:pStyle w:val="14"/>
            </w:pPr>
            <w:r>
              <w:t>20.00</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rPr>
                <w:rFonts w:hint="default" w:eastAsia="方正书宋_GBK"/>
                <w:lang w:val="en-US" w:eastAsia="zh-CN"/>
              </w:rPr>
            </w:pPr>
            <w:r>
              <w:rPr>
                <w:rFonts w:hint="eastAsia"/>
                <w:lang w:val="en-US" w:eastAsia="zh-CN"/>
              </w:rPr>
              <w:t>17.6</w:t>
            </w:r>
          </w:p>
        </w:tc>
        <w:tc>
          <w:tcPr>
            <w:tcW w:w="2381" w:type="dxa"/>
            <w:vAlign w:val="center"/>
          </w:tcPr>
          <w:p>
            <w:pPr>
              <w:pStyle w:val="14"/>
              <w:rPr>
                <w:rFonts w:hint="default" w:eastAsia="方正书宋_GBK"/>
                <w:lang w:val="en-US" w:eastAsia="zh-CN"/>
              </w:rPr>
            </w:pPr>
            <w:r>
              <w:rPr>
                <w:rFonts w:hint="eastAsia"/>
                <w:lang w:val="en-US" w:eastAsia="zh-CN"/>
              </w:rPr>
              <w:t>17.6</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17.60</w:t>
            </w:r>
          </w:p>
        </w:tc>
        <w:tc>
          <w:tcPr>
            <w:tcW w:w="2381" w:type="dxa"/>
            <w:vAlign w:val="center"/>
          </w:tcPr>
          <w:p>
            <w:pPr>
              <w:pStyle w:val="14"/>
            </w:pPr>
            <w:r>
              <w:t>17.60</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中共石家庄市藁城区委员会办公室本级2023年单位预算信息公开情况说明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按照《预算法》、《地方预决算公开操作规程》和《关于进一步推进预算公开工作的实施意见》规定，现将中共石家庄市藁城区委员会办公室本级2023年单位预算公开如下：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单位职责：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w:t>
      </w:r>
      <w:r>
        <w:rPr>
          <w:rFonts w:hint="eastAsia"/>
          <w:lang w:eastAsia="zh-CN"/>
        </w:rPr>
        <w:t>单位</w:t>
      </w:r>
      <w:r>
        <w:t>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中共石家庄市藁城区委员会办公室本级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9"/>
      </w:pPr>
      <w:r>
        <w:t>1、收入说明</w:t>
      </w:r>
    </w:p>
    <w:p>
      <w:pPr>
        <w:pStyle w:val="29"/>
      </w:pPr>
      <w:r>
        <w:t>反映本单位全部收入。2023年预算收入1338.27万元，其中：一般公共预算收入1338.27万元，基金预算收入0万元，财政专户核拨收入0万元，其他来源收入0万元。</w:t>
      </w:r>
    </w:p>
    <w:p>
      <w:pPr>
        <w:pStyle w:val="29"/>
      </w:pPr>
      <w:r>
        <w:t>2、支出说明</w:t>
      </w:r>
    </w:p>
    <w:p>
      <w:pPr>
        <w:pStyle w:val="29"/>
      </w:pPr>
      <w:r>
        <w:t>收支预算总表支出栏、基本支出表、项目支出表按经济分类和支出功能分类科目编制，反映本单位预算中支出预算的总体情况。2023年本单位支出预算为1338.27万元，其中基本支出1038.97万元，包括人员经费813.83万元和日常公用经费225.14万元；项目支出299.3万元，主要为疫情大数据云视频会议系统1.8万元，“纠风”活动经费4.5万元，档案管理经费5万元，地方志年鉴编纂经费10万元，电子公文系统开发建设及运维费25万元，国家安全宣传经费5万元，三重四创五优化办公经费5万元，深化改革管理系统维护费5万元，省委应急值守综合指挥调度平台运营费5万元，市级应急值守平台运营费1.8万元，新型决策咨询智库运营经费50万元</w:t>
      </w:r>
      <w:r>
        <w:rPr>
          <w:rFonts w:hint="eastAsia"/>
          <w:lang w:eastAsia="zh-CN"/>
        </w:rPr>
        <w:t>，其他均为涉密项目，不予公开</w:t>
      </w:r>
      <w:r>
        <w:t>；其他支出0万元。</w:t>
      </w:r>
    </w:p>
    <w:p>
      <w:pPr>
        <w:pStyle w:val="29"/>
      </w:pPr>
      <w:r>
        <w:t>3、比上年增减情况</w:t>
      </w:r>
    </w:p>
    <w:p>
      <w:pPr>
        <w:pStyle w:val="29"/>
      </w:pPr>
      <w:r>
        <w:t>2023年本单位预算收支安排1338.27万元，较2022年增加68.81万元，其中：基本支出增加59.86万元，主要是增加月度绩效奖金，相应增加人员经费；项目支出增加8.95万元，主要是增加疫情大数据云视频会议系统、机要密码设备换装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2023年，我单位机关运行经费共计安排225.14万元，主要用于保证机关正常运转的办公及印刷费、邮电费、差旅费、会议费、福利费、专用材料及一般设备购置费、公务车运行维护费等支出。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2023年，我单位财政拨款“三公”经费预算安排37.6万元，其中：因公出国（境）费20万元，与上年持平，无增减变化；公务用车购置及运维费17.6万元（其中：公务用车购置费0万元，较上年减少81万元，原因是无公车购置计划；公务用车运行维护费17.6万元，与上年持平，无增减变化。）；公务接待费0万元，与上年持平，无增减变化。“三公”经费与上年相比减少81万元，原因是无购车公车计划。</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1、“纠风”活动经费绩效目标表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1.完成“纠风”活动任务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印制文件份数</w:t>
            </w:r>
          </w:p>
        </w:tc>
        <w:tc>
          <w:tcPr>
            <w:tcW w:w="2835" w:type="dxa"/>
            <w:vAlign w:val="center"/>
          </w:tcPr>
          <w:p>
            <w:pPr>
              <w:pStyle w:val="15"/>
            </w:pPr>
            <w:r>
              <w:t>打印文件份数</w:t>
            </w:r>
          </w:p>
        </w:tc>
        <w:tc>
          <w:tcPr>
            <w:tcW w:w="2551" w:type="dxa"/>
            <w:vAlign w:val="center"/>
          </w:tcPr>
          <w:p>
            <w:pPr>
              <w:pStyle w:val="15"/>
            </w:pPr>
            <w:r>
              <w:t>≥200份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印制质量合格率</w:t>
            </w:r>
          </w:p>
        </w:tc>
        <w:tc>
          <w:tcPr>
            <w:tcW w:w="2835" w:type="dxa"/>
            <w:vAlign w:val="center"/>
          </w:tcPr>
          <w:p>
            <w:pPr>
              <w:pStyle w:val="15"/>
            </w:pPr>
            <w:r>
              <w:t>打印文件质量合格率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打印工作完成率</w:t>
            </w:r>
          </w:p>
        </w:tc>
        <w:tc>
          <w:tcPr>
            <w:tcW w:w="2835" w:type="dxa"/>
            <w:vAlign w:val="center"/>
          </w:tcPr>
          <w:p>
            <w:pPr>
              <w:pStyle w:val="15"/>
            </w:pPr>
            <w:r>
              <w:t>打印文件工作完成率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≤4.5万元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rPr>
                <w:rFonts w:hint="eastAsia" w:eastAsia="方正书宋_GBK"/>
                <w:lang w:eastAsia="zh-CN"/>
              </w:rPr>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所服务对象满意程度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、档案管理经费绩效目标表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印制文件份数</w:t>
            </w:r>
          </w:p>
        </w:tc>
        <w:tc>
          <w:tcPr>
            <w:tcW w:w="2835" w:type="dxa"/>
            <w:vAlign w:val="center"/>
          </w:tcPr>
          <w:p>
            <w:pPr>
              <w:pStyle w:val="15"/>
            </w:pPr>
            <w:r>
              <w:t>打印文件份数</w:t>
            </w:r>
          </w:p>
        </w:tc>
        <w:tc>
          <w:tcPr>
            <w:tcW w:w="2551" w:type="dxa"/>
            <w:vAlign w:val="center"/>
          </w:tcPr>
          <w:p>
            <w:pPr>
              <w:pStyle w:val="15"/>
            </w:pPr>
            <w:r>
              <w:t>≥1500份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印制质量合格率</w:t>
            </w:r>
          </w:p>
        </w:tc>
        <w:tc>
          <w:tcPr>
            <w:tcW w:w="2835" w:type="dxa"/>
            <w:vAlign w:val="center"/>
          </w:tcPr>
          <w:p>
            <w:pPr>
              <w:pStyle w:val="15"/>
            </w:pPr>
            <w:r>
              <w:t>打印文件质量合格率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打印工作完成率</w:t>
            </w:r>
          </w:p>
        </w:tc>
        <w:tc>
          <w:tcPr>
            <w:tcW w:w="2835" w:type="dxa"/>
            <w:vAlign w:val="center"/>
          </w:tcPr>
          <w:p>
            <w:pPr>
              <w:pStyle w:val="15"/>
            </w:pPr>
            <w:r>
              <w:t>打印文件工作完成率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所服务对象满意程度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、地方志年鉴编纂经费绩效目标表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1.完成地方志编纂工作任务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年鉴份数</w:t>
            </w:r>
          </w:p>
        </w:tc>
        <w:tc>
          <w:tcPr>
            <w:tcW w:w="2835" w:type="dxa"/>
            <w:vAlign w:val="center"/>
          </w:tcPr>
          <w:p>
            <w:pPr>
              <w:pStyle w:val="15"/>
            </w:pPr>
            <w:r>
              <w:t>印制年鉴份数</w:t>
            </w:r>
          </w:p>
        </w:tc>
        <w:tc>
          <w:tcPr>
            <w:tcW w:w="2551" w:type="dxa"/>
            <w:vAlign w:val="center"/>
          </w:tcPr>
          <w:p>
            <w:pPr>
              <w:pStyle w:val="15"/>
            </w:pPr>
            <w:r>
              <w:t>≥1600份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年鉴编纂完成率</w:t>
            </w:r>
          </w:p>
        </w:tc>
        <w:tc>
          <w:tcPr>
            <w:tcW w:w="2835" w:type="dxa"/>
            <w:vAlign w:val="center"/>
          </w:tcPr>
          <w:p>
            <w:pPr>
              <w:pStyle w:val="15"/>
            </w:pPr>
            <w:r>
              <w:t>地方志年鉴编纂完成率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资金到位率</w:t>
            </w:r>
          </w:p>
        </w:tc>
        <w:tc>
          <w:tcPr>
            <w:tcW w:w="2835" w:type="dxa"/>
            <w:vAlign w:val="center"/>
          </w:tcPr>
          <w:p>
            <w:pPr>
              <w:pStyle w:val="15"/>
            </w:pPr>
            <w:r>
              <w:t>年鉴编纂经费到位率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根据市场价确定</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确保地方志工作按时完成</w:t>
            </w:r>
          </w:p>
        </w:tc>
        <w:tc>
          <w:tcPr>
            <w:tcW w:w="2835" w:type="dxa"/>
            <w:vAlign w:val="center"/>
          </w:tcPr>
          <w:p>
            <w:pPr>
              <w:pStyle w:val="15"/>
            </w:pPr>
            <w:r>
              <w:t>确保地方志工作按时完成</w:t>
            </w:r>
          </w:p>
        </w:tc>
        <w:tc>
          <w:tcPr>
            <w:tcW w:w="2551" w:type="dxa"/>
            <w:vAlign w:val="center"/>
          </w:tcPr>
          <w:p>
            <w:pPr>
              <w:pStyle w:val="15"/>
            </w:pPr>
            <w:r>
              <w:rPr>
                <w:rFonts w:hint="eastAsia"/>
                <w:lang w:eastAsia="zh-CN"/>
              </w:rPr>
              <w:t>保障地方志工作正常开展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各单位对地方志年鉴的满意程度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、电子公文系统开发建设及运维费绩效目标表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1.完成电子公文系统开发建设及运维工作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≤25万元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、国家安全宣传经费绩效目标表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1.完成国家安全宣传工作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购置展牌数量</w:t>
            </w:r>
          </w:p>
        </w:tc>
        <w:tc>
          <w:tcPr>
            <w:tcW w:w="2835" w:type="dxa"/>
            <w:vAlign w:val="center"/>
          </w:tcPr>
          <w:p>
            <w:pPr>
              <w:pStyle w:val="15"/>
            </w:pPr>
            <w:r>
              <w:t>购置展牌数量</w:t>
            </w:r>
          </w:p>
        </w:tc>
        <w:tc>
          <w:tcPr>
            <w:tcW w:w="2551" w:type="dxa"/>
            <w:vAlign w:val="center"/>
          </w:tcPr>
          <w:p>
            <w:pPr>
              <w:pStyle w:val="15"/>
            </w:pPr>
            <w:r>
              <w:t>≥100块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展牌质量合格率</w:t>
            </w:r>
          </w:p>
        </w:tc>
        <w:tc>
          <w:tcPr>
            <w:tcW w:w="2835" w:type="dxa"/>
            <w:vAlign w:val="center"/>
          </w:tcPr>
          <w:p>
            <w:pPr>
              <w:pStyle w:val="15"/>
            </w:pPr>
            <w:r>
              <w:t>确保展牌数量合格</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宣传及时率</w:t>
            </w:r>
          </w:p>
        </w:tc>
        <w:tc>
          <w:tcPr>
            <w:tcW w:w="2835" w:type="dxa"/>
            <w:vAlign w:val="center"/>
          </w:tcPr>
          <w:p>
            <w:pPr>
              <w:pStyle w:val="15"/>
            </w:pPr>
            <w:r>
              <w:t>按规定完成对国家安全的宣传</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2835" w:type="dxa"/>
            <w:vAlign w:val="center"/>
          </w:tcPr>
          <w:p>
            <w:pPr>
              <w:pStyle w:val="15"/>
            </w:pPr>
            <w:r>
              <w:t>社会影响力</w:t>
            </w:r>
          </w:p>
        </w:tc>
        <w:tc>
          <w:tcPr>
            <w:tcW w:w="2551" w:type="dxa"/>
            <w:vAlign w:val="center"/>
          </w:tcPr>
          <w:p>
            <w:pPr>
              <w:pStyle w:val="15"/>
              <w:rPr>
                <w:rFonts w:hint="eastAsia" w:eastAsia="方正书宋_GBK"/>
                <w:lang w:eastAsia="zh-CN"/>
              </w:rPr>
            </w:pPr>
            <w:r>
              <w:rPr>
                <w:rFonts w:hint="eastAsia"/>
                <w:lang w:eastAsia="zh-CN"/>
              </w:rPr>
              <w:t>社会影响力发挥良好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 xml:space="preserve"> </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、三重四创五优化办公经费绩效目标表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1.完成三重四创五优化工作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打印文件份数</w:t>
            </w:r>
          </w:p>
        </w:tc>
        <w:tc>
          <w:tcPr>
            <w:tcW w:w="2835" w:type="dxa"/>
            <w:vAlign w:val="center"/>
          </w:tcPr>
          <w:p>
            <w:pPr>
              <w:pStyle w:val="15"/>
            </w:pPr>
            <w:r>
              <w:t>印制文件材料份数</w:t>
            </w:r>
          </w:p>
        </w:tc>
        <w:tc>
          <w:tcPr>
            <w:tcW w:w="2551" w:type="dxa"/>
            <w:vAlign w:val="center"/>
          </w:tcPr>
          <w:p>
            <w:pPr>
              <w:pStyle w:val="15"/>
            </w:pPr>
            <w:r>
              <w:t>≥2000份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文件质量合格率</w:t>
            </w:r>
          </w:p>
        </w:tc>
        <w:tc>
          <w:tcPr>
            <w:tcW w:w="2835" w:type="dxa"/>
            <w:vAlign w:val="center"/>
          </w:tcPr>
          <w:p>
            <w:pPr>
              <w:pStyle w:val="15"/>
            </w:pPr>
            <w:r>
              <w:t>确保文件质量合格</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2835" w:type="dxa"/>
            <w:vAlign w:val="center"/>
          </w:tcPr>
          <w:p>
            <w:pPr>
              <w:pStyle w:val="15"/>
            </w:pPr>
            <w:r>
              <w:t>按时完成工作率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rPr>
                <w:rFonts w:hint="eastAsia" w:eastAsia="方正书宋_GBK"/>
                <w:lang w:eastAsia="zh-CN"/>
              </w:rPr>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、深化改革管理系统维护费绩效目标表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1.完成深化改革管理系统维护工作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、省委应急值守综合指挥调度平台运营费绩效目标表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1.完成省委应急值守综合指挥调度平台运营工作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平台运营良好</w:t>
            </w:r>
          </w:p>
        </w:tc>
        <w:tc>
          <w:tcPr>
            <w:tcW w:w="2835" w:type="dxa"/>
            <w:vAlign w:val="center"/>
          </w:tcPr>
          <w:p>
            <w:pPr>
              <w:pStyle w:val="15"/>
            </w:pPr>
            <w:r>
              <w:t>平台发生故障时间少</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平台运营及时率</w:t>
            </w:r>
          </w:p>
        </w:tc>
        <w:tc>
          <w:tcPr>
            <w:tcW w:w="2835" w:type="dxa"/>
            <w:vAlign w:val="center"/>
          </w:tcPr>
          <w:p>
            <w:pPr>
              <w:pStyle w:val="15"/>
            </w:pPr>
            <w:r>
              <w:t>平台及时运营</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平台运营良好运转</w:t>
            </w:r>
          </w:p>
        </w:tc>
        <w:tc>
          <w:tcPr>
            <w:tcW w:w="2835" w:type="dxa"/>
            <w:vAlign w:val="center"/>
          </w:tcPr>
          <w:p>
            <w:pPr>
              <w:pStyle w:val="15"/>
            </w:pPr>
            <w:r>
              <w:t>平台良好运营，工作顺利开展</w:t>
            </w:r>
          </w:p>
        </w:tc>
        <w:tc>
          <w:tcPr>
            <w:tcW w:w="2551" w:type="dxa"/>
            <w:vAlign w:val="center"/>
          </w:tcPr>
          <w:p>
            <w:pPr>
              <w:pStyle w:val="15"/>
              <w:rPr>
                <w:rFonts w:hint="eastAsia" w:eastAsia="方正书宋_GBK"/>
                <w:lang w:eastAsia="zh-CN"/>
              </w:rPr>
            </w:pPr>
            <w:r>
              <w:rPr>
                <w:rFonts w:hint="eastAsia"/>
                <w:lang w:eastAsia="zh-CN"/>
              </w:rPr>
              <w:t>保障平台良好运营</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对平台运营的满意度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、市级应急值守平台运营费绩效目标表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1.完成市级应急值守平台运营工作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平台运营良好</w:t>
            </w:r>
          </w:p>
        </w:tc>
        <w:tc>
          <w:tcPr>
            <w:tcW w:w="2835" w:type="dxa"/>
            <w:vAlign w:val="center"/>
          </w:tcPr>
          <w:p>
            <w:pPr>
              <w:pStyle w:val="15"/>
            </w:pPr>
            <w:r>
              <w:t>平台发生故障时间少</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平台运营及时率</w:t>
            </w:r>
          </w:p>
        </w:tc>
        <w:tc>
          <w:tcPr>
            <w:tcW w:w="2835" w:type="dxa"/>
            <w:vAlign w:val="center"/>
          </w:tcPr>
          <w:p>
            <w:pPr>
              <w:pStyle w:val="15"/>
            </w:pPr>
            <w:r>
              <w:t>平台及时运营</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≤1.8万元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平台运营良好运转</w:t>
            </w:r>
          </w:p>
        </w:tc>
        <w:tc>
          <w:tcPr>
            <w:tcW w:w="2835" w:type="dxa"/>
            <w:vAlign w:val="center"/>
          </w:tcPr>
          <w:p>
            <w:pPr>
              <w:pStyle w:val="15"/>
            </w:pPr>
            <w:r>
              <w:t>平台良好运营</w:t>
            </w:r>
          </w:p>
        </w:tc>
        <w:tc>
          <w:tcPr>
            <w:tcW w:w="2551" w:type="dxa"/>
            <w:vAlign w:val="center"/>
          </w:tcPr>
          <w:p>
            <w:pPr>
              <w:pStyle w:val="15"/>
            </w:pPr>
            <w:r>
              <w:rPr>
                <w:rFonts w:hint="eastAsia"/>
                <w:lang w:eastAsia="zh-CN"/>
              </w:rPr>
              <w:t>保障平台良好运营</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对平台运营的满意度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、新型决策咨询智库运营经费绩效目标表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1.完成新型决策咨询智库工作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办公耗材数量</w:t>
            </w:r>
          </w:p>
        </w:tc>
        <w:tc>
          <w:tcPr>
            <w:tcW w:w="2835" w:type="dxa"/>
            <w:vAlign w:val="center"/>
          </w:tcPr>
          <w:p>
            <w:pPr>
              <w:pStyle w:val="15"/>
            </w:pPr>
            <w:r>
              <w:t>购置办公产品数量</w:t>
            </w:r>
          </w:p>
        </w:tc>
        <w:tc>
          <w:tcPr>
            <w:tcW w:w="2551" w:type="dxa"/>
            <w:vAlign w:val="center"/>
          </w:tcPr>
          <w:p>
            <w:pPr>
              <w:pStyle w:val="15"/>
            </w:pPr>
            <w:r>
              <w:t>≥500份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工作完成率</w:t>
            </w:r>
          </w:p>
        </w:tc>
        <w:tc>
          <w:tcPr>
            <w:tcW w:w="2835" w:type="dxa"/>
            <w:vAlign w:val="center"/>
          </w:tcPr>
          <w:p>
            <w:pPr>
              <w:pStyle w:val="15"/>
            </w:pPr>
            <w:r>
              <w:t>智库工作完成率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资金到位率</w:t>
            </w:r>
          </w:p>
        </w:tc>
        <w:tc>
          <w:tcPr>
            <w:tcW w:w="2835" w:type="dxa"/>
            <w:vAlign w:val="center"/>
          </w:tcPr>
          <w:p>
            <w:pPr>
              <w:pStyle w:val="15"/>
            </w:pPr>
            <w:r>
              <w:t>资金及时到位率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≤50万元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保障工作正常开展</w:t>
            </w:r>
          </w:p>
        </w:tc>
        <w:tc>
          <w:tcPr>
            <w:tcW w:w="2835" w:type="dxa"/>
            <w:vAlign w:val="center"/>
          </w:tcPr>
          <w:p>
            <w:pPr>
              <w:pStyle w:val="15"/>
            </w:pPr>
            <w:r>
              <w:t>保障智库工作正常开展</w:t>
            </w:r>
          </w:p>
        </w:tc>
        <w:tc>
          <w:tcPr>
            <w:tcW w:w="2551" w:type="dxa"/>
            <w:vAlign w:val="center"/>
          </w:tcPr>
          <w:p>
            <w:pPr>
              <w:pStyle w:val="15"/>
              <w:rPr>
                <w:rFonts w:hint="eastAsia" w:eastAsia="方正书宋_GBK"/>
                <w:lang w:eastAsia="zh-CN"/>
              </w:rPr>
            </w:pPr>
            <w:r>
              <w:rPr>
                <w:rFonts w:hint="eastAsia"/>
                <w:lang w:eastAsia="zh-CN"/>
              </w:rPr>
              <w:t>保障智库工作正常开展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、疫情大数据云视频会议系统绩效目标表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1.完成疫情大数据云视频系统使用工作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≤1.8万元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2023年，中共石家庄市藁城区委员会办公室本级安排政府采购预算0.00万元。具体内容见下表。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2"/>
        <w:gridCol w:w="1056"/>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w:t>
            </w:r>
            <w:r>
              <w:rPr>
                <w:rFonts w:hint="eastAsia"/>
                <w:lang w:eastAsia="zh-CN"/>
              </w:rPr>
              <w:t>单位</w:t>
            </w:r>
            <w:r>
              <w:t>预算安排资金）</w:t>
            </w:r>
          </w:p>
        </w:tc>
        <w:tc>
          <w:tcPr>
            <w:tcW w:w="92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2" w:type="dxa"/>
            <w:vAlign w:val="center"/>
          </w:tcPr>
          <w:p>
            <w:pPr>
              <w:pStyle w:val="13"/>
            </w:pPr>
            <w:r>
              <w:t>项目名称</w:t>
            </w:r>
          </w:p>
        </w:tc>
        <w:tc>
          <w:tcPr>
            <w:tcW w:w="1056"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92" w:type="dxa"/>
            <w:vAlign w:val="center"/>
          </w:tcPr>
          <w:p>
            <w:pPr>
              <w:pStyle w:val="15"/>
            </w:pPr>
          </w:p>
        </w:tc>
        <w:tc>
          <w:tcPr>
            <w:tcW w:w="1056"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bookmarkStart w:id="1" w:name="_GoBack"/>
      <w:bookmarkEnd w:id="1"/>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中共石家庄市藁城区委员会办公室本级上年末固定资产金额为653.17万元（详见下表）。本年度拟购置固定资产总额为0.00万元，已按要求列入政府采购预算，详见政府采购预算表。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653.17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555.54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displayHorizontalDrawingGridEvery w:val="1"/>
  <w:displayVerticalDrawingGridEvery w:val="1"/>
  <w:noPunctuationKerning w:val="true"/>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47F1C6D"/>
    <w:rsid w:val="1BFCC53C"/>
    <w:rsid w:val="29B5B926"/>
    <w:rsid w:val="3109570A"/>
    <w:rsid w:val="34FFF424"/>
    <w:rsid w:val="37E76F6B"/>
    <w:rsid w:val="3BFC456A"/>
    <w:rsid w:val="3F5420AC"/>
    <w:rsid w:val="4FFBFEE2"/>
    <w:rsid w:val="516C7AB0"/>
    <w:rsid w:val="5A752C28"/>
    <w:rsid w:val="5EEF8AAA"/>
    <w:rsid w:val="5EFB4B97"/>
    <w:rsid w:val="5FF43784"/>
    <w:rsid w:val="647F1C57"/>
    <w:rsid w:val="6BEFBE3E"/>
    <w:rsid w:val="6F2B1736"/>
    <w:rsid w:val="6FB1C891"/>
    <w:rsid w:val="793FC85A"/>
    <w:rsid w:val="79E05BF9"/>
    <w:rsid w:val="7A7DDE3E"/>
    <w:rsid w:val="7B3545C2"/>
    <w:rsid w:val="7DE709FF"/>
    <w:rsid w:val="7E6FD5D7"/>
    <w:rsid w:val="7E765B17"/>
    <w:rsid w:val="7EF68F8F"/>
    <w:rsid w:val="7EFB6C60"/>
    <w:rsid w:val="7FFFEACA"/>
    <w:rsid w:val="9BFF9FEF"/>
    <w:rsid w:val="ADDF1D68"/>
    <w:rsid w:val="AFD75959"/>
    <w:rsid w:val="B4F614A7"/>
    <w:rsid w:val="BD7F65CF"/>
    <w:rsid w:val="BE3FC5EA"/>
    <w:rsid w:val="BE7F5B9D"/>
    <w:rsid w:val="BEDDA2ED"/>
    <w:rsid w:val="CFCF1086"/>
    <w:rsid w:val="D9FF5B27"/>
    <w:rsid w:val="DC38A44B"/>
    <w:rsid w:val="DE56AB77"/>
    <w:rsid w:val="DE7D0B60"/>
    <w:rsid w:val="DF1B9438"/>
    <w:rsid w:val="DFF29126"/>
    <w:rsid w:val="E2755FA2"/>
    <w:rsid w:val="EADE7857"/>
    <w:rsid w:val="EF6B5499"/>
    <w:rsid w:val="EF7FC4D6"/>
    <w:rsid w:val="F6EB4671"/>
    <w:rsid w:val="F6FE0937"/>
    <w:rsid w:val="F75B8DB0"/>
    <w:rsid w:val="F7DF5AC4"/>
    <w:rsid w:val="F7DF8BC3"/>
    <w:rsid w:val="F7EFD0B0"/>
    <w:rsid w:val="F8FF3CB2"/>
    <w:rsid w:val="F9FD4629"/>
    <w:rsid w:val="FAEFD8B1"/>
    <w:rsid w:val="FB7FE7D0"/>
    <w:rsid w:val="FBD7BA79"/>
    <w:rsid w:val="FCBF49FF"/>
    <w:rsid w:val="FCFFB412"/>
    <w:rsid w:val="FDB6A937"/>
    <w:rsid w:val="FDCB95E6"/>
    <w:rsid w:val="FDDF2805"/>
    <w:rsid w:val="FE7D40B5"/>
    <w:rsid w:val="FEDF71A0"/>
    <w:rsid w:val="FEFE7F06"/>
    <w:rsid w:val="FFDF48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2023-02-02T22:35:00Z</dcterms:created>
  <dc:creator>uos</dc:creator>
  <cp:lastModifiedBy>uos</cp:lastModifiedBy>
  <cp:lastPrinted>2023-02-09T22:19:00Z</cp:lastPrinted>
  <dcterms:modified xsi:type="dcterms:W3CDTF">2024-09-18T09:34:23Z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