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hint="eastAsia" w:ascii="黑体" w:hAnsi="黑体" w:eastAsia="黑体" w:cs="黑体"/>
          <w:b/>
          <w:color w:val="000000"/>
          <w:sz w:val="44"/>
          <w:lang w:eastAsia="zh-CN"/>
        </w:rPr>
        <w:t>石家庄市藁城区文学艺术界联合会</w:t>
      </w: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4"/>
        <w:tabs>
          <w:tab w:val="right" w:leader="dot" w:pos="14800"/>
        </w:tabs>
      </w:pPr>
      <w:r>
        <w:fldChar w:fldCharType="begin"/>
      </w:r>
      <w:r>
        <w:instrText xml:space="preserve">TOC \o "2-2" \h \z \u</w:instrText>
      </w:r>
      <w:r>
        <w:fldChar w:fldCharType="separate"/>
      </w:r>
      <w:r>
        <w:fldChar w:fldCharType="begin"/>
      </w:r>
      <w:r>
        <w:instrText xml:space="preserve"> HYPERLINK \l _Toc25249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_Toc25249 \h </w:instrText>
      </w:r>
      <w:r>
        <w:fldChar w:fldCharType="separate"/>
      </w:r>
      <w:r>
        <w:t>2</w:t>
      </w:r>
      <w:r>
        <w:fldChar w:fldCharType="end"/>
      </w:r>
      <w:r>
        <w:fldChar w:fldCharType="end"/>
      </w:r>
    </w:p>
    <w:p>
      <w:pPr>
        <w:pStyle w:val="4"/>
        <w:tabs>
          <w:tab w:val="right" w:leader="dot" w:pos="14800"/>
        </w:tabs>
      </w:pPr>
      <w:r>
        <w:fldChar w:fldCharType="begin"/>
      </w:r>
      <w:r>
        <w:instrText xml:space="preserve"> HYPERLINK \l _Toc12299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_Toc12299 \h </w:instrText>
      </w:r>
      <w:r>
        <w:fldChar w:fldCharType="separate"/>
      </w:r>
      <w:r>
        <w:t>6</w:t>
      </w:r>
      <w:r>
        <w:fldChar w:fldCharType="end"/>
      </w:r>
      <w:r>
        <w:fldChar w:fldCharType="end"/>
      </w:r>
    </w:p>
    <w:p>
      <w:pPr>
        <w:pStyle w:val="4"/>
        <w:tabs>
          <w:tab w:val="right" w:leader="dot" w:pos="14800"/>
        </w:tabs>
      </w:pPr>
      <w:r>
        <w:fldChar w:fldCharType="begin"/>
      </w:r>
      <w:r>
        <w:instrText xml:space="preserve"> HYPERLINK \l _Toc1328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_Toc1328 \h </w:instrText>
      </w:r>
      <w:r>
        <w:fldChar w:fldCharType="separate"/>
      </w:r>
      <w:r>
        <w:t>8</w:t>
      </w:r>
      <w:r>
        <w:fldChar w:fldCharType="end"/>
      </w:r>
      <w:r>
        <w:fldChar w:fldCharType="end"/>
      </w:r>
    </w:p>
    <w:p>
      <w:pPr>
        <w:pStyle w:val="4"/>
        <w:tabs>
          <w:tab w:val="right" w:leader="dot" w:pos="14800"/>
        </w:tabs>
      </w:pPr>
      <w:r>
        <w:fldChar w:fldCharType="begin"/>
      </w:r>
      <w:r>
        <w:instrText xml:space="preserve"> HYPERLINK \l _Toc32645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_Toc32645 \h </w:instrText>
      </w:r>
      <w:r>
        <w:fldChar w:fldCharType="separate"/>
      </w:r>
      <w:r>
        <w:t>9</w:t>
      </w:r>
      <w:r>
        <w:fldChar w:fldCharType="end"/>
      </w:r>
      <w:r>
        <w:fldChar w:fldCharType="end"/>
      </w:r>
    </w:p>
    <w:p>
      <w:pPr>
        <w:pStyle w:val="4"/>
        <w:tabs>
          <w:tab w:val="right" w:leader="dot" w:pos="14800"/>
        </w:tabs>
      </w:pPr>
      <w:r>
        <w:fldChar w:fldCharType="begin"/>
      </w:r>
      <w:r>
        <w:instrText xml:space="preserve"> HYPERLINK \l _Toc19815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_Toc19815 \h </w:instrText>
      </w:r>
      <w:r>
        <w:fldChar w:fldCharType="separate"/>
      </w:r>
      <w:r>
        <w:t>16</w:t>
      </w:r>
      <w:r>
        <w:fldChar w:fldCharType="end"/>
      </w:r>
      <w:r>
        <w:fldChar w:fldCharType="end"/>
      </w:r>
    </w:p>
    <w:p>
      <w:pPr>
        <w:pStyle w:val="4"/>
        <w:tabs>
          <w:tab w:val="right" w:leader="dot" w:pos="14800"/>
        </w:tabs>
      </w:pPr>
      <w:r>
        <w:fldChar w:fldCharType="begin"/>
      </w:r>
      <w:r>
        <w:instrText xml:space="preserve"> HYPERLINK \l _Toc28300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_Toc28300 \h </w:instrText>
      </w:r>
      <w:r>
        <w:fldChar w:fldCharType="separate"/>
      </w:r>
      <w:r>
        <w:t>17</w:t>
      </w:r>
      <w:r>
        <w:fldChar w:fldCharType="end"/>
      </w:r>
      <w:r>
        <w:fldChar w:fldCharType="end"/>
      </w:r>
    </w:p>
    <w:p>
      <w:pPr>
        <w:pStyle w:val="4"/>
        <w:tabs>
          <w:tab w:val="right" w:leader="dot" w:pos="14800"/>
        </w:tabs>
      </w:pPr>
      <w:r>
        <w:fldChar w:fldCharType="begin"/>
      </w:r>
      <w:r>
        <w:instrText xml:space="preserve"> HYPERLINK \l _Toc26219 </w:instrText>
      </w:r>
      <w:r>
        <w:fldChar w:fldCharType="separate"/>
      </w:r>
      <w:r>
        <w:rPr>
          <w:rFonts w:ascii="方正小标宋_GBK" w:hAnsi="方正小标宋_GBK" w:eastAsia="方正小标宋_GBK" w:cs="方正小标宋_GBK"/>
        </w:rPr>
        <w:t>部门预算政府</w:t>
      </w:r>
      <w:r>
        <w:rPr>
          <w:rFonts w:hint="eastAsia" w:ascii="方正小标宋_GBK" w:hAnsi="方正小标宋_GBK" w:eastAsia="方正小标宋_GBK" w:cs="方正小标宋_GBK"/>
          <w:lang w:eastAsia="zh-CN"/>
        </w:rPr>
        <w:t>性</w:t>
      </w:r>
      <w:r>
        <w:rPr>
          <w:rFonts w:ascii="方正小标宋_GBK" w:hAnsi="方正小标宋_GBK" w:eastAsia="方正小标宋_GBK" w:cs="方正小标宋_GBK"/>
        </w:rPr>
        <w:t>基金预算财政拨款支出表</w:t>
      </w:r>
      <w:r>
        <w:tab/>
      </w:r>
      <w:r>
        <w:fldChar w:fldCharType="begin"/>
      </w:r>
      <w:r>
        <w:instrText xml:space="preserve"> PAGEREF _Toc26219 \h </w:instrText>
      </w:r>
      <w:r>
        <w:fldChar w:fldCharType="separate"/>
      </w:r>
      <w:r>
        <w:t>19</w:t>
      </w:r>
      <w:r>
        <w:fldChar w:fldCharType="end"/>
      </w:r>
      <w:r>
        <w:fldChar w:fldCharType="end"/>
      </w:r>
    </w:p>
    <w:p>
      <w:pPr>
        <w:pStyle w:val="4"/>
        <w:tabs>
          <w:tab w:val="right" w:leader="dot" w:pos="14800"/>
        </w:tabs>
      </w:pPr>
      <w:r>
        <w:fldChar w:fldCharType="begin"/>
      </w:r>
      <w:r>
        <w:instrText xml:space="preserve"> HYPERLINK \l _Toc14803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_Toc14803 \h </w:instrText>
      </w:r>
      <w:r>
        <w:fldChar w:fldCharType="separate"/>
      </w:r>
      <w:r>
        <w:t>20</w:t>
      </w:r>
      <w:r>
        <w:fldChar w:fldCharType="end"/>
      </w:r>
      <w:r>
        <w:fldChar w:fldCharType="end"/>
      </w:r>
    </w:p>
    <w:p>
      <w:pPr>
        <w:pStyle w:val="4"/>
        <w:tabs>
          <w:tab w:val="right" w:leader="dot" w:pos="14800"/>
        </w:tabs>
      </w:pPr>
      <w:r>
        <w:fldChar w:fldCharType="begin"/>
      </w:r>
      <w:r>
        <w:instrText xml:space="preserve"> HYPERLINK \l _Toc26559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_Toc26559 \h </w:instrText>
      </w:r>
      <w:r>
        <w:fldChar w:fldCharType="separate"/>
      </w:r>
      <w:r>
        <w:t>21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2"/>
        <w:tabs>
          <w:tab w:val="right" w:leader="dot" w:pos="14800"/>
        </w:tabs>
      </w:pPr>
      <w:r>
        <w:fldChar w:fldCharType="begin"/>
      </w:r>
      <w:r>
        <w:instrText xml:space="preserve">TOC \o "3-3" \h \z \u</w:instrText>
      </w:r>
      <w:r>
        <w:fldChar w:fldCharType="separate"/>
      </w:r>
      <w:r>
        <w:fldChar w:fldCharType="begin"/>
      </w:r>
      <w:r>
        <w:instrText xml:space="preserve"> HYPERLINK \l _Toc10695 </w:instrText>
      </w:r>
      <w:r>
        <w:fldChar w:fldCharType="separate"/>
      </w:r>
      <w:r>
        <w:rPr>
          <w:rFonts w:ascii="黑体" w:hAnsi="黑体" w:eastAsia="黑体" w:cs="黑体"/>
        </w:rPr>
        <w:t>一、部门职责及机构设置情况</w:t>
      </w:r>
      <w:r>
        <w:tab/>
      </w:r>
      <w:r>
        <w:fldChar w:fldCharType="begin"/>
      </w:r>
      <w:r>
        <w:instrText xml:space="preserve"> PAGEREF _Toc10695 \h </w:instrText>
      </w:r>
      <w:r>
        <w:fldChar w:fldCharType="separate"/>
      </w:r>
      <w:r>
        <w:t>22</w:t>
      </w:r>
      <w:r>
        <w:fldChar w:fldCharType="end"/>
      </w:r>
      <w:r>
        <w:fldChar w:fldCharType="end"/>
      </w:r>
    </w:p>
    <w:p>
      <w:pPr>
        <w:pStyle w:val="2"/>
        <w:tabs>
          <w:tab w:val="right" w:leader="dot" w:pos="14800"/>
        </w:tabs>
      </w:pPr>
      <w:r>
        <w:fldChar w:fldCharType="begin"/>
      </w:r>
      <w:r>
        <w:instrText xml:space="preserve"> HYPERLINK \l _Toc25415 </w:instrText>
      </w:r>
      <w:r>
        <w:fldChar w:fldCharType="separate"/>
      </w:r>
      <w:r>
        <w:rPr>
          <w:rFonts w:ascii="黑体" w:hAnsi="黑体" w:eastAsia="黑体" w:cs="黑体"/>
        </w:rPr>
        <w:t>二、部门预算安排的总体情况</w:t>
      </w:r>
      <w:r>
        <w:tab/>
      </w:r>
      <w:r>
        <w:fldChar w:fldCharType="begin"/>
      </w:r>
      <w:r>
        <w:instrText xml:space="preserve"> PAGEREF _Toc25415 \h </w:instrText>
      </w:r>
      <w:r>
        <w:fldChar w:fldCharType="separate"/>
      </w:r>
      <w:r>
        <w:t>23</w:t>
      </w:r>
      <w:r>
        <w:fldChar w:fldCharType="end"/>
      </w:r>
      <w:r>
        <w:fldChar w:fldCharType="end"/>
      </w:r>
    </w:p>
    <w:p>
      <w:pPr>
        <w:pStyle w:val="2"/>
        <w:tabs>
          <w:tab w:val="right" w:leader="dot" w:pos="14800"/>
        </w:tabs>
      </w:pPr>
      <w:r>
        <w:fldChar w:fldCharType="begin"/>
      </w:r>
      <w:r>
        <w:instrText xml:space="preserve"> HYPERLINK \l _Toc7119 </w:instrText>
      </w:r>
      <w:r>
        <w:fldChar w:fldCharType="separate"/>
      </w:r>
      <w:r>
        <w:rPr>
          <w:rFonts w:ascii="黑体" w:hAnsi="黑体" w:eastAsia="黑体" w:cs="黑体"/>
        </w:rPr>
        <w:t>三、机关运行经费安排情况</w:t>
      </w:r>
      <w:r>
        <w:tab/>
      </w:r>
      <w:r>
        <w:fldChar w:fldCharType="begin"/>
      </w:r>
      <w:r>
        <w:instrText xml:space="preserve"> PAGEREF _Toc7119 \h </w:instrText>
      </w:r>
      <w:r>
        <w:fldChar w:fldCharType="separate"/>
      </w:r>
      <w:r>
        <w:t>24</w:t>
      </w:r>
      <w:r>
        <w:fldChar w:fldCharType="end"/>
      </w:r>
      <w:r>
        <w:fldChar w:fldCharType="end"/>
      </w:r>
    </w:p>
    <w:p>
      <w:pPr>
        <w:pStyle w:val="2"/>
        <w:tabs>
          <w:tab w:val="right" w:leader="dot" w:pos="14800"/>
        </w:tabs>
      </w:pPr>
      <w:r>
        <w:fldChar w:fldCharType="begin"/>
      </w:r>
      <w:r>
        <w:instrText xml:space="preserve"> HYPERLINK \l _Toc19343 </w:instrText>
      </w:r>
      <w:r>
        <w:fldChar w:fldCharType="separate"/>
      </w:r>
      <w:r>
        <w:rPr>
          <w:rFonts w:ascii="黑体" w:hAnsi="黑体" w:eastAsia="黑体" w:cs="黑体"/>
        </w:rPr>
        <w:t>四、财政拨款“三公”经费预算情况及增减变化原因</w:t>
      </w:r>
      <w:r>
        <w:tab/>
      </w:r>
      <w:r>
        <w:fldChar w:fldCharType="begin"/>
      </w:r>
      <w:r>
        <w:instrText xml:space="preserve"> PAGEREF _Toc19343 \h </w:instrText>
      </w:r>
      <w:r>
        <w:fldChar w:fldCharType="separate"/>
      </w:r>
      <w:r>
        <w:t>24</w:t>
      </w:r>
      <w:r>
        <w:fldChar w:fldCharType="end"/>
      </w:r>
      <w:r>
        <w:fldChar w:fldCharType="end"/>
      </w:r>
    </w:p>
    <w:p>
      <w:pPr>
        <w:pStyle w:val="2"/>
        <w:tabs>
          <w:tab w:val="right" w:leader="dot" w:pos="14800"/>
        </w:tabs>
      </w:pPr>
      <w:r>
        <w:fldChar w:fldCharType="begin"/>
      </w:r>
      <w:r>
        <w:instrText xml:space="preserve"> HYPERLINK \l _Toc22259 </w:instrText>
      </w:r>
      <w:r>
        <w:fldChar w:fldCharType="separate"/>
      </w:r>
      <w:r>
        <w:rPr>
          <w:rFonts w:ascii="黑体" w:hAnsi="黑体" w:eastAsia="黑体" w:cs="黑体"/>
        </w:rPr>
        <w:t>五、预算绩效信息</w:t>
      </w:r>
      <w:r>
        <w:tab/>
      </w:r>
      <w:r>
        <w:fldChar w:fldCharType="begin"/>
      </w:r>
      <w:r>
        <w:instrText xml:space="preserve"> PAGEREF _Toc22259 \h </w:instrText>
      </w:r>
      <w:r>
        <w:fldChar w:fldCharType="separate"/>
      </w:r>
      <w:r>
        <w:t>24</w:t>
      </w:r>
      <w:r>
        <w:fldChar w:fldCharType="end"/>
      </w:r>
      <w:r>
        <w:fldChar w:fldCharType="end"/>
      </w:r>
    </w:p>
    <w:p>
      <w:pPr>
        <w:pStyle w:val="2"/>
        <w:tabs>
          <w:tab w:val="right" w:leader="dot" w:pos="14800"/>
        </w:tabs>
      </w:pPr>
      <w:r>
        <w:fldChar w:fldCharType="begin"/>
      </w:r>
      <w:r>
        <w:instrText xml:space="preserve"> HYPERLINK \l _Toc12496 </w:instrText>
      </w:r>
      <w:r>
        <w:fldChar w:fldCharType="separate"/>
      </w:r>
      <w:r>
        <w:rPr>
          <w:rFonts w:ascii="黑体" w:hAnsi="黑体" w:eastAsia="黑体" w:cs="黑体"/>
        </w:rPr>
        <w:t>六、政府采购预算情况</w:t>
      </w:r>
      <w:r>
        <w:tab/>
      </w:r>
      <w:r>
        <w:fldChar w:fldCharType="begin"/>
      </w:r>
      <w:r>
        <w:instrText xml:space="preserve"> PAGEREF _Toc12496 \h </w:instrText>
      </w:r>
      <w:r>
        <w:fldChar w:fldCharType="separate"/>
      </w:r>
      <w:r>
        <w:t>30</w:t>
      </w:r>
      <w:r>
        <w:fldChar w:fldCharType="end"/>
      </w:r>
      <w:r>
        <w:fldChar w:fldCharType="end"/>
      </w:r>
    </w:p>
    <w:p>
      <w:pPr>
        <w:pStyle w:val="2"/>
        <w:tabs>
          <w:tab w:val="right" w:leader="dot" w:pos="14800"/>
        </w:tabs>
      </w:pPr>
      <w:r>
        <w:fldChar w:fldCharType="begin"/>
      </w:r>
      <w:r>
        <w:instrText xml:space="preserve"> HYPERLINK \l _Toc2892 </w:instrText>
      </w:r>
      <w:r>
        <w:fldChar w:fldCharType="separate"/>
      </w:r>
      <w:r>
        <w:rPr>
          <w:rFonts w:ascii="黑体" w:hAnsi="黑体" w:eastAsia="黑体" w:cs="黑体"/>
        </w:rPr>
        <w:t>七、国有资产信息</w:t>
      </w:r>
      <w:r>
        <w:tab/>
      </w:r>
      <w:r>
        <w:fldChar w:fldCharType="begin"/>
      </w:r>
      <w:r>
        <w:instrText xml:space="preserve"> PAGEREF _Toc2892 \h </w:instrText>
      </w:r>
      <w:r>
        <w:fldChar w:fldCharType="separate"/>
      </w:r>
      <w:r>
        <w:t>31</w:t>
      </w:r>
      <w:r>
        <w:fldChar w:fldCharType="end"/>
      </w:r>
      <w:r>
        <w:fldChar w:fldCharType="end"/>
      </w:r>
    </w:p>
    <w:p>
      <w:pPr>
        <w:pStyle w:val="2"/>
        <w:tabs>
          <w:tab w:val="right" w:leader="dot" w:pos="14800"/>
        </w:tabs>
      </w:pPr>
      <w:r>
        <w:fldChar w:fldCharType="begin"/>
      </w:r>
      <w:r>
        <w:instrText xml:space="preserve"> HYPERLINK \l _Toc28428 </w:instrText>
      </w:r>
      <w:r>
        <w:fldChar w:fldCharType="separate"/>
      </w:r>
      <w:r>
        <w:rPr>
          <w:rFonts w:ascii="黑体" w:hAnsi="黑体" w:eastAsia="黑体" w:cs="黑体"/>
        </w:rPr>
        <w:t>八、名词解释</w:t>
      </w:r>
      <w:r>
        <w:tab/>
      </w:r>
      <w:r>
        <w:fldChar w:fldCharType="begin"/>
      </w:r>
      <w:r>
        <w:instrText xml:space="preserve"> PAGEREF _Toc28428 \h </w:instrText>
      </w:r>
      <w:r>
        <w:fldChar w:fldCharType="separate"/>
      </w:r>
      <w:r>
        <w:t>32</w:t>
      </w:r>
      <w:r>
        <w:fldChar w:fldCharType="end"/>
      </w:r>
      <w:r>
        <w:fldChar w:fldCharType="end"/>
      </w:r>
    </w:p>
    <w:p>
      <w:pPr>
        <w:pStyle w:val="2"/>
        <w:tabs>
          <w:tab w:val="right" w:leader="dot" w:pos="14800"/>
        </w:tabs>
      </w:pPr>
      <w:r>
        <w:fldChar w:fldCharType="begin"/>
      </w:r>
      <w:r>
        <w:instrText xml:space="preserve"> HYPERLINK \l _Toc10210 </w:instrText>
      </w:r>
      <w:r>
        <w:fldChar w:fldCharType="separate"/>
      </w:r>
      <w:r>
        <w:rPr>
          <w:rFonts w:ascii="黑体" w:hAnsi="黑体" w:eastAsia="黑体" w:cs="黑体"/>
        </w:rPr>
        <w:t>九、其他需要说明的事项</w:t>
      </w:r>
      <w:r>
        <w:tab/>
      </w:r>
      <w:r>
        <w:fldChar w:fldCharType="begin"/>
      </w:r>
      <w:r>
        <w:instrText xml:space="preserve"> PAGEREF _Toc10210 \h </w:instrText>
      </w:r>
      <w:r>
        <w:fldChar w:fldCharType="separate"/>
      </w:r>
      <w:r>
        <w:t>33</w:t>
      </w:r>
      <w:r>
        <w:fldChar w:fldCharType="end"/>
      </w:r>
      <w:r>
        <w:fldChar w:fldCharType="end"/>
      </w:r>
    </w:p>
    <w:p>
      <w:pPr>
        <w:spacing w:before="0" w:after="0" w:line="240" w:lineRule="auto"/>
        <w:ind w:firstLine="0"/>
        <w:jc w:val="center"/>
        <w:outlineLvl w:val="1"/>
      </w:pPr>
      <w:r>
        <w:fldChar w:fldCharType="end"/>
      </w:r>
    </w:p>
    <w:p>
      <w:pPr>
        <w:spacing w:before="0" w:after="0" w:line="240" w:lineRule="auto"/>
        <w:ind w:firstLine="0"/>
        <w:jc w:val="center"/>
        <w:outlineLvl w:val="1"/>
      </w:pPr>
    </w:p>
    <w:p>
      <w:pPr>
        <w:spacing w:before="0" w:after="0" w:line="240" w:lineRule="auto"/>
        <w:ind w:firstLine="0"/>
        <w:jc w:val="center"/>
        <w:outlineLvl w:val="1"/>
      </w:pPr>
    </w:p>
    <w:p>
      <w:pPr>
        <w:spacing w:before="0" w:after="0" w:line="240" w:lineRule="auto"/>
        <w:ind w:firstLine="0"/>
        <w:jc w:val="both"/>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bookmarkStart w:id="0" w:name="_Toc25249"/>
      <w:r>
        <w:rPr>
          <w:rFonts w:ascii="方正小标宋_GBK" w:hAnsi="方正小标宋_GBK" w:eastAsia="方正小标宋_GBK" w:cs="方正小标宋_GBK"/>
          <w:color w:val="000000"/>
          <w:sz w:val="36"/>
        </w:rPr>
        <w:t>部门预算收支总表</w:t>
      </w:r>
      <w:bookmarkEnd w:id="0"/>
    </w:p>
    <w:p>
      <w:pPr>
        <w:spacing w:before="0" w:after="0" w:line="240" w:lineRule="auto"/>
        <w:ind w:firstLine="0"/>
        <w:jc w:val="both"/>
        <w:outlineLvl w:val="1"/>
        <w:rPr>
          <w:rFonts w:ascii="方正小标宋_GBK" w:hAnsi="方正小标宋_GBK" w:eastAsia="方正小标宋_GBK" w:cs="方正小标宋_GBK"/>
          <w:color w:val="000000"/>
          <w:sz w:val="36"/>
        </w:rPr>
      </w:pPr>
    </w:p>
    <w:tbl>
      <w:tblPr>
        <w:tblStyle w:val="5"/>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7"/>
            </w:pPr>
            <w:r>
              <w:t>721石家庄市藁城区文学艺术界联合会</w:t>
            </w:r>
          </w:p>
        </w:tc>
        <w:tc>
          <w:tcPr>
            <w:tcW w:w="1971" w:type="dxa"/>
            <w:tcBorders>
              <w:top w:val="single" w:color="FFFFFF" w:sz="6" w:space="0"/>
              <w:left w:val="single" w:color="FFFFFF" w:sz="6" w:space="0"/>
              <w:right w:val="single" w:color="FFFFFF" w:sz="6" w:space="0"/>
            </w:tcBorders>
            <w:vAlign w:val="center"/>
          </w:tcPr>
          <w:p>
            <w:pPr>
              <w:pStyle w:val="8"/>
            </w:pPr>
            <w:r>
              <w:t>预算年度：2023</w:t>
            </w:r>
          </w:p>
        </w:tc>
        <w:tc>
          <w:tcPr>
            <w:tcW w:w="394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0"/>
            </w:pPr>
            <w:r>
              <w:t>序号</w:t>
            </w:r>
          </w:p>
        </w:tc>
        <w:tc>
          <w:tcPr>
            <w:tcW w:w="3942" w:type="dxa"/>
            <w:gridSpan w:val="2"/>
            <w:vAlign w:val="center"/>
          </w:tcPr>
          <w:p>
            <w:pPr>
              <w:pStyle w:val="10"/>
            </w:pPr>
            <w:r>
              <w:t>收入</w:t>
            </w:r>
          </w:p>
        </w:tc>
        <w:tc>
          <w:tcPr>
            <w:tcW w:w="3942"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0"/>
            </w:pPr>
            <w:r>
              <w:t>项  目</w:t>
            </w:r>
          </w:p>
        </w:tc>
        <w:tc>
          <w:tcPr>
            <w:tcW w:w="1971" w:type="dxa"/>
            <w:vAlign w:val="center"/>
          </w:tcPr>
          <w:p>
            <w:pPr>
              <w:pStyle w:val="10"/>
            </w:pPr>
            <w:r>
              <w:t>预算数</w:t>
            </w:r>
          </w:p>
        </w:tc>
        <w:tc>
          <w:tcPr>
            <w:tcW w:w="1971" w:type="dxa"/>
            <w:vAlign w:val="center"/>
          </w:tcPr>
          <w:p>
            <w:pPr>
              <w:pStyle w:val="10"/>
            </w:pPr>
            <w:r>
              <w:t>项  目</w:t>
            </w:r>
          </w:p>
        </w:tc>
        <w:tc>
          <w:tcPr>
            <w:tcW w:w="1971"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971" w:type="dxa"/>
            <w:vAlign w:val="center"/>
          </w:tcPr>
          <w:p>
            <w:pPr>
              <w:pStyle w:val="10"/>
            </w:pPr>
            <w:r>
              <w:t>栏次</w:t>
            </w:r>
          </w:p>
        </w:tc>
        <w:tc>
          <w:tcPr>
            <w:tcW w:w="1971" w:type="dxa"/>
            <w:vAlign w:val="center"/>
          </w:tcPr>
          <w:p>
            <w:pPr>
              <w:pStyle w:val="10"/>
            </w:pPr>
            <w:r>
              <w:t>1</w:t>
            </w:r>
          </w:p>
        </w:tc>
        <w:tc>
          <w:tcPr>
            <w:tcW w:w="1971" w:type="dxa"/>
            <w:vAlign w:val="center"/>
          </w:tcPr>
          <w:p>
            <w:pPr>
              <w:pStyle w:val="10"/>
            </w:pPr>
            <w:r>
              <w:t>2</w:t>
            </w:r>
          </w:p>
        </w:tc>
        <w:tc>
          <w:tcPr>
            <w:tcW w:w="1971" w:type="dxa"/>
            <w:vAlign w:val="center"/>
          </w:tcPr>
          <w:p>
            <w:pPr>
              <w:pStyle w:val="10"/>
            </w:pPr>
            <w:r>
              <w:t>3</w:t>
            </w:r>
          </w:p>
        </w:tc>
        <w:tc>
          <w:tcPr>
            <w:tcW w:w="1971"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w:t>
            </w:r>
          </w:p>
        </w:tc>
        <w:tc>
          <w:tcPr>
            <w:tcW w:w="1971" w:type="dxa"/>
            <w:vAlign w:val="center"/>
          </w:tcPr>
          <w:p>
            <w:pPr>
              <w:pStyle w:val="12"/>
            </w:pPr>
            <w:r>
              <w:t>一、一般公共预算拨款收入</w:t>
            </w:r>
          </w:p>
        </w:tc>
        <w:tc>
          <w:tcPr>
            <w:tcW w:w="1971" w:type="dxa"/>
            <w:vAlign w:val="center"/>
          </w:tcPr>
          <w:p>
            <w:pPr>
              <w:pStyle w:val="13"/>
            </w:pPr>
            <w:r>
              <w:t>131.01</w:t>
            </w:r>
          </w:p>
        </w:tc>
        <w:tc>
          <w:tcPr>
            <w:tcW w:w="1971" w:type="dxa"/>
            <w:vAlign w:val="center"/>
          </w:tcPr>
          <w:p>
            <w:pPr>
              <w:pStyle w:val="12"/>
            </w:pPr>
            <w:r>
              <w:t>一、一般公共服务支出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w:t>
            </w:r>
          </w:p>
        </w:tc>
        <w:tc>
          <w:tcPr>
            <w:tcW w:w="1971" w:type="dxa"/>
            <w:vAlign w:val="center"/>
          </w:tcPr>
          <w:p>
            <w:pPr>
              <w:pStyle w:val="12"/>
            </w:pPr>
            <w:r>
              <w:t>二、政府性基金预算拨款收入</w:t>
            </w:r>
          </w:p>
        </w:tc>
        <w:tc>
          <w:tcPr>
            <w:tcW w:w="1971" w:type="dxa"/>
            <w:vAlign w:val="center"/>
          </w:tcPr>
          <w:p>
            <w:pPr>
              <w:pStyle w:val="13"/>
            </w:pPr>
          </w:p>
        </w:tc>
        <w:tc>
          <w:tcPr>
            <w:tcW w:w="1971" w:type="dxa"/>
            <w:vAlign w:val="center"/>
          </w:tcPr>
          <w:p>
            <w:pPr>
              <w:pStyle w:val="12"/>
            </w:pPr>
            <w:r>
              <w:t>二、外交支出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3</w:t>
            </w:r>
          </w:p>
        </w:tc>
        <w:tc>
          <w:tcPr>
            <w:tcW w:w="1971" w:type="dxa"/>
            <w:vAlign w:val="center"/>
          </w:tcPr>
          <w:p>
            <w:pPr>
              <w:pStyle w:val="12"/>
            </w:pPr>
            <w:r>
              <w:t>三、国有资本经营预算拨款收入</w:t>
            </w:r>
          </w:p>
        </w:tc>
        <w:tc>
          <w:tcPr>
            <w:tcW w:w="1971" w:type="dxa"/>
            <w:vAlign w:val="center"/>
          </w:tcPr>
          <w:p>
            <w:pPr>
              <w:pStyle w:val="13"/>
            </w:pPr>
          </w:p>
        </w:tc>
        <w:tc>
          <w:tcPr>
            <w:tcW w:w="1971" w:type="dxa"/>
            <w:vAlign w:val="center"/>
          </w:tcPr>
          <w:p>
            <w:pPr>
              <w:pStyle w:val="12"/>
            </w:pPr>
            <w:r>
              <w:t>三、国防支出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4</w:t>
            </w:r>
          </w:p>
        </w:tc>
        <w:tc>
          <w:tcPr>
            <w:tcW w:w="1971" w:type="dxa"/>
            <w:vAlign w:val="center"/>
          </w:tcPr>
          <w:p>
            <w:pPr>
              <w:pStyle w:val="12"/>
            </w:pPr>
            <w:r>
              <w:t>四、财政专户管理资金收入</w:t>
            </w:r>
          </w:p>
        </w:tc>
        <w:tc>
          <w:tcPr>
            <w:tcW w:w="1971" w:type="dxa"/>
            <w:vAlign w:val="center"/>
          </w:tcPr>
          <w:p>
            <w:pPr>
              <w:pStyle w:val="13"/>
            </w:pPr>
          </w:p>
        </w:tc>
        <w:tc>
          <w:tcPr>
            <w:tcW w:w="1971" w:type="dxa"/>
            <w:vAlign w:val="center"/>
          </w:tcPr>
          <w:p>
            <w:pPr>
              <w:pStyle w:val="12"/>
            </w:pPr>
            <w:r>
              <w:t>四、公共安全支出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5</w:t>
            </w:r>
          </w:p>
        </w:tc>
        <w:tc>
          <w:tcPr>
            <w:tcW w:w="1971" w:type="dxa"/>
            <w:vAlign w:val="center"/>
          </w:tcPr>
          <w:p>
            <w:pPr>
              <w:pStyle w:val="12"/>
            </w:pPr>
            <w:r>
              <w:t>五、事业收入</w:t>
            </w:r>
          </w:p>
        </w:tc>
        <w:tc>
          <w:tcPr>
            <w:tcW w:w="1971" w:type="dxa"/>
            <w:vAlign w:val="center"/>
          </w:tcPr>
          <w:p>
            <w:pPr>
              <w:pStyle w:val="13"/>
            </w:pPr>
          </w:p>
        </w:tc>
        <w:tc>
          <w:tcPr>
            <w:tcW w:w="1971" w:type="dxa"/>
            <w:vAlign w:val="center"/>
          </w:tcPr>
          <w:p>
            <w:pPr>
              <w:pStyle w:val="12"/>
            </w:pPr>
            <w:r>
              <w:t>五、教育支出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6</w:t>
            </w:r>
          </w:p>
        </w:tc>
        <w:tc>
          <w:tcPr>
            <w:tcW w:w="1971" w:type="dxa"/>
            <w:vAlign w:val="center"/>
          </w:tcPr>
          <w:p>
            <w:pPr>
              <w:pStyle w:val="12"/>
            </w:pPr>
            <w:r>
              <w:t>六、事业单位经营收入</w:t>
            </w:r>
          </w:p>
        </w:tc>
        <w:tc>
          <w:tcPr>
            <w:tcW w:w="1971" w:type="dxa"/>
            <w:vAlign w:val="center"/>
          </w:tcPr>
          <w:p>
            <w:pPr>
              <w:pStyle w:val="13"/>
            </w:pPr>
          </w:p>
        </w:tc>
        <w:tc>
          <w:tcPr>
            <w:tcW w:w="1971" w:type="dxa"/>
            <w:vAlign w:val="center"/>
          </w:tcPr>
          <w:p>
            <w:pPr>
              <w:pStyle w:val="12"/>
            </w:pPr>
            <w:r>
              <w:t>六、科学技术支出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7</w:t>
            </w:r>
          </w:p>
        </w:tc>
        <w:tc>
          <w:tcPr>
            <w:tcW w:w="1971" w:type="dxa"/>
            <w:vAlign w:val="center"/>
          </w:tcPr>
          <w:p>
            <w:pPr>
              <w:pStyle w:val="12"/>
            </w:pPr>
            <w:r>
              <w:t>七、上级补助收入</w:t>
            </w:r>
          </w:p>
        </w:tc>
        <w:tc>
          <w:tcPr>
            <w:tcW w:w="1971" w:type="dxa"/>
            <w:vAlign w:val="center"/>
          </w:tcPr>
          <w:p>
            <w:pPr>
              <w:pStyle w:val="13"/>
            </w:pPr>
          </w:p>
        </w:tc>
        <w:tc>
          <w:tcPr>
            <w:tcW w:w="1971" w:type="dxa"/>
            <w:vAlign w:val="center"/>
          </w:tcPr>
          <w:p>
            <w:pPr>
              <w:pStyle w:val="12"/>
            </w:pPr>
            <w:r>
              <w:t>七、文化旅游体育与传媒支出</w:t>
            </w:r>
          </w:p>
        </w:tc>
        <w:tc>
          <w:tcPr>
            <w:tcW w:w="1971" w:type="dxa"/>
            <w:vAlign w:val="center"/>
          </w:tcPr>
          <w:p>
            <w:pPr>
              <w:pStyle w:val="13"/>
            </w:pPr>
            <w:r>
              <w:t>131.01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8</w:t>
            </w:r>
          </w:p>
        </w:tc>
        <w:tc>
          <w:tcPr>
            <w:tcW w:w="1971" w:type="dxa"/>
            <w:vAlign w:val="center"/>
          </w:tcPr>
          <w:p>
            <w:pPr>
              <w:pStyle w:val="12"/>
            </w:pPr>
            <w:r>
              <w:t>八、附属单位上缴收入</w:t>
            </w:r>
          </w:p>
        </w:tc>
        <w:tc>
          <w:tcPr>
            <w:tcW w:w="1971" w:type="dxa"/>
            <w:vAlign w:val="center"/>
          </w:tcPr>
          <w:p>
            <w:pPr>
              <w:pStyle w:val="13"/>
            </w:pPr>
          </w:p>
        </w:tc>
        <w:tc>
          <w:tcPr>
            <w:tcW w:w="1971" w:type="dxa"/>
            <w:vAlign w:val="center"/>
          </w:tcPr>
          <w:p>
            <w:pPr>
              <w:pStyle w:val="12"/>
            </w:pPr>
            <w:r>
              <w:t>八、社会保障和就业支出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9</w:t>
            </w:r>
          </w:p>
        </w:tc>
        <w:tc>
          <w:tcPr>
            <w:tcW w:w="1971" w:type="dxa"/>
            <w:vAlign w:val="center"/>
          </w:tcPr>
          <w:p>
            <w:pPr>
              <w:pStyle w:val="12"/>
            </w:pPr>
            <w:r>
              <w:t>九、其他收入</w:t>
            </w:r>
          </w:p>
        </w:tc>
        <w:tc>
          <w:tcPr>
            <w:tcW w:w="1971" w:type="dxa"/>
            <w:vAlign w:val="center"/>
          </w:tcPr>
          <w:p>
            <w:pPr>
              <w:pStyle w:val="13"/>
            </w:pPr>
          </w:p>
        </w:tc>
        <w:tc>
          <w:tcPr>
            <w:tcW w:w="1971" w:type="dxa"/>
            <w:vAlign w:val="center"/>
          </w:tcPr>
          <w:p>
            <w:pPr>
              <w:pStyle w:val="12"/>
            </w:pPr>
            <w:r>
              <w:t>九、社会保险基金支出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10</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十、卫生健康支出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11</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十一、节能环保支出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12</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十二、城乡社区支出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13</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十三、农林水支出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14</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十四、交通运输支出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15</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十五、资源勘探工业信息等支出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16</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十六、商业服务业等支出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17</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十七、金融支出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18</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19</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十九、自然资源海洋气象等支出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20</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二十、住房保障支出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21</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22</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二十二、国有资本经营预算支出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23</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二十三、灾害防治及应急管理支出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24</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25</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二十五、其他支出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26</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二十六、转移性支出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27</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二十七、债务还本支出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28</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二十八、债务付息支出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29</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二十九、债务发行费用支出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30</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三十、抗疫特别国债安排的支出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31</w:t>
            </w:r>
          </w:p>
        </w:tc>
        <w:tc>
          <w:tcPr>
            <w:tcW w:w="1971" w:type="dxa"/>
            <w:vAlign w:val="center"/>
          </w:tcPr>
          <w:p>
            <w:pPr>
              <w:pStyle w:val="12"/>
            </w:pPr>
          </w:p>
        </w:tc>
        <w:tc>
          <w:tcPr>
            <w:tcW w:w="1971" w:type="dxa"/>
            <w:vAlign w:val="center"/>
          </w:tcPr>
          <w:p>
            <w:pPr>
              <w:pStyle w:val="13"/>
            </w:pPr>
          </w:p>
        </w:tc>
        <w:tc>
          <w:tcPr>
            <w:tcW w:w="1971" w:type="dxa"/>
            <w:vAlign w:val="center"/>
          </w:tcPr>
          <w:p>
            <w:pPr>
              <w:pStyle w:val="12"/>
            </w:pPr>
            <w:r>
              <w:t>三十一、人行科目</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32</w:t>
            </w:r>
          </w:p>
        </w:tc>
        <w:tc>
          <w:tcPr>
            <w:tcW w:w="1971" w:type="dxa"/>
            <w:vAlign w:val="center"/>
          </w:tcPr>
          <w:p>
            <w:pPr>
              <w:pStyle w:val="14"/>
            </w:pPr>
            <w:r>
              <w:t>本年收入合计</w:t>
            </w:r>
          </w:p>
        </w:tc>
        <w:tc>
          <w:tcPr>
            <w:tcW w:w="1971" w:type="dxa"/>
            <w:vAlign w:val="center"/>
          </w:tcPr>
          <w:p>
            <w:pPr>
              <w:pStyle w:val="15"/>
            </w:pPr>
            <w:r>
              <w:t>131.01</w:t>
            </w:r>
          </w:p>
        </w:tc>
        <w:tc>
          <w:tcPr>
            <w:tcW w:w="1971" w:type="dxa"/>
            <w:vAlign w:val="center"/>
          </w:tcPr>
          <w:p>
            <w:pPr>
              <w:pStyle w:val="14"/>
            </w:pPr>
            <w:r>
              <w:t>本年支出合计</w:t>
            </w:r>
          </w:p>
        </w:tc>
        <w:tc>
          <w:tcPr>
            <w:tcW w:w="1971" w:type="dxa"/>
            <w:vAlign w:val="center"/>
          </w:tcPr>
          <w:p>
            <w:pPr>
              <w:pStyle w:val="15"/>
            </w:pPr>
            <w:r>
              <w:t>131.01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33</w:t>
            </w:r>
          </w:p>
        </w:tc>
        <w:tc>
          <w:tcPr>
            <w:tcW w:w="1971" w:type="dxa"/>
            <w:vAlign w:val="center"/>
          </w:tcPr>
          <w:p>
            <w:pPr>
              <w:pStyle w:val="12"/>
            </w:pPr>
            <w:r>
              <w:t>上年结转结余</w:t>
            </w:r>
          </w:p>
        </w:tc>
        <w:tc>
          <w:tcPr>
            <w:tcW w:w="1971" w:type="dxa"/>
            <w:vAlign w:val="center"/>
          </w:tcPr>
          <w:p>
            <w:pPr>
              <w:pStyle w:val="13"/>
            </w:pPr>
          </w:p>
        </w:tc>
        <w:tc>
          <w:tcPr>
            <w:tcW w:w="1971" w:type="dxa"/>
            <w:vAlign w:val="center"/>
          </w:tcPr>
          <w:p>
            <w:pPr>
              <w:pStyle w:val="12"/>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971" w:type="dxa"/>
            <w:vAlign w:val="center"/>
          </w:tcPr>
          <w:p>
            <w:pPr>
              <w:pStyle w:val="11"/>
            </w:pPr>
            <w:r>
              <w:t>34</w:t>
            </w:r>
          </w:p>
        </w:tc>
        <w:tc>
          <w:tcPr>
            <w:tcW w:w="1971" w:type="dxa"/>
            <w:vAlign w:val="center"/>
          </w:tcPr>
          <w:p>
            <w:pPr>
              <w:pStyle w:val="14"/>
            </w:pPr>
            <w:r>
              <w:t>收入总计</w:t>
            </w:r>
          </w:p>
        </w:tc>
        <w:tc>
          <w:tcPr>
            <w:tcW w:w="1971" w:type="dxa"/>
            <w:vAlign w:val="center"/>
          </w:tcPr>
          <w:p>
            <w:pPr>
              <w:pStyle w:val="15"/>
            </w:pPr>
            <w:r>
              <w:t>131.01</w:t>
            </w:r>
          </w:p>
        </w:tc>
        <w:tc>
          <w:tcPr>
            <w:tcW w:w="1971" w:type="dxa"/>
            <w:vAlign w:val="center"/>
          </w:tcPr>
          <w:p>
            <w:pPr>
              <w:pStyle w:val="14"/>
            </w:pPr>
            <w:r>
              <w:t>支出总计</w:t>
            </w:r>
          </w:p>
        </w:tc>
        <w:tc>
          <w:tcPr>
            <w:tcW w:w="1971" w:type="dxa"/>
            <w:vAlign w:val="center"/>
          </w:tcPr>
          <w:p>
            <w:pPr>
              <w:pStyle w:val="15"/>
            </w:pPr>
            <w:r>
              <w:t>131.01</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1" w:name="_Toc12299"/>
      <w:r>
        <w:rPr>
          <w:rFonts w:ascii="方正小标宋_GBK" w:hAnsi="方正小标宋_GBK" w:eastAsia="方正小标宋_GBK" w:cs="方正小标宋_GBK"/>
          <w:color w:val="000000"/>
          <w:sz w:val="36"/>
        </w:rPr>
        <w:t>部门预算收入总表</w:t>
      </w:r>
      <w:bookmarkEnd w:id="1"/>
    </w:p>
    <w:tbl>
      <w:tblPr>
        <w:tblStyle w:val="5"/>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7"/>
            </w:pPr>
            <w:r>
              <w:t>721石家庄市藁城区文学艺术界联合会</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预算年度：2023</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131.01</w:t>
            </w:r>
          </w:p>
        </w:tc>
        <w:tc>
          <w:tcPr>
            <w:tcW w:w="758" w:type="dxa"/>
            <w:vAlign w:val="center"/>
          </w:tcPr>
          <w:p>
            <w:pPr>
              <w:pStyle w:val="15"/>
            </w:pPr>
            <w:r>
              <w:t>131.01</w:t>
            </w:r>
          </w:p>
        </w:tc>
        <w:tc>
          <w:tcPr>
            <w:tcW w:w="758" w:type="dxa"/>
            <w:vAlign w:val="center"/>
          </w:tcPr>
          <w:p>
            <w:pPr>
              <w:pStyle w:val="15"/>
            </w:pPr>
            <w:r>
              <w:t>131.01</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2</w:t>
            </w:r>
          </w:p>
        </w:tc>
        <w:tc>
          <w:tcPr>
            <w:tcW w:w="758" w:type="dxa"/>
            <w:vAlign w:val="center"/>
          </w:tcPr>
          <w:p>
            <w:pPr>
              <w:pStyle w:val="12"/>
            </w:pPr>
            <w:r>
              <w:t>207</w:t>
            </w:r>
          </w:p>
        </w:tc>
        <w:tc>
          <w:tcPr>
            <w:tcW w:w="758" w:type="dxa"/>
            <w:vAlign w:val="center"/>
          </w:tcPr>
          <w:p>
            <w:pPr>
              <w:pStyle w:val="12"/>
            </w:pPr>
            <w:r>
              <w:t>文化旅游体育与传媒支出</w:t>
            </w:r>
          </w:p>
        </w:tc>
        <w:tc>
          <w:tcPr>
            <w:tcW w:w="758" w:type="dxa"/>
            <w:vAlign w:val="center"/>
          </w:tcPr>
          <w:p>
            <w:pPr>
              <w:pStyle w:val="13"/>
            </w:pPr>
            <w:r>
              <w:t>131.01</w:t>
            </w:r>
          </w:p>
        </w:tc>
        <w:tc>
          <w:tcPr>
            <w:tcW w:w="758" w:type="dxa"/>
            <w:vAlign w:val="center"/>
          </w:tcPr>
          <w:p>
            <w:pPr>
              <w:pStyle w:val="13"/>
            </w:pPr>
            <w:r>
              <w:t>131.01</w:t>
            </w:r>
          </w:p>
        </w:tc>
        <w:tc>
          <w:tcPr>
            <w:tcW w:w="758" w:type="dxa"/>
            <w:vAlign w:val="center"/>
          </w:tcPr>
          <w:p>
            <w:pPr>
              <w:pStyle w:val="13"/>
            </w:pPr>
            <w:r>
              <w:t>131.01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3</w:t>
            </w:r>
          </w:p>
        </w:tc>
        <w:tc>
          <w:tcPr>
            <w:tcW w:w="758" w:type="dxa"/>
            <w:vAlign w:val="center"/>
          </w:tcPr>
          <w:p>
            <w:pPr>
              <w:pStyle w:val="12"/>
            </w:pPr>
            <w:r>
              <w:t>20701</w:t>
            </w:r>
          </w:p>
        </w:tc>
        <w:tc>
          <w:tcPr>
            <w:tcW w:w="758" w:type="dxa"/>
            <w:vAlign w:val="center"/>
          </w:tcPr>
          <w:p>
            <w:pPr>
              <w:pStyle w:val="12"/>
            </w:pPr>
            <w:r>
              <w:t>文化和旅游</w:t>
            </w:r>
          </w:p>
        </w:tc>
        <w:tc>
          <w:tcPr>
            <w:tcW w:w="758" w:type="dxa"/>
            <w:vAlign w:val="center"/>
          </w:tcPr>
          <w:p>
            <w:pPr>
              <w:pStyle w:val="13"/>
            </w:pPr>
            <w:r>
              <w:t>131.01</w:t>
            </w:r>
          </w:p>
        </w:tc>
        <w:tc>
          <w:tcPr>
            <w:tcW w:w="758" w:type="dxa"/>
            <w:vAlign w:val="center"/>
          </w:tcPr>
          <w:p>
            <w:pPr>
              <w:pStyle w:val="13"/>
            </w:pPr>
            <w:r>
              <w:t>131.01</w:t>
            </w:r>
          </w:p>
        </w:tc>
        <w:tc>
          <w:tcPr>
            <w:tcW w:w="758" w:type="dxa"/>
            <w:vAlign w:val="center"/>
          </w:tcPr>
          <w:p>
            <w:pPr>
              <w:pStyle w:val="13"/>
            </w:pPr>
            <w:r>
              <w:t>131.01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4</w:t>
            </w:r>
          </w:p>
        </w:tc>
        <w:tc>
          <w:tcPr>
            <w:tcW w:w="758" w:type="dxa"/>
            <w:vAlign w:val="center"/>
          </w:tcPr>
          <w:p>
            <w:pPr>
              <w:pStyle w:val="12"/>
            </w:pPr>
            <w:r>
              <w:t>2070101</w:t>
            </w:r>
          </w:p>
        </w:tc>
        <w:tc>
          <w:tcPr>
            <w:tcW w:w="758" w:type="dxa"/>
            <w:vAlign w:val="center"/>
          </w:tcPr>
          <w:p>
            <w:pPr>
              <w:pStyle w:val="12"/>
            </w:pPr>
            <w:r>
              <w:t>行政运行</w:t>
            </w:r>
          </w:p>
        </w:tc>
        <w:tc>
          <w:tcPr>
            <w:tcW w:w="758" w:type="dxa"/>
            <w:vAlign w:val="center"/>
          </w:tcPr>
          <w:p>
            <w:pPr>
              <w:pStyle w:val="13"/>
            </w:pPr>
            <w:r>
              <w:t>125.01</w:t>
            </w:r>
          </w:p>
        </w:tc>
        <w:tc>
          <w:tcPr>
            <w:tcW w:w="758" w:type="dxa"/>
            <w:vAlign w:val="center"/>
          </w:tcPr>
          <w:p>
            <w:pPr>
              <w:pStyle w:val="13"/>
            </w:pPr>
            <w:r>
              <w:t>125.01</w:t>
            </w:r>
          </w:p>
        </w:tc>
        <w:tc>
          <w:tcPr>
            <w:tcW w:w="758" w:type="dxa"/>
            <w:vAlign w:val="center"/>
          </w:tcPr>
          <w:p>
            <w:pPr>
              <w:pStyle w:val="13"/>
            </w:pPr>
            <w:r>
              <w:t>125.01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1"/>
            </w:pPr>
            <w:r>
              <w:t>5</w:t>
            </w:r>
          </w:p>
        </w:tc>
        <w:tc>
          <w:tcPr>
            <w:tcW w:w="758" w:type="dxa"/>
            <w:vAlign w:val="center"/>
          </w:tcPr>
          <w:p>
            <w:pPr>
              <w:pStyle w:val="12"/>
            </w:pPr>
            <w:r>
              <w:t>2070199</w:t>
            </w:r>
          </w:p>
        </w:tc>
        <w:tc>
          <w:tcPr>
            <w:tcW w:w="758" w:type="dxa"/>
            <w:vAlign w:val="center"/>
          </w:tcPr>
          <w:p>
            <w:pPr>
              <w:pStyle w:val="12"/>
            </w:pPr>
            <w:r>
              <w:t>其他文化和旅游支出</w:t>
            </w:r>
          </w:p>
        </w:tc>
        <w:tc>
          <w:tcPr>
            <w:tcW w:w="758" w:type="dxa"/>
            <w:vAlign w:val="center"/>
          </w:tcPr>
          <w:p>
            <w:pPr>
              <w:pStyle w:val="13"/>
            </w:pPr>
            <w:r>
              <w:t>6.00</w:t>
            </w:r>
          </w:p>
        </w:tc>
        <w:tc>
          <w:tcPr>
            <w:tcW w:w="758" w:type="dxa"/>
            <w:vAlign w:val="center"/>
          </w:tcPr>
          <w:p>
            <w:pPr>
              <w:pStyle w:val="13"/>
            </w:pPr>
            <w:r>
              <w:t>6.00</w:t>
            </w:r>
          </w:p>
        </w:tc>
        <w:tc>
          <w:tcPr>
            <w:tcW w:w="758" w:type="dxa"/>
            <w:vAlign w:val="center"/>
          </w:tcPr>
          <w:p>
            <w:pPr>
              <w:pStyle w:val="13"/>
            </w:pPr>
            <w:r>
              <w:t>6.00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2" w:name="_Toc1328"/>
      <w:r>
        <w:rPr>
          <w:rFonts w:ascii="方正小标宋_GBK" w:hAnsi="方正小标宋_GBK" w:eastAsia="方正小标宋_GBK" w:cs="方正小标宋_GBK"/>
          <w:color w:val="000000"/>
          <w:sz w:val="36"/>
        </w:rPr>
        <w:t>部门预算支出总表</w:t>
      </w:r>
      <w:bookmarkEnd w:id="2"/>
    </w:p>
    <w:tbl>
      <w:tblPr>
        <w:tblStyle w:val="5"/>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7"/>
            </w:pPr>
            <w:r>
              <w:t>721石家庄市藁城区文学艺术界联合会</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预算年度：2023</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131.01</w:t>
            </w:r>
          </w:p>
        </w:tc>
        <w:tc>
          <w:tcPr>
            <w:tcW w:w="1095" w:type="dxa"/>
            <w:vAlign w:val="center"/>
          </w:tcPr>
          <w:p>
            <w:pPr>
              <w:pStyle w:val="15"/>
            </w:pPr>
            <w:r>
              <w:t>125.01</w:t>
            </w:r>
          </w:p>
        </w:tc>
        <w:tc>
          <w:tcPr>
            <w:tcW w:w="1095" w:type="dxa"/>
            <w:vAlign w:val="center"/>
          </w:tcPr>
          <w:p>
            <w:pPr>
              <w:pStyle w:val="15"/>
            </w:pPr>
            <w:r>
              <w:t>6.00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2</w:t>
            </w:r>
          </w:p>
        </w:tc>
        <w:tc>
          <w:tcPr>
            <w:tcW w:w="1095" w:type="dxa"/>
            <w:vAlign w:val="center"/>
          </w:tcPr>
          <w:p>
            <w:pPr>
              <w:pStyle w:val="12"/>
            </w:pPr>
            <w:r>
              <w:t>207</w:t>
            </w:r>
          </w:p>
        </w:tc>
        <w:tc>
          <w:tcPr>
            <w:tcW w:w="1095" w:type="dxa"/>
            <w:vAlign w:val="center"/>
          </w:tcPr>
          <w:p>
            <w:pPr>
              <w:pStyle w:val="12"/>
            </w:pPr>
            <w:r>
              <w:t>文化旅游体育与传媒支出</w:t>
            </w:r>
          </w:p>
        </w:tc>
        <w:tc>
          <w:tcPr>
            <w:tcW w:w="1095" w:type="dxa"/>
            <w:vAlign w:val="center"/>
          </w:tcPr>
          <w:p>
            <w:pPr>
              <w:pStyle w:val="13"/>
            </w:pPr>
            <w:r>
              <w:t>131.01</w:t>
            </w:r>
          </w:p>
        </w:tc>
        <w:tc>
          <w:tcPr>
            <w:tcW w:w="1095" w:type="dxa"/>
            <w:vAlign w:val="center"/>
          </w:tcPr>
          <w:p>
            <w:pPr>
              <w:pStyle w:val="13"/>
            </w:pPr>
            <w:r>
              <w:t>125.01</w:t>
            </w:r>
          </w:p>
        </w:tc>
        <w:tc>
          <w:tcPr>
            <w:tcW w:w="1095" w:type="dxa"/>
            <w:vAlign w:val="center"/>
          </w:tcPr>
          <w:p>
            <w:pPr>
              <w:pStyle w:val="13"/>
            </w:pPr>
            <w:r>
              <w:t>6.00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3</w:t>
            </w:r>
          </w:p>
        </w:tc>
        <w:tc>
          <w:tcPr>
            <w:tcW w:w="1095" w:type="dxa"/>
            <w:vAlign w:val="center"/>
          </w:tcPr>
          <w:p>
            <w:pPr>
              <w:pStyle w:val="12"/>
            </w:pPr>
            <w:r>
              <w:t>20701</w:t>
            </w:r>
          </w:p>
        </w:tc>
        <w:tc>
          <w:tcPr>
            <w:tcW w:w="1095" w:type="dxa"/>
            <w:vAlign w:val="center"/>
          </w:tcPr>
          <w:p>
            <w:pPr>
              <w:pStyle w:val="12"/>
            </w:pPr>
            <w:r>
              <w:t>文化和旅游</w:t>
            </w:r>
          </w:p>
        </w:tc>
        <w:tc>
          <w:tcPr>
            <w:tcW w:w="1095" w:type="dxa"/>
            <w:vAlign w:val="center"/>
          </w:tcPr>
          <w:p>
            <w:pPr>
              <w:pStyle w:val="13"/>
            </w:pPr>
            <w:r>
              <w:t>131.01</w:t>
            </w:r>
          </w:p>
        </w:tc>
        <w:tc>
          <w:tcPr>
            <w:tcW w:w="1095" w:type="dxa"/>
            <w:vAlign w:val="center"/>
          </w:tcPr>
          <w:p>
            <w:pPr>
              <w:pStyle w:val="13"/>
            </w:pPr>
            <w:r>
              <w:t>125.01</w:t>
            </w:r>
          </w:p>
        </w:tc>
        <w:tc>
          <w:tcPr>
            <w:tcW w:w="1095" w:type="dxa"/>
            <w:vAlign w:val="center"/>
          </w:tcPr>
          <w:p>
            <w:pPr>
              <w:pStyle w:val="13"/>
            </w:pPr>
            <w:r>
              <w:t>6.00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4</w:t>
            </w:r>
          </w:p>
        </w:tc>
        <w:tc>
          <w:tcPr>
            <w:tcW w:w="1095" w:type="dxa"/>
            <w:vAlign w:val="center"/>
          </w:tcPr>
          <w:p>
            <w:pPr>
              <w:pStyle w:val="12"/>
            </w:pPr>
            <w:r>
              <w:t>2070101</w:t>
            </w:r>
          </w:p>
        </w:tc>
        <w:tc>
          <w:tcPr>
            <w:tcW w:w="1095" w:type="dxa"/>
            <w:vAlign w:val="center"/>
          </w:tcPr>
          <w:p>
            <w:pPr>
              <w:pStyle w:val="12"/>
            </w:pPr>
            <w:r>
              <w:t>行政运行</w:t>
            </w:r>
          </w:p>
        </w:tc>
        <w:tc>
          <w:tcPr>
            <w:tcW w:w="1095" w:type="dxa"/>
            <w:vAlign w:val="center"/>
          </w:tcPr>
          <w:p>
            <w:pPr>
              <w:pStyle w:val="13"/>
            </w:pPr>
            <w:r>
              <w:t>125.01</w:t>
            </w:r>
          </w:p>
        </w:tc>
        <w:tc>
          <w:tcPr>
            <w:tcW w:w="1095" w:type="dxa"/>
            <w:vAlign w:val="center"/>
          </w:tcPr>
          <w:p>
            <w:pPr>
              <w:pStyle w:val="13"/>
            </w:pPr>
            <w:r>
              <w:t>125.01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1"/>
            </w:pPr>
            <w:r>
              <w:t>5</w:t>
            </w:r>
          </w:p>
        </w:tc>
        <w:tc>
          <w:tcPr>
            <w:tcW w:w="1095" w:type="dxa"/>
            <w:vAlign w:val="center"/>
          </w:tcPr>
          <w:p>
            <w:pPr>
              <w:pStyle w:val="12"/>
            </w:pPr>
            <w:r>
              <w:t>2070199</w:t>
            </w:r>
          </w:p>
        </w:tc>
        <w:tc>
          <w:tcPr>
            <w:tcW w:w="1095" w:type="dxa"/>
            <w:vAlign w:val="center"/>
          </w:tcPr>
          <w:p>
            <w:pPr>
              <w:pStyle w:val="12"/>
            </w:pPr>
            <w:r>
              <w:t>其他文化和旅游支出</w:t>
            </w:r>
          </w:p>
        </w:tc>
        <w:tc>
          <w:tcPr>
            <w:tcW w:w="1095" w:type="dxa"/>
            <w:vAlign w:val="center"/>
          </w:tcPr>
          <w:p>
            <w:pPr>
              <w:pStyle w:val="13"/>
            </w:pPr>
            <w:r>
              <w:t>6.00</w:t>
            </w:r>
          </w:p>
        </w:tc>
        <w:tc>
          <w:tcPr>
            <w:tcW w:w="1095" w:type="dxa"/>
            <w:vAlign w:val="center"/>
          </w:tcPr>
          <w:p>
            <w:pPr>
              <w:pStyle w:val="13"/>
            </w:pPr>
          </w:p>
        </w:tc>
        <w:tc>
          <w:tcPr>
            <w:tcW w:w="1095" w:type="dxa"/>
            <w:vAlign w:val="center"/>
          </w:tcPr>
          <w:p>
            <w:pPr>
              <w:pStyle w:val="13"/>
            </w:pPr>
            <w:r>
              <w:t>6.00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3" w:name="_Toc32645"/>
      <w:r>
        <w:rPr>
          <w:rFonts w:ascii="方正小标宋_GBK" w:hAnsi="方正小标宋_GBK" w:eastAsia="方正小标宋_GBK" w:cs="方正小标宋_GBK"/>
          <w:color w:val="000000"/>
          <w:sz w:val="36"/>
        </w:rPr>
        <w:t>部门预算财政拨款收支总表</w:t>
      </w:r>
      <w:bookmarkEnd w:id="3"/>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7"/>
            </w:pPr>
            <w:r>
              <w:t>721石家庄市藁城区文学艺术界联合会</w:t>
            </w:r>
          </w:p>
        </w:tc>
        <w:tc>
          <w:tcPr>
            <w:tcW w:w="1232" w:type="dxa"/>
            <w:tcBorders>
              <w:top w:val="single" w:color="FFFFFF" w:sz="6" w:space="0"/>
              <w:left w:val="single" w:color="FFFFFF" w:sz="6" w:space="0"/>
              <w:right w:val="single" w:color="FFFFFF" w:sz="6" w:space="0"/>
            </w:tcBorders>
            <w:vAlign w:val="center"/>
          </w:tcPr>
          <w:p>
            <w:pPr>
              <w:pStyle w:val="8"/>
            </w:pPr>
            <w:r>
              <w:t>预算年度：2023</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w:t>
            </w:r>
          </w:p>
        </w:tc>
        <w:tc>
          <w:tcPr>
            <w:tcW w:w="1232" w:type="dxa"/>
            <w:vAlign w:val="center"/>
          </w:tcPr>
          <w:p>
            <w:pPr>
              <w:pStyle w:val="12"/>
            </w:pPr>
            <w:r>
              <w:t>一、一般公共预算拨款</w:t>
            </w:r>
          </w:p>
        </w:tc>
        <w:tc>
          <w:tcPr>
            <w:tcW w:w="1232" w:type="dxa"/>
            <w:vAlign w:val="center"/>
          </w:tcPr>
          <w:p>
            <w:pPr>
              <w:pStyle w:val="13"/>
            </w:pPr>
            <w:r>
              <w:t>131.01</w:t>
            </w:r>
          </w:p>
        </w:tc>
        <w:tc>
          <w:tcPr>
            <w:tcW w:w="1232" w:type="dxa"/>
            <w:vAlign w:val="center"/>
          </w:tcPr>
          <w:p>
            <w:pPr>
              <w:pStyle w:val="12"/>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w:t>
            </w:r>
          </w:p>
        </w:tc>
        <w:tc>
          <w:tcPr>
            <w:tcW w:w="1232" w:type="dxa"/>
            <w:vAlign w:val="center"/>
          </w:tcPr>
          <w:p>
            <w:pPr>
              <w:pStyle w:val="12"/>
            </w:pPr>
            <w:r>
              <w:t>二、政府性基金预算拨款</w:t>
            </w:r>
          </w:p>
        </w:tc>
        <w:tc>
          <w:tcPr>
            <w:tcW w:w="1232" w:type="dxa"/>
            <w:vAlign w:val="center"/>
          </w:tcPr>
          <w:p>
            <w:pPr>
              <w:pStyle w:val="13"/>
            </w:pPr>
          </w:p>
        </w:tc>
        <w:tc>
          <w:tcPr>
            <w:tcW w:w="1232" w:type="dxa"/>
            <w:vAlign w:val="center"/>
          </w:tcPr>
          <w:p>
            <w:pPr>
              <w:pStyle w:val="12"/>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w:t>
            </w:r>
          </w:p>
        </w:tc>
        <w:tc>
          <w:tcPr>
            <w:tcW w:w="1232" w:type="dxa"/>
            <w:vAlign w:val="center"/>
          </w:tcPr>
          <w:p>
            <w:pPr>
              <w:pStyle w:val="12"/>
            </w:pPr>
            <w:r>
              <w:t>三、国有资本经营预算拨款</w:t>
            </w:r>
          </w:p>
        </w:tc>
        <w:tc>
          <w:tcPr>
            <w:tcW w:w="1232" w:type="dxa"/>
            <w:vAlign w:val="center"/>
          </w:tcPr>
          <w:p>
            <w:pPr>
              <w:pStyle w:val="13"/>
            </w:pPr>
          </w:p>
        </w:tc>
        <w:tc>
          <w:tcPr>
            <w:tcW w:w="1232" w:type="dxa"/>
            <w:vAlign w:val="center"/>
          </w:tcPr>
          <w:p>
            <w:pPr>
              <w:pStyle w:val="12"/>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4</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5</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6</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7</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七、文化旅游体育与传媒支出</w:t>
            </w:r>
          </w:p>
        </w:tc>
        <w:tc>
          <w:tcPr>
            <w:tcW w:w="1232" w:type="dxa"/>
            <w:vAlign w:val="center"/>
          </w:tcPr>
          <w:p>
            <w:pPr>
              <w:pStyle w:val="13"/>
            </w:pPr>
            <w:r>
              <w:t>131.01</w:t>
            </w:r>
          </w:p>
        </w:tc>
        <w:tc>
          <w:tcPr>
            <w:tcW w:w="1232" w:type="dxa"/>
            <w:vAlign w:val="center"/>
          </w:tcPr>
          <w:p>
            <w:pPr>
              <w:pStyle w:val="13"/>
            </w:pPr>
            <w:r>
              <w:t>131.01</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8</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八、社会保障和就业支出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9</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10</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十、卫生健康支出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11</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12</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十二、城乡社区支出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13</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十三、农林水支出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14</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15</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16</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17</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18</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19</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20</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二十、住房保障支出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21</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22</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23</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24</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25</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二十五、其他支出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26</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二十六、转移性支出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27</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二十七、债务还本支出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28</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二十八、债务付息支出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29</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二十九、债务发行费用支出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30</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三十、抗疫特别国债安排的支出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31</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r>
              <w:t>三十一、人行科目</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32</w:t>
            </w:r>
          </w:p>
        </w:tc>
        <w:tc>
          <w:tcPr>
            <w:tcW w:w="1232" w:type="dxa"/>
            <w:vAlign w:val="center"/>
          </w:tcPr>
          <w:p>
            <w:pPr>
              <w:pStyle w:val="14"/>
            </w:pPr>
            <w:r>
              <w:t>本年收入合计</w:t>
            </w:r>
          </w:p>
        </w:tc>
        <w:tc>
          <w:tcPr>
            <w:tcW w:w="1232" w:type="dxa"/>
            <w:vAlign w:val="center"/>
          </w:tcPr>
          <w:p>
            <w:pPr>
              <w:pStyle w:val="15"/>
            </w:pPr>
            <w:r>
              <w:t>131.01</w:t>
            </w:r>
          </w:p>
        </w:tc>
        <w:tc>
          <w:tcPr>
            <w:tcW w:w="1232" w:type="dxa"/>
            <w:vAlign w:val="center"/>
          </w:tcPr>
          <w:p>
            <w:pPr>
              <w:pStyle w:val="14"/>
            </w:pPr>
            <w:r>
              <w:t>本年支出合计</w:t>
            </w:r>
          </w:p>
        </w:tc>
        <w:tc>
          <w:tcPr>
            <w:tcW w:w="1232" w:type="dxa"/>
            <w:vAlign w:val="center"/>
          </w:tcPr>
          <w:p>
            <w:pPr>
              <w:pStyle w:val="15"/>
            </w:pPr>
            <w:r>
              <w:t>131.01</w:t>
            </w:r>
          </w:p>
        </w:tc>
        <w:tc>
          <w:tcPr>
            <w:tcW w:w="1232" w:type="dxa"/>
            <w:vAlign w:val="center"/>
          </w:tcPr>
          <w:p>
            <w:pPr>
              <w:pStyle w:val="15"/>
            </w:pPr>
            <w:r>
              <w:t>131.01</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33</w:t>
            </w:r>
          </w:p>
        </w:tc>
        <w:tc>
          <w:tcPr>
            <w:tcW w:w="1232" w:type="dxa"/>
            <w:vAlign w:val="center"/>
          </w:tcPr>
          <w:p>
            <w:pPr>
              <w:pStyle w:val="12"/>
            </w:pPr>
            <w:r>
              <w:t>年初财政拨款结转和结余</w:t>
            </w:r>
          </w:p>
        </w:tc>
        <w:tc>
          <w:tcPr>
            <w:tcW w:w="1232" w:type="dxa"/>
            <w:vAlign w:val="center"/>
          </w:tcPr>
          <w:p>
            <w:pPr>
              <w:pStyle w:val="13"/>
            </w:pPr>
          </w:p>
        </w:tc>
        <w:tc>
          <w:tcPr>
            <w:tcW w:w="1232" w:type="dxa"/>
            <w:vAlign w:val="center"/>
          </w:tcPr>
          <w:p>
            <w:pPr>
              <w:pStyle w:val="12"/>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34</w:t>
            </w:r>
          </w:p>
        </w:tc>
        <w:tc>
          <w:tcPr>
            <w:tcW w:w="1232" w:type="dxa"/>
            <w:vAlign w:val="center"/>
          </w:tcPr>
          <w:p>
            <w:pPr>
              <w:pStyle w:val="12"/>
            </w:pPr>
            <w:r>
              <w:t>一、一般公共预算拨款</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35</w:t>
            </w:r>
          </w:p>
        </w:tc>
        <w:tc>
          <w:tcPr>
            <w:tcW w:w="1232" w:type="dxa"/>
            <w:vAlign w:val="center"/>
          </w:tcPr>
          <w:p>
            <w:pPr>
              <w:pStyle w:val="12"/>
            </w:pPr>
            <w:r>
              <w:t>二、政府性基金预算拨款</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36</w:t>
            </w:r>
          </w:p>
        </w:tc>
        <w:tc>
          <w:tcPr>
            <w:tcW w:w="1232" w:type="dxa"/>
            <w:vAlign w:val="center"/>
          </w:tcPr>
          <w:p>
            <w:pPr>
              <w:pStyle w:val="12"/>
            </w:pPr>
            <w:r>
              <w:t>三、国有资本经营预算拨款</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1"/>
            </w:pPr>
            <w:r>
              <w:t>37</w:t>
            </w:r>
          </w:p>
        </w:tc>
        <w:tc>
          <w:tcPr>
            <w:tcW w:w="1232" w:type="dxa"/>
            <w:vAlign w:val="center"/>
          </w:tcPr>
          <w:p>
            <w:pPr>
              <w:pStyle w:val="14"/>
            </w:pPr>
            <w:r>
              <w:t>收入总计</w:t>
            </w:r>
          </w:p>
        </w:tc>
        <w:tc>
          <w:tcPr>
            <w:tcW w:w="1232" w:type="dxa"/>
            <w:vAlign w:val="center"/>
          </w:tcPr>
          <w:p>
            <w:pPr>
              <w:pStyle w:val="15"/>
            </w:pPr>
            <w:r>
              <w:t>131.01</w:t>
            </w:r>
          </w:p>
        </w:tc>
        <w:tc>
          <w:tcPr>
            <w:tcW w:w="1232" w:type="dxa"/>
            <w:vAlign w:val="center"/>
          </w:tcPr>
          <w:p>
            <w:pPr>
              <w:pStyle w:val="14"/>
            </w:pPr>
            <w:r>
              <w:t>支出总计</w:t>
            </w:r>
          </w:p>
        </w:tc>
        <w:tc>
          <w:tcPr>
            <w:tcW w:w="1232" w:type="dxa"/>
            <w:vAlign w:val="center"/>
          </w:tcPr>
          <w:p>
            <w:pPr>
              <w:pStyle w:val="15"/>
            </w:pPr>
            <w:r>
              <w:t>131.01</w:t>
            </w:r>
          </w:p>
        </w:tc>
        <w:tc>
          <w:tcPr>
            <w:tcW w:w="1232" w:type="dxa"/>
            <w:vAlign w:val="center"/>
          </w:tcPr>
          <w:p>
            <w:pPr>
              <w:pStyle w:val="15"/>
            </w:pPr>
            <w:r>
              <w:t>131.01</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19815"/>
      <w:r>
        <w:rPr>
          <w:rFonts w:ascii="方正小标宋_GBK" w:hAnsi="方正小标宋_GBK" w:eastAsia="方正小标宋_GBK" w:cs="方正小标宋_GBK"/>
          <w:color w:val="000000"/>
          <w:sz w:val="36"/>
        </w:rPr>
        <w:t>部门预算一般公共预算财政拨款支出表</w:t>
      </w:r>
      <w:bookmarkEnd w:id="4"/>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721石家庄市藁城区文学艺术界联合会</w:t>
            </w:r>
          </w:p>
        </w:tc>
        <w:tc>
          <w:tcPr>
            <w:tcW w:w="1643" w:type="dxa"/>
            <w:tcBorders>
              <w:top w:val="single" w:color="FFFFFF" w:sz="6" w:space="0"/>
              <w:left w:val="single" w:color="FFFFFF" w:sz="6" w:space="0"/>
              <w:right w:val="single" w:color="FFFFFF" w:sz="6" w:space="0"/>
            </w:tcBorders>
            <w:vAlign w:val="center"/>
          </w:tcPr>
          <w:p>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131.01</w:t>
            </w:r>
          </w:p>
        </w:tc>
        <w:tc>
          <w:tcPr>
            <w:tcW w:w="1643" w:type="dxa"/>
            <w:vAlign w:val="center"/>
          </w:tcPr>
          <w:p>
            <w:pPr>
              <w:pStyle w:val="15"/>
            </w:pPr>
            <w:r>
              <w:t>125.01</w:t>
            </w:r>
          </w:p>
        </w:tc>
        <w:tc>
          <w:tcPr>
            <w:tcW w:w="1643" w:type="dxa"/>
            <w:vAlign w:val="center"/>
          </w:tcPr>
          <w:p>
            <w:pPr>
              <w:pStyle w:val="15"/>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w:t>
            </w:r>
          </w:p>
        </w:tc>
        <w:tc>
          <w:tcPr>
            <w:tcW w:w="1643" w:type="dxa"/>
            <w:vAlign w:val="center"/>
          </w:tcPr>
          <w:p>
            <w:pPr>
              <w:pStyle w:val="12"/>
            </w:pPr>
            <w:r>
              <w:t>207</w:t>
            </w:r>
          </w:p>
        </w:tc>
        <w:tc>
          <w:tcPr>
            <w:tcW w:w="1643" w:type="dxa"/>
            <w:vAlign w:val="center"/>
          </w:tcPr>
          <w:p>
            <w:pPr>
              <w:pStyle w:val="12"/>
            </w:pPr>
            <w:r>
              <w:t>文化旅游体育与传媒支出</w:t>
            </w:r>
          </w:p>
        </w:tc>
        <w:tc>
          <w:tcPr>
            <w:tcW w:w="1643" w:type="dxa"/>
            <w:vAlign w:val="center"/>
          </w:tcPr>
          <w:p>
            <w:pPr>
              <w:pStyle w:val="13"/>
            </w:pPr>
            <w:r>
              <w:t>131.01</w:t>
            </w:r>
          </w:p>
        </w:tc>
        <w:tc>
          <w:tcPr>
            <w:tcW w:w="1643" w:type="dxa"/>
            <w:vAlign w:val="center"/>
          </w:tcPr>
          <w:p>
            <w:pPr>
              <w:pStyle w:val="13"/>
            </w:pPr>
            <w:r>
              <w:t>125.01</w:t>
            </w:r>
          </w:p>
        </w:tc>
        <w:tc>
          <w:tcPr>
            <w:tcW w:w="1643"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3</w:t>
            </w:r>
          </w:p>
        </w:tc>
        <w:tc>
          <w:tcPr>
            <w:tcW w:w="1643" w:type="dxa"/>
            <w:vAlign w:val="center"/>
          </w:tcPr>
          <w:p>
            <w:pPr>
              <w:pStyle w:val="12"/>
            </w:pPr>
            <w:r>
              <w:t>20701</w:t>
            </w:r>
          </w:p>
        </w:tc>
        <w:tc>
          <w:tcPr>
            <w:tcW w:w="1643" w:type="dxa"/>
            <w:vAlign w:val="center"/>
          </w:tcPr>
          <w:p>
            <w:pPr>
              <w:pStyle w:val="12"/>
            </w:pPr>
            <w:r>
              <w:t>文化和旅游</w:t>
            </w:r>
          </w:p>
        </w:tc>
        <w:tc>
          <w:tcPr>
            <w:tcW w:w="1643" w:type="dxa"/>
            <w:vAlign w:val="center"/>
          </w:tcPr>
          <w:p>
            <w:pPr>
              <w:pStyle w:val="13"/>
            </w:pPr>
            <w:r>
              <w:t>131.01</w:t>
            </w:r>
          </w:p>
        </w:tc>
        <w:tc>
          <w:tcPr>
            <w:tcW w:w="1643" w:type="dxa"/>
            <w:vAlign w:val="center"/>
          </w:tcPr>
          <w:p>
            <w:pPr>
              <w:pStyle w:val="13"/>
            </w:pPr>
            <w:r>
              <w:t>125.01</w:t>
            </w:r>
          </w:p>
        </w:tc>
        <w:tc>
          <w:tcPr>
            <w:tcW w:w="1643"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4</w:t>
            </w:r>
          </w:p>
        </w:tc>
        <w:tc>
          <w:tcPr>
            <w:tcW w:w="1643" w:type="dxa"/>
            <w:vAlign w:val="center"/>
          </w:tcPr>
          <w:p>
            <w:pPr>
              <w:pStyle w:val="12"/>
            </w:pPr>
            <w:r>
              <w:t>2070101</w:t>
            </w:r>
          </w:p>
        </w:tc>
        <w:tc>
          <w:tcPr>
            <w:tcW w:w="1643" w:type="dxa"/>
            <w:vAlign w:val="center"/>
          </w:tcPr>
          <w:p>
            <w:pPr>
              <w:pStyle w:val="12"/>
            </w:pPr>
            <w:r>
              <w:t>行政运行</w:t>
            </w:r>
          </w:p>
        </w:tc>
        <w:tc>
          <w:tcPr>
            <w:tcW w:w="1643" w:type="dxa"/>
            <w:vAlign w:val="center"/>
          </w:tcPr>
          <w:p>
            <w:pPr>
              <w:pStyle w:val="13"/>
            </w:pPr>
            <w:r>
              <w:t>125.01</w:t>
            </w:r>
          </w:p>
        </w:tc>
        <w:tc>
          <w:tcPr>
            <w:tcW w:w="1643" w:type="dxa"/>
            <w:vAlign w:val="center"/>
          </w:tcPr>
          <w:p>
            <w:pPr>
              <w:pStyle w:val="13"/>
            </w:pPr>
            <w:r>
              <w:t>125.01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5</w:t>
            </w:r>
          </w:p>
        </w:tc>
        <w:tc>
          <w:tcPr>
            <w:tcW w:w="1643" w:type="dxa"/>
            <w:vAlign w:val="center"/>
          </w:tcPr>
          <w:p>
            <w:pPr>
              <w:pStyle w:val="12"/>
            </w:pPr>
            <w:r>
              <w:t>2070199</w:t>
            </w:r>
          </w:p>
        </w:tc>
        <w:tc>
          <w:tcPr>
            <w:tcW w:w="1643" w:type="dxa"/>
            <w:vAlign w:val="center"/>
          </w:tcPr>
          <w:p>
            <w:pPr>
              <w:pStyle w:val="12"/>
            </w:pPr>
            <w:r>
              <w:t>其他文化和旅游支出</w:t>
            </w:r>
          </w:p>
        </w:tc>
        <w:tc>
          <w:tcPr>
            <w:tcW w:w="1643" w:type="dxa"/>
            <w:vAlign w:val="center"/>
          </w:tcPr>
          <w:p>
            <w:pPr>
              <w:pStyle w:val="13"/>
            </w:pPr>
            <w:r>
              <w:t>6.00</w:t>
            </w:r>
          </w:p>
        </w:tc>
        <w:tc>
          <w:tcPr>
            <w:tcW w:w="1643" w:type="dxa"/>
            <w:vAlign w:val="center"/>
          </w:tcPr>
          <w:p>
            <w:pPr>
              <w:pStyle w:val="13"/>
            </w:pPr>
          </w:p>
        </w:tc>
        <w:tc>
          <w:tcPr>
            <w:tcW w:w="1643" w:type="dxa"/>
            <w:vAlign w:val="center"/>
          </w:tcPr>
          <w:p>
            <w:pPr>
              <w:pStyle w:val="13"/>
            </w:pPr>
            <w:r>
              <w:t>6.00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28300"/>
      <w:r>
        <w:rPr>
          <w:rFonts w:ascii="方正小标宋_GBK" w:hAnsi="方正小标宋_GBK" w:eastAsia="方正小标宋_GBK" w:cs="方正小标宋_GBK"/>
          <w:color w:val="000000"/>
          <w:sz w:val="36"/>
        </w:rPr>
        <w:t>部门预算一般公共预算财政拨款基本支出表</w:t>
      </w:r>
      <w:bookmarkEnd w:id="5"/>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721石家庄市藁城区文学艺术界联合会</w:t>
            </w:r>
          </w:p>
        </w:tc>
        <w:tc>
          <w:tcPr>
            <w:tcW w:w="1643" w:type="dxa"/>
            <w:tcBorders>
              <w:top w:val="single" w:color="FFFFFF" w:sz="6" w:space="0"/>
              <w:left w:val="single" w:color="FFFFFF" w:sz="6" w:space="0"/>
              <w:right w:val="single" w:color="FFFFFF" w:sz="6" w:space="0"/>
            </w:tcBorders>
            <w:vAlign w:val="center"/>
          </w:tcPr>
          <w:p>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125.01</w:t>
            </w:r>
          </w:p>
        </w:tc>
        <w:tc>
          <w:tcPr>
            <w:tcW w:w="1643" w:type="dxa"/>
            <w:vAlign w:val="center"/>
          </w:tcPr>
          <w:p>
            <w:pPr>
              <w:pStyle w:val="15"/>
            </w:pPr>
            <w:r>
              <w:t>112.89</w:t>
            </w:r>
          </w:p>
        </w:tc>
        <w:tc>
          <w:tcPr>
            <w:tcW w:w="1643" w:type="dxa"/>
            <w:vAlign w:val="center"/>
          </w:tcPr>
          <w:p>
            <w:pPr>
              <w:pStyle w:val="15"/>
            </w:pPr>
            <w:r>
              <w:t>12.12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3"/>
            </w:pPr>
            <w:r>
              <w:t>112.89</w:t>
            </w:r>
          </w:p>
        </w:tc>
        <w:tc>
          <w:tcPr>
            <w:tcW w:w="1643" w:type="dxa"/>
            <w:vAlign w:val="center"/>
          </w:tcPr>
          <w:p>
            <w:pPr>
              <w:pStyle w:val="13"/>
            </w:pPr>
            <w:r>
              <w:t>112.89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3"/>
            </w:pPr>
            <w:r>
              <w:t>29.12</w:t>
            </w:r>
          </w:p>
        </w:tc>
        <w:tc>
          <w:tcPr>
            <w:tcW w:w="1643" w:type="dxa"/>
            <w:vAlign w:val="center"/>
          </w:tcPr>
          <w:p>
            <w:pPr>
              <w:pStyle w:val="13"/>
            </w:pPr>
            <w:r>
              <w:t>29.12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3"/>
            </w:pPr>
            <w:r>
              <w:t>30.43</w:t>
            </w:r>
          </w:p>
        </w:tc>
        <w:tc>
          <w:tcPr>
            <w:tcW w:w="1643" w:type="dxa"/>
            <w:vAlign w:val="center"/>
          </w:tcPr>
          <w:p>
            <w:pPr>
              <w:pStyle w:val="13"/>
            </w:pPr>
            <w:r>
              <w:t>30.43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5</w:t>
            </w:r>
          </w:p>
        </w:tc>
        <w:tc>
          <w:tcPr>
            <w:tcW w:w="1643" w:type="dxa"/>
            <w:vAlign w:val="center"/>
          </w:tcPr>
          <w:p>
            <w:pPr>
              <w:pStyle w:val="12"/>
            </w:pPr>
            <w:r>
              <w:t>30103</w:t>
            </w:r>
          </w:p>
        </w:tc>
        <w:tc>
          <w:tcPr>
            <w:tcW w:w="1643" w:type="dxa"/>
            <w:vAlign w:val="center"/>
          </w:tcPr>
          <w:p>
            <w:pPr>
              <w:pStyle w:val="12"/>
            </w:pPr>
            <w:r>
              <w:t>奖金</w:t>
            </w:r>
          </w:p>
        </w:tc>
        <w:tc>
          <w:tcPr>
            <w:tcW w:w="1643" w:type="dxa"/>
            <w:vAlign w:val="center"/>
          </w:tcPr>
          <w:p>
            <w:pPr>
              <w:pStyle w:val="13"/>
            </w:pPr>
            <w:r>
              <w:t>2.43</w:t>
            </w:r>
          </w:p>
        </w:tc>
        <w:tc>
          <w:tcPr>
            <w:tcW w:w="1643" w:type="dxa"/>
            <w:vAlign w:val="center"/>
          </w:tcPr>
          <w:p>
            <w:pPr>
              <w:pStyle w:val="13"/>
            </w:pPr>
            <w:r>
              <w:t>2.43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6</w:t>
            </w:r>
          </w:p>
        </w:tc>
        <w:tc>
          <w:tcPr>
            <w:tcW w:w="1643" w:type="dxa"/>
            <w:vAlign w:val="center"/>
          </w:tcPr>
          <w:p>
            <w:pPr>
              <w:pStyle w:val="12"/>
            </w:pPr>
            <w:r>
              <w:t>30107</w:t>
            </w:r>
          </w:p>
        </w:tc>
        <w:tc>
          <w:tcPr>
            <w:tcW w:w="1643" w:type="dxa"/>
            <w:vAlign w:val="center"/>
          </w:tcPr>
          <w:p>
            <w:pPr>
              <w:pStyle w:val="12"/>
            </w:pPr>
            <w:r>
              <w:t>绩效工资</w:t>
            </w:r>
          </w:p>
        </w:tc>
        <w:tc>
          <w:tcPr>
            <w:tcW w:w="1643" w:type="dxa"/>
            <w:vAlign w:val="center"/>
          </w:tcPr>
          <w:p>
            <w:pPr>
              <w:pStyle w:val="13"/>
            </w:pPr>
            <w:r>
              <w:t>15.76</w:t>
            </w:r>
          </w:p>
        </w:tc>
        <w:tc>
          <w:tcPr>
            <w:tcW w:w="1643" w:type="dxa"/>
            <w:vAlign w:val="center"/>
          </w:tcPr>
          <w:p>
            <w:pPr>
              <w:pStyle w:val="13"/>
            </w:pPr>
            <w:r>
              <w:t>15.76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7</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3"/>
            </w:pPr>
            <w:r>
              <w:t>12.96</w:t>
            </w:r>
          </w:p>
        </w:tc>
        <w:tc>
          <w:tcPr>
            <w:tcW w:w="1643" w:type="dxa"/>
            <w:vAlign w:val="center"/>
          </w:tcPr>
          <w:p>
            <w:pPr>
              <w:pStyle w:val="13"/>
            </w:pPr>
            <w:r>
              <w:t>12.96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8</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3"/>
            </w:pPr>
            <w:r>
              <w:t>4.58</w:t>
            </w:r>
          </w:p>
        </w:tc>
        <w:tc>
          <w:tcPr>
            <w:tcW w:w="1643" w:type="dxa"/>
            <w:vAlign w:val="center"/>
          </w:tcPr>
          <w:p>
            <w:pPr>
              <w:pStyle w:val="13"/>
            </w:pPr>
            <w:r>
              <w:t>4.58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9</w:t>
            </w:r>
          </w:p>
        </w:tc>
        <w:tc>
          <w:tcPr>
            <w:tcW w:w="1643" w:type="dxa"/>
            <w:vAlign w:val="center"/>
          </w:tcPr>
          <w:p>
            <w:pPr>
              <w:pStyle w:val="12"/>
            </w:pPr>
            <w:r>
              <w:t>30111</w:t>
            </w:r>
          </w:p>
        </w:tc>
        <w:tc>
          <w:tcPr>
            <w:tcW w:w="1643" w:type="dxa"/>
            <w:vAlign w:val="center"/>
          </w:tcPr>
          <w:p>
            <w:pPr>
              <w:pStyle w:val="12"/>
            </w:pPr>
            <w:r>
              <w:t>公务员医疗补助缴费</w:t>
            </w:r>
          </w:p>
        </w:tc>
        <w:tc>
          <w:tcPr>
            <w:tcW w:w="1643" w:type="dxa"/>
            <w:vAlign w:val="center"/>
          </w:tcPr>
          <w:p>
            <w:pPr>
              <w:pStyle w:val="13"/>
            </w:pPr>
            <w:r>
              <w:t>3.54</w:t>
            </w:r>
          </w:p>
        </w:tc>
        <w:tc>
          <w:tcPr>
            <w:tcW w:w="1643" w:type="dxa"/>
            <w:vAlign w:val="center"/>
          </w:tcPr>
          <w:p>
            <w:pPr>
              <w:pStyle w:val="13"/>
            </w:pPr>
            <w:r>
              <w:t>3.54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10</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3"/>
            </w:pPr>
            <w:r>
              <w:t>4.36</w:t>
            </w:r>
          </w:p>
        </w:tc>
        <w:tc>
          <w:tcPr>
            <w:tcW w:w="1643" w:type="dxa"/>
            <w:vAlign w:val="center"/>
          </w:tcPr>
          <w:p>
            <w:pPr>
              <w:pStyle w:val="13"/>
            </w:pPr>
            <w:r>
              <w:t>4.36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11</w:t>
            </w:r>
          </w:p>
        </w:tc>
        <w:tc>
          <w:tcPr>
            <w:tcW w:w="1643" w:type="dxa"/>
            <w:vAlign w:val="center"/>
          </w:tcPr>
          <w:p>
            <w:pPr>
              <w:pStyle w:val="12"/>
            </w:pPr>
            <w:r>
              <w:t>30113</w:t>
            </w:r>
          </w:p>
        </w:tc>
        <w:tc>
          <w:tcPr>
            <w:tcW w:w="1643" w:type="dxa"/>
            <w:vAlign w:val="center"/>
          </w:tcPr>
          <w:p>
            <w:pPr>
              <w:pStyle w:val="12"/>
            </w:pPr>
            <w:r>
              <w:t>住房公积金</w:t>
            </w:r>
          </w:p>
        </w:tc>
        <w:tc>
          <w:tcPr>
            <w:tcW w:w="1643" w:type="dxa"/>
            <w:vAlign w:val="center"/>
          </w:tcPr>
          <w:p>
            <w:pPr>
              <w:pStyle w:val="13"/>
            </w:pPr>
            <w:r>
              <w:t>9.72</w:t>
            </w:r>
          </w:p>
        </w:tc>
        <w:tc>
          <w:tcPr>
            <w:tcW w:w="1643" w:type="dxa"/>
            <w:vAlign w:val="center"/>
          </w:tcPr>
          <w:p>
            <w:pPr>
              <w:pStyle w:val="13"/>
            </w:pPr>
            <w:r>
              <w:t>9.72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12</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3"/>
            </w:pPr>
            <w:r>
              <w:t>12.12</w:t>
            </w:r>
          </w:p>
        </w:tc>
        <w:tc>
          <w:tcPr>
            <w:tcW w:w="1643" w:type="dxa"/>
            <w:vAlign w:val="center"/>
          </w:tcPr>
          <w:p>
            <w:pPr>
              <w:pStyle w:val="13"/>
            </w:pPr>
          </w:p>
        </w:tc>
        <w:tc>
          <w:tcPr>
            <w:tcW w:w="1643" w:type="dxa"/>
            <w:vAlign w:val="center"/>
          </w:tcPr>
          <w:p>
            <w:pPr>
              <w:pStyle w:val="13"/>
            </w:pPr>
            <w:r>
              <w:t>12.12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13</w:t>
            </w:r>
          </w:p>
        </w:tc>
        <w:tc>
          <w:tcPr>
            <w:tcW w:w="1643" w:type="dxa"/>
            <w:vAlign w:val="center"/>
          </w:tcPr>
          <w:p>
            <w:pPr>
              <w:pStyle w:val="12"/>
            </w:pPr>
            <w:r>
              <w:t>30201</w:t>
            </w:r>
          </w:p>
        </w:tc>
        <w:tc>
          <w:tcPr>
            <w:tcW w:w="1643" w:type="dxa"/>
            <w:vAlign w:val="center"/>
          </w:tcPr>
          <w:p>
            <w:pPr>
              <w:pStyle w:val="12"/>
            </w:pPr>
            <w:r>
              <w:t>办公费</w:t>
            </w:r>
          </w:p>
        </w:tc>
        <w:tc>
          <w:tcPr>
            <w:tcW w:w="1643" w:type="dxa"/>
            <w:vAlign w:val="center"/>
          </w:tcPr>
          <w:p>
            <w:pPr>
              <w:pStyle w:val="13"/>
            </w:pPr>
            <w:r>
              <w:t>2.40</w:t>
            </w:r>
          </w:p>
        </w:tc>
        <w:tc>
          <w:tcPr>
            <w:tcW w:w="1643" w:type="dxa"/>
            <w:vAlign w:val="center"/>
          </w:tcPr>
          <w:p>
            <w:pPr>
              <w:pStyle w:val="13"/>
            </w:pPr>
          </w:p>
        </w:tc>
        <w:tc>
          <w:tcPr>
            <w:tcW w:w="1643" w:type="dxa"/>
            <w:vAlign w:val="center"/>
          </w:tcPr>
          <w:p>
            <w:pPr>
              <w:pStyle w:val="13"/>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14</w:t>
            </w:r>
          </w:p>
        </w:tc>
        <w:tc>
          <w:tcPr>
            <w:tcW w:w="1643" w:type="dxa"/>
            <w:vAlign w:val="center"/>
          </w:tcPr>
          <w:p>
            <w:pPr>
              <w:pStyle w:val="12"/>
            </w:pPr>
            <w:r>
              <w:t>30207</w:t>
            </w:r>
          </w:p>
        </w:tc>
        <w:tc>
          <w:tcPr>
            <w:tcW w:w="1643" w:type="dxa"/>
            <w:vAlign w:val="center"/>
          </w:tcPr>
          <w:p>
            <w:pPr>
              <w:pStyle w:val="12"/>
            </w:pPr>
            <w:r>
              <w:t>邮电费</w:t>
            </w:r>
          </w:p>
        </w:tc>
        <w:tc>
          <w:tcPr>
            <w:tcW w:w="1643" w:type="dxa"/>
            <w:vAlign w:val="center"/>
          </w:tcPr>
          <w:p>
            <w:pPr>
              <w:pStyle w:val="13"/>
            </w:pPr>
            <w:r>
              <w:t>3.50</w:t>
            </w:r>
          </w:p>
        </w:tc>
        <w:tc>
          <w:tcPr>
            <w:tcW w:w="1643" w:type="dxa"/>
            <w:vAlign w:val="center"/>
          </w:tcPr>
          <w:p>
            <w:pPr>
              <w:pStyle w:val="13"/>
            </w:pPr>
          </w:p>
        </w:tc>
        <w:tc>
          <w:tcPr>
            <w:tcW w:w="1643" w:type="dxa"/>
            <w:vAlign w:val="center"/>
          </w:tcPr>
          <w:p>
            <w:pPr>
              <w:pStyle w:val="13"/>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15</w:t>
            </w:r>
          </w:p>
        </w:tc>
        <w:tc>
          <w:tcPr>
            <w:tcW w:w="1643" w:type="dxa"/>
            <w:vAlign w:val="center"/>
          </w:tcPr>
          <w:p>
            <w:pPr>
              <w:pStyle w:val="12"/>
            </w:pPr>
            <w:r>
              <w:t>30228</w:t>
            </w:r>
          </w:p>
        </w:tc>
        <w:tc>
          <w:tcPr>
            <w:tcW w:w="1643" w:type="dxa"/>
            <w:vAlign w:val="center"/>
          </w:tcPr>
          <w:p>
            <w:pPr>
              <w:pStyle w:val="12"/>
            </w:pPr>
            <w:r>
              <w:t>工会经费</w:t>
            </w:r>
          </w:p>
        </w:tc>
        <w:tc>
          <w:tcPr>
            <w:tcW w:w="1643" w:type="dxa"/>
            <w:vAlign w:val="center"/>
          </w:tcPr>
          <w:p>
            <w:pPr>
              <w:pStyle w:val="13"/>
            </w:pPr>
            <w:r>
              <w:t>0.78</w:t>
            </w:r>
          </w:p>
        </w:tc>
        <w:tc>
          <w:tcPr>
            <w:tcW w:w="1643" w:type="dxa"/>
            <w:vAlign w:val="center"/>
          </w:tcPr>
          <w:p>
            <w:pPr>
              <w:pStyle w:val="13"/>
            </w:pPr>
          </w:p>
        </w:tc>
        <w:tc>
          <w:tcPr>
            <w:tcW w:w="1643" w:type="dxa"/>
            <w:vAlign w:val="center"/>
          </w:tcPr>
          <w:p>
            <w:pPr>
              <w:pStyle w:val="13"/>
            </w:pPr>
            <w:r>
              <w:t>0.78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16</w:t>
            </w:r>
          </w:p>
        </w:tc>
        <w:tc>
          <w:tcPr>
            <w:tcW w:w="1643" w:type="dxa"/>
            <w:vAlign w:val="center"/>
          </w:tcPr>
          <w:p>
            <w:pPr>
              <w:pStyle w:val="12"/>
            </w:pPr>
            <w:r>
              <w:t>30229</w:t>
            </w:r>
          </w:p>
        </w:tc>
        <w:tc>
          <w:tcPr>
            <w:tcW w:w="1643" w:type="dxa"/>
            <w:vAlign w:val="center"/>
          </w:tcPr>
          <w:p>
            <w:pPr>
              <w:pStyle w:val="12"/>
            </w:pPr>
            <w:r>
              <w:t>福利费</w:t>
            </w:r>
          </w:p>
        </w:tc>
        <w:tc>
          <w:tcPr>
            <w:tcW w:w="1643" w:type="dxa"/>
            <w:vAlign w:val="center"/>
          </w:tcPr>
          <w:p>
            <w:pPr>
              <w:pStyle w:val="13"/>
            </w:pPr>
            <w:r>
              <w:t>0.73</w:t>
            </w:r>
          </w:p>
        </w:tc>
        <w:tc>
          <w:tcPr>
            <w:tcW w:w="1643" w:type="dxa"/>
            <w:vAlign w:val="center"/>
          </w:tcPr>
          <w:p>
            <w:pPr>
              <w:pStyle w:val="13"/>
            </w:pPr>
          </w:p>
        </w:tc>
        <w:tc>
          <w:tcPr>
            <w:tcW w:w="1643" w:type="dxa"/>
            <w:vAlign w:val="center"/>
          </w:tcPr>
          <w:p>
            <w:pPr>
              <w:pStyle w:val="13"/>
            </w:pPr>
            <w:r>
              <w:t>0.73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17</w:t>
            </w:r>
          </w:p>
        </w:tc>
        <w:tc>
          <w:tcPr>
            <w:tcW w:w="1643" w:type="dxa"/>
            <w:vAlign w:val="center"/>
          </w:tcPr>
          <w:p>
            <w:pPr>
              <w:pStyle w:val="12"/>
            </w:pPr>
            <w:r>
              <w:t>30239</w:t>
            </w:r>
          </w:p>
        </w:tc>
        <w:tc>
          <w:tcPr>
            <w:tcW w:w="1643" w:type="dxa"/>
            <w:vAlign w:val="center"/>
          </w:tcPr>
          <w:p>
            <w:pPr>
              <w:pStyle w:val="12"/>
            </w:pPr>
            <w:r>
              <w:t>其他交通费用</w:t>
            </w:r>
          </w:p>
        </w:tc>
        <w:tc>
          <w:tcPr>
            <w:tcW w:w="1643" w:type="dxa"/>
            <w:vAlign w:val="center"/>
          </w:tcPr>
          <w:p>
            <w:pPr>
              <w:pStyle w:val="13"/>
            </w:pPr>
            <w:r>
              <w:t>4.62</w:t>
            </w:r>
          </w:p>
        </w:tc>
        <w:tc>
          <w:tcPr>
            <w:tcW w:w="1643" w:type="dxa"/>
            <w:vAlign w:val="center"/>
          </w:tcPr>
          <w:p>
            <w:pPr>
              <w:pStyle w:val="13"/>
            </w:pPr>
          </w:p>
        </w:tc>
        <w:tc>
          <w:tcPr>
            <w:tcW w:w="1643" w:type="dxa"/>
            <w:vAlign w:val="center"/>
          </w:tcPr>
          <w:p>
            <w:pPr>
              <w:pStyle w:val="13"/>
            </w:pPr>
            <w:r>
              <w:t>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r>
              <w:t>18</w:t>
            </w:r>
          </w:p>
        </w:tc>
        <w:tc>
          <w:tcPr>
            <w:tcW w:w="1643" w:type="dxa"/>
            <w:vAlign w:val="center"/>
          </w:tcPr>
          <w:p>
            <w:pPr>
              <w:pStyle w:val="12"/>
            </w:pPr>
            <w:r>
              <w:t>30299</w:t>
            </w:r>
          </w:p>
        </w:tc>
        <w:tc>
          <w:tcPr>
            <w:tcW w:w="1643" w:type="dxa"/>
            <w:vAlign w:val="center"/>
          </w:tcPr>
          <w:p>
            <w:pPr>
              <w:pStyle w:val="12"/>
            </w:pPr>
            <w:r>
              <w:t>其他商品和服务支出</w:t>
            </w:r>
          </w:p>
        </w:tc>
        <w:tc>
          <w:tcPr>
            <w:tcW w:w="1643" w:type="dxa"/>
            <w:vAlign w:val="center"/>
          </w:tcPr>
          <w:p>
            <w:pPr>
              <w:pStyle w:val="13"/>
            </w:pPr>
            <w:r>
              <w:t>0.08</w:t>
            </w:r>
          </w:p>
        </w:tc>
        <w:tc>
          <w:tcPr>
            <w:tcW w:w="1643" w:type="dxa"/>
            <w:vAlign w:val="center"/>
          </w:tcPr>
          <w:p>
            <w:pPr>
              <w:pStyle w:val="13"/>
            </w:pPr>
          </w:p>
        </w:tc>
        <w:tc>
          <w:tcPr>
            <w:tcW w:w="1643" w:type="dxa"/>
            <w:vAlign w:val="center"/>
          </w:tcPr>
          <w:p>
            <w:pPr>
              <w:pStyle w:val="13"/>
            </w:pPr>
            <w:r>
              <w:t>0.08</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26219"/>
      <w:r>
        <w:rPr>
          <w:rFonts w:ascii="方正小标宋_GBK" w:hAnsi="方正小标宋_GBK" w:eastAsia="方正小标宋_GBK" w:cs="方正小标宋_GBK"/>
          <w:color w:val="000000"/>
          <w:sz w:val="36"/>
        </w:rPr>
        <w:t>部门预算政府</w:t>
      </w:r>
      <w:r>
        <w:rPr>
          <w:rFonts w:hint="eastAsia" w:ascii="方正小标宋_GBK" w:hAnsi="方正小标宋_GBK" w:eastAsia="方正小标宋_GBK" w:cs="方正小标宋_GBK"/>
          <w:color w:val="000000"/>
          <w:sz w:val="36"/>
          <w:lang w:eastAsia="zh-CN"/>
        </w:rPr>
        <w:t>性</w:t>
      </w:r>
      <w:r>
        <w:rPr>
          <w:rFonts w:ascii="方正小标宋_GBK" w:hAnsi="方正小标宋_GBK" w:eastAsia="方正小标宋_GBK" w:cs="方正小标宋_GBK"/>
          <w:color w:val="000000"/>
          <w:sz w:val="36"/>
        </w:rPr>
        <w:t>基金预算财政拨款支出表</w:t>
      </w:r>
      <w:bookmarkEnd w:id="6"/>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721石家庄市藁城区文学艺术界联合会</w:t>
            </w:r>
          </w:p>
        </w:tc>
        <w:tc>
          <w:tcPr>
            <w:tcW w:w="1643" w:type="dxa"/>
            <w:tcBorders>
              <w:top w:val="single" w:color="FFFFFF" w:sz="6" w:space="0"/>
              <w:left w:val="single" w:color="FFFFFF" w:sz="6" w:space="0"/>
              <w:right w:val="single" w:color="FFFFFF" w:sz="6" w:space="0"/>
            </w:tcBorders>
            <w:vAlign w:val="center"/>
          </w:tcPr>
          <w:p>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p>
        </w:tc>
        <w:tc>
          <w:tcPr>
            <w:tcW w:w="1643" w:type="dxa"/>
            <w:vAlign w:val="center"/>
          </w:tcPr>
          <w:p>
            <w:pPr>
              <w:pStyle w:val="12"/>
            </w:pPr>
          </w:p>
        </w:tc>
        <w:tc>
          <w:tcPr>
            <w:tcW w:w="1643" w:type="dxa"/>
            <w:vAlign w:val="center"/>
          </w:tcPr>
          <w:p>
            <w:pPr>
              <w:pStyle w:val="12"/>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w:t>
      </w:r>
      <w:r>
        <w:rPr>
          <w:rFonts w:hint="eastAsia" w:ascii="方正书宋_GBK" w:hAnsi="方正书宋_GBK" w:eastAsia="方正书宋_GBK" w:cs="方正书宋_GBK"/>
          <w:color w:val="000000"/>
          <w:sz w:val="21"/>
          <w:lang w:eastAsia="zh-CN"/>
        </w:rPr>
        <w:t>性</w:t>
      </w:r>
      <w:bookmarkStart w:id="18" w:name="_GoBack"/>
      <w:bookmarkEnd w:id="18"/>
      <w:r>
        <w:rPr>
          <w:rFonts w:ascii="方正书宋_GBK" w:hAnsi="方正书宋_GBK" w:eastAsia="方正书宋_GBK" w:cs="方正书宋_GBK"/>
          <w:color w:val="000000"/>
          <w:sz w:val="21"/>
        </w:rPr>
        <w:t>基金预算财政拨款预算，空表列示。</w:t>
      </w:r>
    </w:p>
    <w:p>
      <w:pPr>
        <w:spacing w:before="0" w:after="0" w:line="240" w:lineRule="auto"/>
        <w:ind w:firstLine="0"/>
        <w:jc w:val="center"/>
        <w:outlineLvl w:val="1"/>
      </w:pPr>
      <w:bookmarkStart w:id="7" w:name="_Toc14803"/>
      <w:r>
        <w:rPr>
          <w:rFonts w:ascii="方正小标宋_GBK" w:hAnsi="方正小标宋_GBK" w:eastAsia="方正小标宋_GBK" w:cs="方正小标宋_GBK"/>
          <w:color w:val="000000"/>
          <w:sz w:val="36"/>
        </w:rPr>
        <w:t>部门预算国有资本经营预算财政拨款支出表</w:t>
      </w:r>
      <w:bookmarkEnd w:id="7"/>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721石家庄市藁城区文学艺术界联合会</w:t>
            </w:r>
          </w:p>
        </w:tc>
        <w:tc>
          <w:tcPr>
            <w:tcW w:w="1643" w:type="dxa"/>
            <w:tcBorders>
              <w:top w:val="single" w:color="FFFFFF" w:sz="6" w:space="0"/>
              <w:left w:val="single" w:color="FFFFFF" w:sz="6" w:space="0"/>
              <w:right w:val="single" w:color="FFFFFF" w:sz="6" w:space="0"/>
            </w:tcBorders>
            <w:vAlign w:val="center"/>
          </w:tcPr>
          <w:p>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1"/>
            </w:pPr>
          </w:p>
        </w:tc>
        <w:tc>
          <w:tcPr>
            <w:tcW w:w="1643" w:type="dxa"/>
            <w:vAlign w:val="center"/>
          </w:tcPr>
          <w:p>
            <w:pPr>
              <w:pStyle w:val="12"/>
            </w:pPr>
          </w:p>
        </w:tc>
        <w:tc>
          <w:tcPr>
            <w:tcW w:w="1643" w:type="dxa"/>
            <w:vAlign w:val="center"/>
          </w:tcPr>
          <w:p>
            <w:pPr>
              <w:pStyle w:val="12"/>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26559"/>
      <w:r>
        <w:rPr>
          <w:rFonts w:ascii="方正小标宋_GBK" w:hAnsi="方正小标宋_GBK" w:eastAsia="方正小标宋_GBK" w:cs="方正小标宋_GBK"/>
          <w:color w:val="000000"/>
          <w:sz w:val="36"/>
        </w:rPr>
        <w:t>部门预算财政拨款“三公”经费支出表</w:t>
      </w:r>
      <w:bookmarkEnd w:id="8"/>
    </w:p>
    <w:tbl>
      <w:tblPr>
        <w:tblStyle w:val="5"/>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7"/>
            </w:pPr>
            <w:r>
              <w:t>721石家庄市藁城区文学艺术界联合会</w:t>
            </w:r>
          </w:p>
        </w:tc>
        <w:tc>
          <w:tcPr>
            <w:tcW w:w="1643" w:type="dxa"/>
            <w:tcBorders>
              <w:top w:val="single" w:color="FFFFFF" w:sz="6" w:space="0"/>
              <w:left w:val="single" w:color="FFFFFF" w:sz="6" w:space="0"/>
              <w:right w:val="single" w:color="FFFFFF" w:sz="6" w:space="0"/>
            </w:tcBorders>
            <w:vAlign w:val="center"/>
          </w:tcPr>
          <w:p>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1"/>
            </w:pPr>
          </w:p>
        </w:tc>
        <w:tc>
          <w:tcPr>
            <w:tcW w:w="1643" w:type="dxa"/>
            <w:vAlign w:val="center"/>
          </w:tcPr>
          <w:p>
            <w:pPr>
              <w:pStyle w:val="12"/>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石家庄市藁城区文学艺术界联合会2023年部门预算信息公开情况说明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石家庄市藁城区文学艺术界联合会2023年部门预算信息公开情况说明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ascii="Times New Roman" w:hAnsi="Times New Roman" w:eastAsia="方正仿宋_GBK" w:cs="Times New Roman"/>
          <w:color w:val="000000"/>
          <w:sz w:val="28"/>
          <w:lang w:eastAsia="zh-CN"/>
        </w:rPr>
        <w:t>中华人民共和国</w:t>
      </w:r>
      <w:r>
        <w:rPr>
          <w:rFonts w:ascii="Times New Roman" w:hAnsi="Times New Roman" w:eastAsia="方正仿宋_GBK" w:cs="Times New Roman"/>
          <w:color w:val="000000"/>
          <w:sz w:val="28"/>
        </w:rPr>
        <w:t>预算法》、《地方预决算公开操作规程》和《关于进一步推进预算公开工作的实施意见》规定，现将石家庄市藁城区文学艺术界联合会2023年部门预算公开如下：</w:t>
      </w:r>
    </w:p>
    <w:p>
      <w:pPr>
        <w:spacing w:before="10" w:after="10" w:line="360" w:lineRule="auto"/>
        <w:ind w:firstLine="640"/>
        <w:jc w:val="left"/>
        <w:outlineLvl w:val="2"/>
      </w:pPr>
      <w:bookmarkStart w:id="9" w:name="_Toc10695"/>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r>
        <w:rPr>
          <w:rFonts w:hint="eastAsia" w:ascii="方正楷体_GBK" w:hAnsi="方正楷体_GBK" w:eastAsia="方正楷体_GBK" w:cs="方正楷体_GBK"/>
          <w:b/>
          <w:color w:val="000000"/>
          <w:sz w:val="32"/>
          <w:lang w:val="en-US" w:eastAsia="zh-CN"/>
        </w:rPr>
        <w:t>:</w:t>
      </w:r>
    </w:p>
    <w:p>
      <w:pPr>
        <w:pStyle w:val="17"/>
      </w:pPr>
      <w:r>
        <w:t>主要职责：贯彻党的文艺“二为”方向和“双百”方针，开展各类社会性文艺活动，为我区的改革开放、经济建设和社会发展服务；加强与所属各文艺家协会的联系，确保党和政府同文艺界协商渠道的畅通；负责向有关方面反映会员的情况和要求；承担协会需要统筹安排的事宜；负责对所属协会的管理；开展国内外文学艺术交流活动，联络和争取社会各界对文艺事业的关心和支持，出作品、出人才，为文艺创作营造良好的环境和氛围，促进藁城区文艺事业的繁荣；指导、协同各文艺家协会采取多种形式深入生活，积极开展创作和学术交流活动，不断提高作品的思想内涵和艺术品位。对各种优秀文学艺术成果予以奖励和表彰；创办文艺刊物，为文艺工作者提供创作园地，积极发现、扶持和培养文艺新人，不断壮大文艺队伍；开展各方面、多形式的服务工作，为文艺工作者提供良好的工作条件和创作环境；维护宪法赋予文艺工作者和文艺团体的合法权益；探索、参与兴办文化产业，促进文艺事业的发展。</w:t>
      </w:r>
    </w:p>
    <w:p>
      <w:pPr>
        <w:pStyle w:val="17"/>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2"/>
            </w:pPr>
            <w:r>
              <w:t>石家庄市藁城区文学艺术界联合会</w:t>
            </w:r>
          </w:p>
        </w:tc>
        <w:tc>
          <w:tcPr>
            <w:tcW w:w="2464" w:type="dxa"/>
            <w:vAlign w:val="center"/>
          </w:tcPr>
          <w:p>
            <w:pPr>
              <w:pStyle w:val="11"/>
            </w:pPr>
            <w:r>
              <w:t>行政</w:t>
            </w:r>
          </w:p>
        </w:tc>
        <w:tc>
          <w:tcPr>
            <w:tcW w:w="2464" w:type="dxa"/>
            <w:vAlign w:val="center"/>
          </w:tcPr>
          <w:p>
            <w:pPr>
              <w:pStyle w:val="11"/>
            </w:pPr>
            <w:r>
              <w:t>正科级</w:t>
            </w:r>
          </w:p>
        </w:tc>
        <w:tc>
          <w:tcPr>
            <w:tcW w:w="2464" w:type="dxa"/>
            <w:vAlign w:val="center"/>
          </w:tcPr>
          <w:p>
            <w:pPr>
              <w:pStyle w:val="11"/>
            </w:pPr>
            <w:r>
              <w:t>财政拨款</w:t>
            </w:r>
          </w:p>
        </w:tc>
      </w:tr>
    </w:tbl>
    <w:p>
      <w:pPr>
        <w:spacing w:before="10" w:after="10" w:line="360" w:lineRule="auto"/>
        <w:ind w:firstLine="640"/>
        <w:jc w:val="left"/>
        <w:outlineLvl w:val="2"/>
      </w:pPr>
      <w:bookmarkStart w:id="10" w:name="_Toc25415"/>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按照预算管理有关规定，目前我部门预算的编制实行综合预算管理，即全部收入和支出都反映在预算中。石家庄市藁城区文学艺术界联合会收支包含在部门预算中。</w:t>
      </w:r>
    </w:p>
    <w:p>
      <w:pPr>
        <w:pStyle w:val="18"/>
      </w:pPr>
      <w:r>
        <w:t>1、收入说明</w:t>
      </w:r>
    </w:p>
    <w:p>
      <w:pPr>
        <w:pStyle w:val="18"/>
      </w:pPr>
      <w:r>
        <w:t>反映本部门当年全部收入。2023年预算收入131.01万元，其中：一般公共预算收入131.01万元，基金预算收入0万元，财政专户核拨收入0万元，其他来源收入0万元。</w:t>
      </w:r>
    </w:p>
    <w:p>
      <w:pPr>
        <w:pStyle w:val="18"/>
      </w:pPr>
    </w:p>
    <w:p>
      <w:pPr>
        <w:pStyle w:val="18"/>
      </w:pPr>
      <w:r>
        <w:t>2、支出说明</w:t>
      </w:r>
    </w:p>
    <w:p>
      <w:pPr>
        <w:pStyle w:val="18"/>
      </w:pPr>
      <w:r>
        <w:t>收支预算总表支出栏、基本支出表、项目支出表按经济分类和支出功能分类科目编制，反映本部门预算中支出预算的总体情况。2023年部门支出预算为131.01万元，其中基本支出125.01万元，包括人员经费112.89万元和日常公用经费12.12万元；项目支出6万元，主要为文艺联络交流经费6万元；其他支出0万元。</w:t>
      </w:r>
    </w:p>
    <w:p>
      <w:pPr>
        <w:pStyle w:val="18"/>
      </w:pPr>
    </w:p>
    <w:p>
      <w:pPr>
        <w:pStyle w:val="18"/>
      </w:pPr>
      <w:r>
        <w:t>3、比上年增减情况</w:t>
      </w:r>
    </w:p>
    <w:p>
      <w:pPr>
        <w:pStyle w:val="18"/>
      </w:pPr>
      <w:r>
        <w:t>2023年部门预算收支安排131.01万元，较2022年减少10.2万元，其中：基本支出减少9.96万元，主要是人员减少，相应减少人员经费和日常公用经费；项目支出减少0.24万元，主要是减少了文联办公经费1个项目；其他支出无增减变化。</w:t>
      </w:r>
    </w:p>
    <w:p>
      <w:pPr>
        <w:spacing w:before="10" w:after="10" w:line="360" w:lineRule="auto"/>
        <w:ind w:firstLine="640"/>
        <w:jc w:val="left"/>
        <w:outlineLvl w:val="2"/>
      </w:pPr>
      <w:bookmarkStart w:id="11" w:name="_Toc7119"/>
      <w:r>
        <w:rPr>
          <w:rFonts w:ascii="黑体" w:hAnsi="黑体" w:eastAsia="黑体" w:cs="黑体"/>
          <w:color w:val="000000"/>
          <w:sz w:val="32"/>
        </w:rPr>
        <w:t>三、机关运行经费安排情况</w:t>
      </w:r>
      <w:bookmarkEnd w:id="11"/>
    </w:p>
    <w:p>
      <w:pPr>
        <w:pStyle w:val="19"/>
      </w:pPr>
      <w:r>
        <w:t>2023年，我部门机关运行经费共计安排12.12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360" w:lineRule="auto"/>
        <w:ind w:firstLine="640"/>
        <w:jc w:val="left"/>
        <w:outlineLvl w:val="2"/>
      </w:pPr>
      <w:bookmarkStart w:id="12" w:name="_Toc19343"/>
      <w:r>
        <w:rPr>
          <w:rFonts w:ascii="黑体" w:hAnsi="黑体" w:eastAsia="黑体" w:cs="黑体"/>
          <w:color w:val="000000"/>
          <w:sz w:val="32"/>
        </w:rPr>
        <w:t>四、财政拨款“三公”经费预算情况及增减变化原因</w:t>
      </w:r>
      <w:bookmarkEnd w:id="12"/>
    </w:p>
    <w:p>
      <w:pPr>
        <w:pStyle w:val="20"/>
      </w:pPr>
      <w:r>
        <w:t>2023年，我部门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pPr>
        <w:spacing w:before="10" w:after="10" w:line="360" w:lineRule="auto"/>
        <w:ind w:firstLine="640"/>
        <w:jc w:val="left"/>
        <w:outlineLvl w:val="2"/>
      </w:pPr>
      <w:bookmarkStart w:id="13" w:name="_Toc22259"/>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1"/>
      </w:pPr>
      <w:r>
        <w:t>坚持以习近平新时代中国特色社会主义思想、区委、区政府的中心工作为指导，紧紧围绕区文联的中心工作，依托十二大协会，积极开展各类社会性文艺活动；完善基层文联组织，发挥乡镇村文联的桥梁纽带作用；召开联络会议，组织会员活动，加大培训力度，为文艺事业健康快速发展提供组织保障。完善文艺精品扶持和奖励机制，论证确定一批既有藁城地域特色，又具备创作空间和社会影响力的题材。完成文化交流计划，完成对外宣传，扩大文艺工作的覆盖面和社会影响力。建立人才库，发现、扶持和培养文艺新人，出作品，出人才，促进藁城区文艺事业的繁荣，实现为我区的改革开放、经济建设和社会发展服务的目标。</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2"/>
      </w:pPr>
      <w:r>
        <w:t>　</w:t>
      </w:r>
      <w:r>
        <w:rPr>
          <w:rFonts w:hint="eastAsia"/>
          <w:lang w:val="en-US" w:eastAsia="zh-CN"/>
        </w:rPr>
        <w:t xml:space="preserve">   </w:t>
      </w:r>
      <w:r>
        <w:t>（一）加强文艺家协会组织建设,培养文艺人才。</w:t>
      </w:r>
    </w:p>
    <w:p>
      <w:pPr>
        <w:pStyle w:val="22"/>
      </w:pPr>
      <w:r>
        <w:t>　　　绩效目标：推进协会管理科学规范、保障文联正常有序运行，召开联络会议，组织会员活动，加大培训力度，为文艺事业健康快速发展提供组织保障。</w:t>
      </w:r>
      <w:r>
        <w:tab/>
      </w:r>
    </w:p>
    <w:p>
      <w:pPr>
        <w:pStyle w:val="22"/>
      </w:pPr>
      <w:r>
        <w:t>　　　绩效指标：召开协会会议，加强会员管理，举办会员活动，维护活动场所，建设文艺人才资源库，组织文艺研修，提高广大文艺工作者的政治、业务素质。保障机关正常运行。文艺人才入省市文艺人才网资源库人数每年2人以上，，组织各类文艺活动8次以上，参加省市研修人数2人以上。</w:t>
      </w:r>
    </w:p>
    <w:p>
      <w:pPr>
        <w:pStyle w:val="22"/>
      </w:pPr>
      <w:r>
        <w:t>　（二）开展文艺家艺术创作，打造文艺精品。</w:t>
      </w:r>
    </w:p>
    <w:p>
      <w:pPr>
        <w:pStyle w:val="22"/>
      </w:pPr>
      <w:r>
        <w:t>　　　绩效目标：完善文艺精品扶持和奖励机制，论证确定一批既有本地地域特色，又具备创作空间和社会影响力的题材。</w:t>
      </w:r>
    </w:p>
    <w:p>
      <w:pPr>
        <w:pStyle w:val="22"/>
      </w:pPr>
      <w:r>
        <w:t>　　　绩效指标：组织艺术家深入生活，打造艺术精品。举办文艺活动，积极申报文艺奖项、组织好区内评奖，弘扬优秀传统文化，推动文化强区建设。组织艺术家创作次数，每年3次及以上。组织研讨推介活动次数，每年2次及以上。生产文艺精品数量1个以上。</w:t>
      </w:r>
    </w:p>
    <w:p>
      <w:pPr>
        <w:pStyle w:val="22"/>
      </w:pPr>
      <w:r>
        <w:t>　　　（三）做好文艺宣传工作，文化氛围进一步提升。</w:t>
      </w:r>
    </w:p>
    <w:p>
      <w:pPr>
        <w:pStyle w:val="22"/>
      </w:pPr>
      <w:r>
        <w:t>　　　绩效目标：进一步扩大文艺工作的覆盖面和社会影响力。</w:t>
      </w:r>
    </w:p>
    <w:p>
      <w:pPr>
        <w:pStyle w:val="22"/>
      </w:pPr>
      <w:r>
        <w:t>　　　绩效指标：广泛利用媒体多种形式推介优秀作品。营造积极向上的文化氛围。媒体宣传、信息数量（篇），每年不少于4篇。</w:t>
      </w:r>
    </w:p>
    <w:p>
      <w:pPr>
        <w:pStyle w:val="22"/>
      </w:pPr>
      <w:r>
        <w:t>　　　（四）进一步加强文化交流活动。</w:t>
      </w:r>
    </w:p>
    <w:p>
      <w:pPr>
        <w:pStyle w:val="22"/>
      </w:pPr>
      <w:r>
        <w:t>　　　绩效目标：完成文化交流计划，促进区域文化艺术的影响力和美誉度进一步提高。</w:t>
      </w:r>
    </w:p>
    <w:p>
      <w:pPr>
        <w:pStyle w:val="22"/>
      </w:pPr>
      <w:r>
        <w:t>　　　绩效指标：积极参加文化交流活动，提高区域文化凝聚力和影响力。组织民间文化交流次数（次），每年3次以上。</w:t>
      </w:r>
    </w:p>
    <w:p>
      <w:pPr>
        <w:pStyle w:val="22"/>
      </w:pPr>
      <w:r>
        <w:t>　　   (五)　宣传文化，提高人民文化水平</w:t>
      </w:r>
    </w:p>
    <w:p>
      <w:pPr>
        <w:pStyle w:val="22"/>
      </w:pPr>
      <w:r>
        <w:t>　　　绩效目标：宣传文化，提高人民文化水平</w:t>
      </w:r>
    </w:p>
    <w:p>
      <w:pPr>
        <w:pStyle w:val="22"/>
      </w:pPr>
      <w:r>
        <w:t>　　　　绩效指标：通过演出文化培训创作优秀作品交流等，达到丰富人民精神生活，弘扬社会主义核心价值观，增强文化自信，不断满足群众日益增长的精神文化生活需要。</w:t>
      </w:r>
    </w:p>
    <w:p>
      <w:pPr>
        <w:pStyle w:val="22"/>
      </w:pPr>
      <w:r>
        <w:t>　</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3"/>
      </w:pPr>
      <w:r>
        <w:t xml:space="preserve">　　　　1、完善制度建设    </w:t>
      </w:r>
    </w:p>
    <w:p>
      <w:pPr>
        <w:pStyle w:val="23"/>
      </w:pPr>
      <w:r>
        <w:t>　　　　</w:t>
      </w:r>
      <w:r>
        <w:rPr>
          <w:rFonts w:hint="eastAsia"/>
          <w:lang w:eastAsia="zh-CN"/>
        </w:rPr>
        <w:t>建立健全</w:t>
      </w:r>
      <w:r>
        <w:t>有效可行的财务制度，加强预算绩效的管理和监督，进一步加强预算资金管理办法的细化，提高预算资金的使用率，引入内部审计和监督机制，从而为全年预算绩效目标的实现奠定制度基础。</w:t>
      </w:r>
    </w:p>
    <w:p>
      <w:pPr>
        <w:pStyle w:val="23"/>
      </w:pPr>
      <w:r>
        <w:t xml:space="preserve">　　　　2、加强支出管理    </w:t>
      </w:r>
    </w:p>
    <w:p>
      <w:pPr>
        <w:pStyle w:val="23"/>
      </w:pPr>
      <w:r>
        <w:t>　　　　严格执行《</w:t>
      </w:r>
      <w:r>
        <w:rPr>
          <w:rFonts w:hint="eastAsia"/>
          <w:lang w:eastAsia="zh-CN"/>
        </w:rPr>
        <w:t>中华人民共和国</w:t>
      </w:r>
      <w:r>
        <w:t>预算法》，优化支出结构，坚决履行政府采购手续，提前着手启动各项目的实施，严格原始凭证管理监督，及时快速支付项目资金，按规定报送用款计划及时支付，确保6月底前支出进度达标。</w:t>
      </w:r>
    </w:p>
    <w:p>
      <w:pPr>
        <w:pStyle w:val="23"/>
      </w:pPr>
      <w:r>
        <w:t xml:space="preserve">　　　　3、加强绩效运行监控    </w:t>
      </w:r>
    </w:p>
    <w:p>
      <w:pPr>
        <w:pStyle w:val="23"/>
      </w:pPr>
      <w:r>
        <w:t>　　　　每个预算项目的实施都要进行绩效评估，同进还要邀请内部监督人员实时跟踪和监查；发现问题及时解决，确保绩效目标如期保质实现。</w:t>
      </w:r>
    </w:p>
    <w:p>
      <w:pPr>
        <w:pStyle w:val="23"/>
      </w:pPr>
      <w:r>
        <w:t xml:space="preserve">　　　　4、做好绩效自评    </w:t>
      </w:r>
    </w:p>
    <w:p>
      <w:pPr>
        <w:pStyle w:val="23"/>
      </w:pPr>
      <w:r>
        <w:t>　　　</w:t>
      </w:r>
      <w:r>
        <w:rPr>
          <w:rFonts w:hint="eastAsia"/>
          <w:lang w:eastAsia="zh-CN"/>
        </w:rPr>
        <w:t>建立健全</w:t>
      </w:r>
      <w:r>
        <w:t>绩效评价工作领导小组，按上级要求开展上年度部门预算绩效自评和重点评价工作，对评价中发现的问题及时整改，调整优化支出结构，提高财政资金使用效益。</w:t>
      </w:r>
    </w:p>
    <w:p>
      <w:pPr>
        <w:pStyle w:val="23"/>
      </w:pPr>
      <w:r>
        <w:t xml:space="preserve">　　　　5、规范财务资产管理   </w:t>
      </w:r>
    </w:p>
    <w:p>
      <w:pPr>
        <w:pStyle w:val="23"/>
      </w:pPr>
      <w:r>
        <w:t>　　　　完善财务管理制度，严格审批程序，加强固定资产登记、使用和报废处置管理，做到支出合理，物尽其用。</w:t>
      </w:r>
    </w:p>
    <w:p>
      <w:pPr>
        <w:pStyle w:val="23"/>
      </w:pPr>
      <w:r>
        <w:t xml:space="preserve">　　　　6、加强内部监督    </w:t>
      </w:r>
    </w:p>
    <w:p>
      <w:pPr>
        <w:pStyle w:val="23"/>
      </w:pPr>
      <w:r>
        <w:t>　　　　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3"/>
      </w:pPr>
      <w:r>
        <w:t xml:space="preserve">　　　　7、加强宣传培训调研   </w:t>
      </w:r>
    </w:p>
    <w:p>
      <w:pPr>
        <w:pStyle w:val="23"/>
      </w:pPr>
      <w:r>
        <w:t>　　　　加强人员培训，提高本部门职工业务素质；加强调研，提出优化财政资金配置、提高资金使用效益的意见；加大宣传力度，强化预算绩效管理意识，促进预算绩效管理水平进一步提升。</w:t>
      </w:r>
    </w:p>
    <w:p>
      <w:pPr>
        <w:pStyle w:val="23"/>
      </w:pPr>
      <w:r>
        <w:t>　　　　</w:t>
      </w:r>
    </w:p>
    <w:p>
      <w:pPr>
        <w:pStyle w:val="23"/>
        <w:ind w:left="0" w:leftChars="0" w:firstLine="0" w:firstLineChars="0"/>
        <w:rPr>
          <w:rFonts w:ascii="方正楷体_GBK" w:hAnsi="方正楷体_GBK" w:eastAsia="方正楷体_GBK" w:cs="方正楷体_GBK"/>
          <w:b/>
          <w:color w:val="000000"/>
          <w:sz w:val="32"/>
        </w:rPr>
      </w:pPr>
      <w:r>
        <w:t>　　</w:t>
      </w:r>
    </w:p>
    <w:p>
      <w:pPr>
        <w:spacing w:before="0" w:after="0" w:line="240" w:lineRule="auto"/>
        <w:ind w:firstLine="1281" w:firstLineChars="40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 xml:space="preserve">部分 </w:t>
      </w:r>
      <w:r>
        <w:rPr>
          <w:rFonts w:hint="eastAsia" w:ascii="方正楷体_GBK" w:hAnsi="方正楷体_GBK" w:eastAsia="方正楷体_GBK" w:cs="方正楷体_GBK"/>
          <w:b/>
          <w:color w:val="000000"/>
          <w:sz w:val="32"/>
          <w:lang w:eastAsia="zh-CN"/>
        </w:rPr>
        <w:t>预算项目</w:t>
      </w:r>
      <w:r>
        <w:rPr>
          <w:rFonts w:ascii="方正楷体_GBK" w:hAnsi="方正楷体_GBK" w:eastAsia="方正楷体_GBK" w:cs="方正楷体_GBK"/>
          <w:b/>
          <w:color w:val="000000"/>
          <w:sz w:val="32"/>
        </w:rPr>
        <w:t>绩效目标</w:t>
      </w:r>
    </w:p>
    <w:p>
      <w:pPr>
        <w:spacing w:before="0" w:after="0"/>
        <w:jc w:val="left"/>
        <w:outlineLvl w:val="9"/>
        <w:rPr>
          <w:rFonts w:ascii="方正仿宋_GBK" w:hAnsi="方正仿宋_GBK" w:eastAsia="方正仿宋_GBK" w:cs="方正仿宋_GBK"/>
          <w:b/>
          <w:color w:val="000000"/>
          <w:sz w:val="28"/>
        </w:rPr>
      </w:pPr>
    </w:p>
    <w:p>
      <w:pPr>
        <w:spacing w:before="0" w:after="0"/>
        <w:jc w:val="left"/>
        <w:outlineLvl w:val="9"/>
      </w:pPr>
      <w:r>
        <w:rPr>
          <w:rFonts w:ascii="方正仿宋_GBK" w:hAnsi="方正仿宋_GBK" w:eastAsia="方正仿宋_GBK" w:cs="方正仿宋_GBK"/>
          <w:b/>
          <w:color w:val="000000"/>
          <w:sz w:val="28"/>
        </w:rPr>
        <w:t>1、文艺联络交流经费绩效目标表</w:t>
      </w:r>
    </w:p>
    <w:tbl>
      <w:tblPr>
        <w:tblStyle w:val="5"/>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0"/>
            </w:pPr>
            <w:r>
              <w:t>绩效目标</w:t>
            </w:r>
          </w:p>
        </w:tc>
        <w:tc>
          <w:tcPr>
            <w:tcW w:w="7399" w:type="dxa"/>
            <w:tcBorders>
              <w:bottom w:val="single" w:color="FFFFFF" w:sz="6" w:space="0"/>
            </w:tcBorders>
            <w:vAlign w:val="center"/>
          </w:tcPr>
          <w:p>
            <w:pPr>
              <w:pStyle w:val="12"/>
            </w:pPr>
            <w:r>
              <w:t>1.目标内容1加强文艺家协会组织建设,组织联络会议，组织会员活动，培养文艺人才。组织各种文艺活动。组织文艺理论研讨和学术交流工作</w:t>
            </w:r>
          </w:p>
          <w:p>
            <w:pPr>
              <w:pStyle w:val="12"/>
            </w:pPr>
            <w:r>
              <w:t>2.目标内容2开展文艺家艺术创作，完善文艺精品扶持和奖励机制，打造文艺精品，推动文化强区建设。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10"/>
            </w:pPr>
            <w:r>
              <w:t>一级指标</w:t>
            </w:r>
          </w:p>
        </w:tc>
        <w:tc>
          <w:tcPr>
            <w:tcW w:w="2466" w:type="dxa"/>
            <w:vAlign w:val="center"/>
          </w:tcPr>
          <w:p>
            <w:pPr>
              <w:pStyle w:val="10"/>
            </w:pPr>
            <w:r>
              <w:t>二级指标</w:t>
            </w:r>
          </w:p>
        </w:tc>
        <w:tc>
          <w:tcPr>
            <w:tcW w:w="2466" w:type="dxa"/>
            <w:vAlign w:val="center"/>
          </w:tcPr>
          <w:p>
            <w:pPr>
              <w:pStyle w:val="10"/>
            </w:pPr>
            <w:r>
              <w:t>三级指标</w:t>
            </w:r>
          </w:p>
        </w:tc>
        <w:tc>
          <w:tcPr>
            <w:tcW w:w="2466" w:type="dxa"/>
            <w:vAlign w:val="center"/>
          </w:tcPr>
          <w:p>
            <w:pPr>
              <w:pStyle w:val="10"/>
            </w:pPr>
            <w:r>
              <w:t>绩效指标描述</w:t>
            </w:r>
          </w:p>
        </w:tc>
        <w:tc>
          <w:tcPr>
            <w:tcW w:w="2466" w:type="dxa"/>
            <w:vAlign w:val="center"/>
          </w:tcPr>
          <w:p>
            <w:pPr>
              <w:pStyle w:val="10"/>
            </w:pPr>
            <w:r>
              <w:t>指标值</w:t>
            </w:r>
          </w:p>
        </w:tc>
        <w:tc>
          <w:tcPr>
            <w:tcW w:w="246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11"/>
            </w:pPr>
            <w:r>
              <w:t>产出指标</w:t>
            </w:r>
          </w:p>
        </w:tc>
        <w:tc>
          <w:tcPr>
            <w:tcW w:w="2466" w:type="dxa"/>
            <w:vAlign w:val="center"/>
          </w:tcPr>
          <w:p>
            <w:pPr>
              <w:pStyle w:val="12"/>
            </w:pPr>
            <w:r>
              <w:t>数量指标</w:t>
            </w:r>
          </w:p>
        </w:tc>
        <w:tc>
          <w:tcPr>
            <w:tcW w:w="2466" w:type="dxa"/>
            <w:vAlign w:val="center"/>
          </w:tcPr>
          <w:p>
            <w:pPr>
              <w:pStyle w:val="12"/>
            </w:pPr>
            <w:r>
              <w:t>组织活动的场次</w:t>
            </w:r>
          </w:p>
        </w:tc>
        <w:tc>
          <w:tcPr>
            <w:tcW w:w="2466" w:type="dxa"/>
            <w:vAlign w:val="center"/>
          </w:tcPr>
          <w:p>
            <w:pPr>
              <w:pStyle w:val="12"/>
            </w:pPr>
            <w:r>
              <w:t>举办各艺术门类业务活动场次</w:t>
            </w:r>
          </w:p>
        </w:tc>
        <w:tc>
          <w:tcPr>
            <w:tcW w:w="2466" w:type="dxa"/>
            <w:vAlign w:val="center"/>
          </w:tcPr>
          <w:p>
            <w:pPr>
              <w:pStyle w:val="12"/>
            </w:pPr>
            <w:r>
              <w:t>≥8次数</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组织艺术家创作次数</w:t>
            </w:r>
          </w:p>
        </w:tc>
        <w:tc>
          <w:tcPr>
            <w:tcW w:w="2466" w:type="dxa"/>
            <w:vAlign w:val="center"/>
          </w:tcPr>
          <w:p>
            <w:pPr>
              <w:pStyle w:val="12"/>
            </w:pPr>
            <w:r>
              <w:t>艺术创作次数</w:t>
            </w:r>
          </w:p>
        </w:tc>
        <w:tc>
          <w:tcPr>
            <w:tcW w:w="2466" w:type="dxa"/>
            <w:vAlign w:val="center"/>
          </w:tcPr>
          <w:p>
            <w:pPr>
              <w:pStyle w:val="12"/>
            </w:pPr>
            <w:r>
              <w:t>≥3次数</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组织研讨推介活动次数</w:t>
            </w:r>
          </w:p>
        </w:tc>
        <w:tc>
          <w:tcPr>
            <w:tcW w:w="2466" w:type="dxa"/>
            <w:vAlign w:val="center"/>
          </w:tcPr>
          <w:p>
            <w:pPr>
              <w:pStyle w:val="12"/>
            </w:pPr>
            <w:r>
              <w:t>组织活动次数</w:t>
            </w:r>
          </w:p>
        </w:tc>
        <w:tc>
          <w:tcPr>
            <w:tcW w:w="2466" w:type="dxa"/>
            <w:vAlign w:val="center"/>
          </w:tcPr>
          <w:p>
            <w:pPr>
              <w:pStyle w:val="12"/>
            </w:pPr>
            <w:r>
              <w:t>≥2次数</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媒体宣传、信息数量(篇)</w:t>
            </w:r>
          </w:p>
        </w:tc>
        <w:tc>
          <w:tcPr>
            <w:tcW w:w="2466" w:type="dxa"/>
            <w:vAlign w:val="center"/>
          </w:tcPr>
          <w:p>
            <w:pPr>
              <w:pStyle w:val="12"/>
            </w:pPr>
            <w:r>
              <w:t>对外宣传信息的篇幅</w:t>
            </w:r>
          </w:p>
        </w:tc>
        <w:tc>
          <w:tcPr>
            <w:tcW w:w="2466" w:type="dxa"/>
            <w:vAlign w:val="center"/>
          </w:tcPr>
          <w:p>
            <w:pPr>
              <w:pStyle w:val="12"/>
            </w:pPr>
            <w:r>
              <w:t>≥4篇</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组织对外、民间文化交流次数</w:t>
            </w:r>
          </w:p>
        </w:tc>
        <w:tc>
          <w:tcPr>
            <w:tcW w:w="2466" w:type="dxa"/>
            <w:vAlign w:val="center"/>
          </w:tcPr>
          <w:p>
            <w:pPr>
              <w:pStyle w:val="12"/>
            </w:pPr>
            <w:r>
              <w:t>组织对外、民间文化交流次数</w:t>
            </w:r>
          </w:p>
        </w:tc>
        <w:tc>
          <w:tcPr>
            <w:tcW w:w="2466" w:type="dxa"/>
            <w:vAlign w:val="center"/>
          </w:tcPr>
          <w:p>
            <w:pPr>
              <w:pStyle w:val="12"/>
            </w:pPr>
            <w:r>
              <w:t>≥3次数</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文艺精品生产数量</w:t>
            </w:r>
          </w:p>
        </w:tc>
        <w:tc>
          <w:tcPr>
            <w:tcW w:w="2466" w:type="dxa"/>
            <w:vAlign w:val="center"/>
          </w:tcPr>
          <w:p>
            <w:pPr>
              <w:pStyle w:val="12"/>
            </w:pPr>
            <w:r>
              <w:t>生产文艺精品的数量</w:t>
            </w:r>
          </w:p>
        </w:tc>
        <w:tc>
          <w:tcPr>
            <w:tcW w:w="2466" w:type="dxa"/>
            <w:vAlign w:val="center"/>
          </w:tcPr>
          <w:p>
            <w:pPr>
              <w:pStyle w:val="12"/>
            </w:pPr>
            <w:r>
              <w:t>≥1个</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文艺研修教育人数</w:t>
            </w:r>
          </w:p>
        </w:tc>
        <w:tc>
          <w:tcPr>
            <w:tcW w:w="2466" w:type="dxa"/>
            <w:vAlign w:val="center"/>
          </w:tcPr>
          <w:p>
            <w:pPr>
              <w:pStyle w:val="12"/>
            </w:pPr>
            <w:r>
              <w:t>参加省市文艺研修及教育的人数</w:t>
            </w:r>
          </w:p>
        </w:tc>
        <w:tc>
          <w:tcPr>
            <w:tcW w:w="2466" w:type="dxa"/>
            <w:vAlign w:val="center"/>
          </w:tcPr>
          <w:p>
            <w:pPr>
              <w:pStyle w:val="12"/>
            </w:pPr>
            <w:r>
              <w:t>≥2人数</w:t>
            </w:r>
          </w:p>
        </w:tc>
        <w:tc>
          <w:tcPr>
            <w:tcW w:w="2466" w:type="dxa"/>
            <w:vAlign w:val="center"/>
          </w:tcPr>
          <w:p>
            <w:pPr>
              <w:pStyle w:val="12"/>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数量指标</w:t>
            </w:r>
          </w:p>
        </w:tc>
        <w:tc>
          <w:tcPr>
            <w:tcW w:w="2466" w:type="dxa"/>
            <w:vAlign w:val="center"/>
          </w:tcPr>
          <w:p>
            <w:pPr>
              <w:pStyle w:val="12"/>
            </w:pPr>
            <w:r>
              <w:t>文艺人才资源库人数</w:t>
            </w:r>
          </w:p>
        </w:tc>
        <w:tc>
          <w:tcPr>
            <w:tcW w:w="2466" w:type="dxa"/>
            <w:vAlign w:val="center"/>
          </w:tcPr>
          <w:p>
            <w:pPr>
              <w:pStyle w:val="12"/>
            </w:pPr>
            <w:r>
              <w:t>被省市文艺人才网资源库纳入的艺术家人数</w:t>
            </w:r>
          </w:p>
        </w:tc>
        <w:tc>
          <w:tcPr>
            <w:tcW w:w="2466" w:type="dxa"/>
            <w:vAlign w:val="center"/>
          </w:tcPr>
          <w:p>
            <w:pPr>
              <w:pStyle w:val="12"/>
            </w:pPr>
            <w:r>
              <w:t>≥2人数</w:t>
            </w:r>
          </w:p>
        </w:tc>
        <w:tc>
          <w:tcPr>
            <w:tcW w:w="2466" w:type="dxa"/>
            <w:vAlign w:val="center"/>
          </w:tcPr>
          <w:p>
            <w:pPr>
              <w:pStyle w:val="12"/>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质量指标</w:t>
            </w:r>
          </w:p>
        </w:tc>
        <w:tc>
          <w:tcPr>
            <w:tcW w:w="2466" w:type="dxa"/>
            <w:vAlign w:val="center"/>
          </w:tcPr>
          <w:p>
            <w:pPr>
              <w:pStyle w:val="12"/>
            </w:pPr>
            <w:r>
              <w:t>综合事务完成率</w:t>
            </w:r>
          </w:p>
        </w:tc>
        <w:tc>
          <w:tcPr>
            <w:tcW w:w="2466" w:type="dxa"/>
            <w:vAlign w:val="center"/>
          </w:tcPr>
          <w:p>
            <w:pPr>
              <w:pStyle w:val="12"/>
            </w:pPr>
            <w:r>
              <w:t>综合事务管理工作完成情况，保证机关工作有序正常高效运转。</w:t>
            </w:r>
          </w:p>
        </w:tc>
        <w:tc>
          <w:tcPr>
            <w:tcW w:w="2466" w:type="dxa"/>
            <w:vAlign w:val="center"/>
          </w:tcPr>
          <w:p>
            <w:pPr>
              <w:pStyle w:val="12"/>
            </w:pPr>
            <w:r>
              <w:t>≥95%</w:t>
            </w:r>
          </w:p>
        </w:tc>
        <w:tc>
          <w:tcPr>
            <w:tcW w:w="2466" w:type="dxa"/>
            <w:vAlign w:val="center"/>
          </w:tcPr>
          <w:p>
            <w:pPr>
              <w:pStyle w:val="12"/>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时效指标</w:t>
            </w:r>
          </w:p>
        </w:tc>
        <w:tc>
          <w:tcPr>
            <w:tcW w:w="2466" w:type="dxa"/>
            <w:vAlign w:val="center"/>
          </w:tcPr>
          <w:p>
            <w:pPr>
              <w:pStyle w:val="12"/>
            </w:pPr>
            <w:r>
              <w:t>计划完成率</w:t>
            </w:r>
          </w:p>
        </w:tc>
        <w:tc>
          <w:tcPr>
            <w:tcW w:w="2466" w:type="dxa"/>
            <w:vAlign w:val="center"/>
          </w:tcPr>
          <w:p>
            <w:pPr>
              <w:pStyle w:val="12"/>
            </w:pPr>
            <w:r>
              <w:t>按要求完成各项文艺活动计划</w:t>
            </w:r>
          </w:p>
        </w:tc>
        <w:tc>
          <w:tcPr>
            <w:tcW w:w="2466" w:type="dxa"/>
            <w:vAlign w:val="center"/>
          </w:tcPr>
          <w:p>
            <w:pPr>
              <w:pStyle w:val="12"/>
            </w:pPr>
            <w:r>
              <w:t>≥95%</w:t>
            </w:r>
          </w:p>
        </w:tc>
        <w:tc>
          <w:tcPr>
            <w:tcW w:w="246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2"/>
            </w:pPr>
            <w:r>
              <w:t>成本指标</w:t>
            </w:r>
          </w:p>
        </w:tc>
        <w:tc>
          <w:tcPr>
            <w:tcW w:w="2466" w:type="dxa"/>
            <w:vAlign w:val="center"/>
          </w:tcPr>
          <w:p>
            <w:pPr>
              <w:pStyle w:val="12"/>
            </w:pPr>
            <w:r>
              <w:t>项目预算控制数</w:t>
            </w:r>
          </w:p>
        </w:tc>
        <w:tc>
          <w:tcPr>
            <w:tcW w:w="2466" w:type="dxa"/>
            <w:vAlign w:val="center"/>
          </w:tcPr>
          <w:p>
            <w:pPr>
              <w:pStyle w:val="12"/>
            </w:pPr>
            <w:r>
              <w:t>不超过财政支持经费规模</w:t>
            </w:r>
          </w:p>
        </w:tc>
        <w:tc>
          <w:tcPr>
            <w:tcW w:w="2466" w:type="dxa"/>
            <w:vAlign w:val="center"/>
          </w:tcPr>
          <w:p>
            <w:pPr>
              <w:pStyle w:val="12"/>
            </w:pPr>
            <w:r>
              <w:t>≤100%</w:t>
            </w:r>
          </w:p>
        </w:tc>
        <w:tc>
          <w:tcPr>
            <w:tcW w:w="2466" w:type="dxa"/>
            <w:vAlign w:val="center"/>
          </w:tcPr>
          <w:p>
            <w:pPr>
              <w:pStyle w:val="12"/>
            </w:pPr>
            <w:r>
              <w:t>财政审核数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效益指标</w:t>
            </w:r>
          </w:p>
        </w:tc>
        <w:tc>
          <w:tcPr>
            <w:tcW w:w="2466" w:type="dxa"/>
            <w:vAlign w:val="center"/>
          </w:tcPr>
          <w:p>
            <w:pPr>
              <w:pStyle w:val="12"/>
            </w:pPr>
            <w:r>
              <w:t>社会效益指标</w:t>
            </w:r>
          </w:p>
        </w:tc>
        <w:tc>
          <w:tcPr>
            <w:tcW w:w="2466" w:type="dxa"/>
            <w:vAlign w:val="center"/>
          </w:tcPr>
          <w:p>
            <w:pPr>
              <w:pStyle w:val="12"/>
            </w:pPr>
            <w:r>
              <w:t>宣传文化提高人民文化水平</w:t>
            </w:r>
          </w:p>
        </w:tc>
        <w:tc>
          <w:tcPr>
            <w:tcW w:w="2466" w:type="dxa"/>
            <w:vAlign w:val="center"/>
          </w:tcPr>
          <w:p>
            <w:pPr>
              <w:pStyle w:val="12"/>
            </w:pPr>
            <w:r>
              <w:t>通过演出文化培训创作优秀作品交流等，达到丰富人民精神生活，弘扬社会主义核心价值观，增强文化自信，不断满足群众日益增长的精神文化生活需要</w:t>
            </w:r>
          </w:p>
        </w:tc>
        <w:tc>
          <w:tcPr>
            <w:tcW w:w="2466" w:type="dxa"/>
            <w:vAlign w:val="center"/>
          </w:tcPr>
          <w:p>
            <w:pPr>
              <w:pStyle w:val="12"/>
            </w:pPr>
            <w:r>
              <w:t>宣传文化提高人民文化水平</w:t>
            </w:r>
          </w:p>
        </w:tc>
        <w:tc>
          <w:tcPr>
            <w:tcW w:w="2466" w:type="dxa"/>
            <w:vAlign w:val="center"/>
          </w:tcPr>
          <w:p>
            <w:pPr>
              <w:pStyle w:val="12"/>
            </w:pPr>
            <w:r>
              <w:t>根据上级要求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11"/>
            </w:pPr>
            <w:r>
              <w:t>满意度指标</w:t>
            </w:r>
          </w:p>
        </w:tc>
        <w:tc>
          <w:tcPr>
            <w:tcW w:w="2466" w:type="dxa"/>
            <w:vAlign w:val="center"/>
          </w:tcPr>
          <w:p>
            <w:pPr>
              <w:pStyle w:val="12"/>
            </w:pPr>
            <w:r>
              <w:t>服务对象满意度指标</w:t>
            </w:r>
          </w:p>
        </w:tc>
        <w:tc>
          <w:tcPr>
            <w:tcW w:w="2466" w:type="dxa"/>
            <w:vAlign w:val="center"/>
          </w:tcPr>
          <w:p>
            <w:pPr>
              <w:pStyle w:val="12"/>
            </w:pPr>
            <w:r>
              <w:t>服务对象满意度</w:t>
            </w:r>
          </w:p>
        </w:tc>
        <w:tc>
          <w:tcPr>
            <w:tcW w:w="2466" w:type="dxa"/>
            <w:vAlign w:val="center"/>
          </w:tcPr>
          <w:p>
            <w:pPr>
              <w:pStyle w:val="12"/>
            </w:pPr>
            <w:r>
              <w:t>对群众进行走访调查谈心了解满意程度</w:t>
            </w:r>
          </w:p>
        </w:tc>
        <w:tc>
          <w:tcPr>
            <w:tcW w:w="2466" w:type="dxa"/>
            <w:vAlign w:val="center"/>
          </w:tcPr>
          <w:p>
            <w:pPr>
              <w:pStyle w:val="12"/>
            </w:pPr>
            <w:r>
              <w:t>≥90</w:t>
            </w:r>
          </w:p>
        </w:tc>
        <w:tc>
          <w:tcPr>
            <w:tcW w:w="2466" w:type="dxa"/>
            <w:vAlign w:val="center"/>
          </w:tcPr>
          <w:p>
            <w:pPr>
              <w:pStyle w:val="12"/>
            </w:pPr>
            <w:r>
              <w:t>根据上级要求</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4" w:name="_Toc12496"/>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2023年，石家庄市藁城区文学艺术界联合会安排政府采购预算0.00万元。具体内容见下表。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7"/>
            </w:pPr>
            <w:r>
              <w:t>721石家庄市藁城区文学艺术界联合会</w:t>
            </w:r>
          </w:p>
        </w:tc>
        <w:tc>
          <w:tcPr>
            <w:tcW w:w="8316"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0"/>
            </w:pPr>
            <w:r>
              <w:t>政府采购项目来源</w:t>
            </w:r>
          </w:p>
        </w:tc>
        <w:tc>
          <w:tcPr>
            <w:tcW w:w="924" w:type="dxa"/>
            <w:vMerge w:val="restart"/>
            <w:vAlign w:val="center"/>
          </w:tcPr>
          <w:p>
            <w:pPr>
              <w:pStyle w:val="10"/>
            </w:pPr>
            <w:r>
              <w:t>采购物品名称</w:t>
            </w:r>
          </w:p>
        </w:tc>
        <w:tc>
          <w:tcPr>
            <w:tcW w:w="924" w:type="dxa"/>
            <w:vMerge w:val="restart"/>
            <w:vAlign w:val="center"/>
          </w:tcPr>
          <w:p>
            <w:pPr>
              <w:pStyle w:val="10"/>
            </w:pPr>
            <w:r>
              <w:t>政府采购目录序号</w:t>
            </w:r>
          </w:p>
        </w:tc>
        <w:tc>
          <w:tcPr>
            <w:tcW w:w="924" w:type="dxa"/>
            <w:vMerge w:val="restart"/>
            <w:vAlign w:val="center"/>
          </w:tcPr>
          <w:p>
            <w:pPr>
              <w:pStyle w:val="10"/>
            </w:pPr>
            <w:r>
              <w:t>计量  单位</w:t>
            </w:r>
          </w:p>
        </w:tc>
        <w:tc>
          <w:tcPr>
            <w:tcW w:w="924" w:type="dxa"/>
            <w:vMerge w:val="restart"/>
            <w:vAlign w:val="center"/>
          </w:tcPr>
          <w:p>
            <w:pPr>
              <w:pStyle w:val="10"/>
            </w:pPr>
            <w:r>
              <w:t>数量</w:t>
            </w:r>
          </w:p>
        </w:tc>
        <w:tc>
          <w:tcPr>
            <w:tcW w:w="924" w:type="dxa"/>
            <w:vMerge w:val="restart"/>
            <w:vAlign w:val="center"/>
          </w:tcPr>
          <w:p>
            <w:pPr>
              <w:pStyle w:val="10"/>
            </w:pPr>
            <w:r>
              <w:t>单价</w:t>
            </w:r>
          </w:p>
        </w:tc>
        <w:tc>
          <w:tcPr>
            <w:tcW w:w="7392" w:type="dxa"/>
            <w:gridSpan w:val="8"/>
            <w:vAlign w:val="center"/>
          </w:tcPr>
          <w:p>
            <w:pPr>
              <w:pStyle w:val="10"/>
            </w:pPr>
            <w:r>
              <w:t>政府采购金额（当年部门预算安排资金）</w:t>
            </w:r>
          </w:p>
        </w:tc>
        <w:tc>
          <w:tcPr>
            <w:tcW w:w="92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0"/>
            </w:pPr>
            <w:r>
              <w:t>项目名称</w:t>
            </w:r>
          </w:p>
        </w:tc>
        <w:tc>
          <w:tcPr>
            <w:tcW w:w="924" w:type="dxa"/>
            <w:vAlign w:val="center"/>
          </w:tcPr>
          <w:p>
            <w:pPr>
              <w:pStyle w:val="10"/>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0"/>
            </w:pPr>
            <w:r>
              <w:t>合计</w:t>
            </w:r>
          </w:p>
        </w:tc>
        <w:tc>
          <w:tcPr>
            <w:tcW w:w="924" w:type="dxa"/>
            <w:vAlign w:val="center"/>
          </w:tcPr>
          <w:p>
            <w:pPr>
              <w:pStyle w:val="10"/>
            </w:pPr>
            <w:r>
              <w:t>一般公共预算拨款</w:t>
            </w:r>
          </w:p>
        </w:tc>
        <w:tc>
          <w:tcPr>
            <w:tcW w:w="924" w:type="dxa"/>
            <w:vAlign w:val="center"/>
          </w:tcPr>
          <w:p>
            <w:pPr>
              <w:pStyle w:val="10"/>
            </w:pPr>
            <w:r>
              <w:t>基金预算拨款</w:t>
            </w:r>
          </w:p>
        </w:tc>
        <w:tc>
          <w:tcPr>
            <w:tcW w:w="924" w:type="dxa"/>
            <w:vAlign w:val="center"/>
          </w:tcPr>
          <w:p>
            <w:pPr>
              <w:pStyle w:val="10"/>
            </w:pPr>
            <w:r>
              <w:t>国有资本经营预算拨款</w:t>
            </w:r>
          </w:p>
        </w:tc>
        <w:tc>
          <w:tcPr>
            <w:tcW w:w="924" w:type="dxa"/>
            <w:vAlign w:val="center"/>
          </w:tcPr>
          <w:p>
            <w:pPr>
              <w:pStyle w:val="10"/>
            </w:pPr>
            <w:r>
              <w:t>财政专户核拨</w:t>
            </w:r>
          </w:p>
        </w:tc>
        <w:tc>
          <w:tcPr>
            <w:tcW w:w="924" w:type="dxa"/>
            <w:vAlign w:val="center"/>
          </w:tcPr>
          <w:p>
            <w:pPr>
              <w:pStyle w:val="10"/>
            </w:pPr>
            <w:r>
              <w:t>单位    资金</w:t>
            </w:r>
          </w:p>
        </w:tc>
        <w:tc>
          <w:tcPr>
            <w:tcW w:w="924" w:type="dxa"/>
            <w:vAlign w:val="center"/>
          </w:tcPr>
          <w:p>
            <w:pPr>
              <w:pStyle w:val="10"/>
            </w:pPr>
            <w:r>
              <w:t>财政拨    款结转</w:t>
            </w:r>
          </w:p>
        </w:tc>
        <w:tc>
          <w:tcPr>
            <w:tcW w:w="924" w:type="dxa"/>
            <w:vAlign w:val="center"/>
          </w:tcPr>
          <w:p>
            <w:pPr>
              <w:pStyle w:val="10"/>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2"/>
            </w:pPr>
          </w:p>
        </w:tc>
        <w:tc>
          <w:tcPr>
            <w:tcW w:w="924" w:type="dxa"/>
            <w:vAlign w:val="center"/>
          </w:tcPr>
          <w:p>
            <w:pPr>
              <w:pStyle w:val="13"/>
            </w:pPr>
          </w:p>
        </w:tc>
        <w:tc>
          <w:tcPr>
            <w:tcW w:w="924" w:type="dxa"/>
            <w:vAlign w:val="center"/>
          </w:tcPr>
          <w:p>
            <w:pPr>
              <w:pStyle w:val="12"/>
            </w:pPr>
          </w:p>
        </w:tc>
        <w:tc>
          <w:tcPr>
            <w:tcW w:w="924" w:type="dxa"/>
            <w:vAlign w:val="center"/>
          </w:tcPr>
          <w:p>
            <w:pPr>
              <w:pStyle w:val="12"/>
            </w:pPr>
          </w:p>
        </w:tc>
        <w:tc>
          <w:tcPr>
            <w:tcW w:w="924" w:type="dxa"/>
            <w:vAlign w:val="center"/>
          </w:tcPr>
          <w:p>
            <w:pPr>
              <w:pStyle w:val="11"/>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2892"/>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石家庄市藁城区文学艺术界联合会（含所属单位）上年末固定资产金额为28.69万元（详见下表）。本年度拟购置固定资产总额为0.00万元，已按要求列入政府采购预算，详见政府采购预算表。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7"/>
            </w:pPr>
            <w:r>
              <w:t>721石家庄市藁城区文学艺术界联合会</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1"/>
            </w:pPr>
          </w:p>
        </w:tc>
        <w:tc>
          <w:tcPr>
            <w:tcW w:w="4933" w:type="dxa"/>
            <w:vAlign w:val="center"/>
          </w:tcPr>
          <w:p>
            <w:pPr>
              <w:pStyle w:val="13"/>
            </w:pPr>
            <w:r>
              <w:t>28.69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1"/>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1"/>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1"/>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1"/>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1"/>
            </w:pPr>
          </w:p>
        </w:tc>
        <w:tc>
          <w:tcPr>
            <w:tcW w:w="4933" w:type="dxa"/>
            <w:vAlign w:val="center"/>
          </w:tcPr>
          <w:p>
            <w:pPr>
              <w:pStyle w:val="13"/>
            </w:pPr>
            <w:r>
              <w:t>28.69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28428"/>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财政预算管理的“三公”经费，是指</w:t>
      </w:r>
      <w:r>
        <w:rPr>
          <w:rFonts w:hint="eastAsia" w:eastAsia="方正仿宋_GBK" w:cs="Times New Roman"/>
          <w:b w:val="0"/>
          <w:color w:val="000000"/>
          <w:sz w:val="28"/>
          <w:lang w:eastAsia="zh-CN"/>
        </w:rPr>
        <w:t>区县级</w:t>
      </w:r>
      <w:r>
        <w:rPr>
          <w:rFonts w:ascii="Times New Roman" w:hAnsi="Times New Roman" w:eastAsia="方正仿宋_GBK" w:cs="Times New Roman"/>
          <w:b w:val="0"/>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10210"/>
      <w:r>
        <w:rPr>
          <w:rFonts w:ascii="黑体" w:hAnsi="黑体" w:eastAsia="黑体" w:cs="黑体"/>
          <w:color w:val="000000"/>
          <w:sz w:val="32"/>
        </w:rPr>
        <w:t>九、其他需要说明的事项</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Arial Unicode MS"/>
    <w:panose1 w:val="00000000000000000000"/>
    <w:charset w:val="00"/>
    <w:family w:val="auto"/>
    <w:pitch w:val="default"/>
    <w:sig w:usb0="00000000" w:usb1="00000000" w:usb2="00000000" w:usb3="00000000" w:csb0="00000000"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55034A9"/>
    <w:rsid w:val="055034A9"/>
    <w:rsid w:val="076B241F"/>
    <w:rsid w:val="17F96099"/>
    <w:rsid w:val="231238BB"/>
    <w:rsid w:val="277E40B6"/>
    <w:rsid w:val="2BF6600F"/>
    <w:rsid w:val="4D400B03"/>
    <w:rsid w:val="57F23EFE"/>
    <w:rsid w:val="7A42120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iPriority w:val="0"/>
  </w:style>
  <w:style w:type="table" w:default="1" w:styleId="5">
    <w:name w:val="Normal Table"/>
    <w:semiHidden/>
    <w:uiPriority w:val="0"/>
    <w:tblPr>
      <w:tblLayout w:type="fixed"/>
      <w:tblCellMar>
        <w:top w:w="0" w:type="dxa"/>
        <w:left w:w="108" w:type="dxa"/>
        <w:bottom w:w="0" w:type="dxa"/>
        <w:right w:w="108" w:type="dxa"/>
      </w:tblCellMar>
    </w:tblPr>
  </w:style>
  <w:style w:type="paragraph" w:styleId="2">
    <w:name w:val="toc 3"/>
    <w:basedOn w:val="1"/>
    <w:next w:val="1"/>
    <w:qFormat/>
    <w:uiPriority w:val="0"/>
    <w:pPr>
      <w:ind w:left="840" w:leftChars="40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420" w:leftChars="200"/>
    </w:p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2023-09-04T08:31:00Z</dcterms:created>
  <dc:creator>Administrator</dc:creator>
  <cp:lastModifiedBy>Administrator</cp:lastModifiedBy>
  <dcterms:modified xsi:type="dcterms:W3CDTF">2024-09-14T07:44:11Z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