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0"/>
      </w:pPr>
      <w:r>
        <w:rPr>
          <w:rFonts w:hint="eastAsia" w:ascii="黑体" w:hAnsi="黑体" w:eastAsia="黑体" w:cs="黑体"/>
          <w:b/>
          <w:color w:val="000000"/>
          <w:sz w:val="44"/>
          <w:lang w:eastAsia="zh-CN"/>
        </w:rPr>
        <w:t>石家庄市藁城区文学艺术界联合会所属单位</w:t>
      </w:r>
      <w:r>
        <w:rPr>
          <w:rFonts w:ascii="黑体" w:hAnsi="黑体" w:eastAsia="黑体" w:cs="黑体"/>
          <w:b/>
          <w:color w:val="000000"/>
          <w:sz w:val="44"/>
        </w:rPr>
        <w:t>2023年预算信息公开目录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800"/>
        </w:tabs>
      </w:pPr>
      <w:r>
        <w:fldChar w:fldCharType="begin"/>
      </w:r>
      <w:r>
        <w:instrText xml:space="preserve">TOC \o "2-2" \h \z \u</w:instrText>
      </w:r>
      <w:r>
        <w:fldChar w:fldCharType="separate"/>
      </w:r>
      <w:r>
        <w:fldChar w:fldCharType="begin"/>
      </w:r>
      <w:r>
        <w:instrText xml:space="preserve"> HYPERLINK \l _Toc25249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预算收支总表</w:t>
      </w:r>
      <w:r>
        <w:tab/>
      </w:r>
      <w:r>
        <w:fldChar w:fldCharType="begin"/>
      </w:r>
      <w:r>
        <w:instrText xml:space="preserve"> PAGEREF _Toc25249 \h </w:instrText>
      </w:r>
      <w:r>
        <w:fldChar w:fldCharType="separate"/>
      </w:r>
      <w:r>
        <w:t>2</w:t>
      </w:r>
      <w:r>
        <w:fldChar w:fldCharType="end"/>
      </w:r>
      <w:r>
        <w:fldChar w:fldCharType="end"/>
      </w:r>
    </w:p>
    <w:p>
      <w:pPr>
        <w:pStyle w:val="5"/>
        <w:tabs>
          <w:tab w:val="right" w:leader="dot" w:pos="14800"/>
        </w:tabs>
      </w:pPr>
      <w:r>
        <w:fldChar w:fldCharType="begin"/>
      </w:r>
      <w:r>
        <w:instrText xml:space="preserve"> HYPERLINK \l _Toc12299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预算收入总表</w:t>
      </w:r>
      <w:r>
        <w:tab/>
      </w:r>
      <w:r>
        <w:fldChar w:fldCharType="begin"/>
      </w:r>
      <w:r>
        <w:instrText xml:space="preserve"> PAGEREF _Toc12299 \h </w:instrText>
      </w:r>
      <w:r>
        <w:fldChar w:fldCharType="separate"/>
      </w:r>
      <w:r>
        <w:t>6</w:t>
      </w:r>
      <w:r>
        <w:fldChar w:fldCharType="end"/>
      </w:r>
      <w:r>
        <w:fldChar w:fldCharType="end"/>
      </w:r>
    </w:p>
    <w:p>
      <w:pPr>
        <w:pStyle w:val="5"/>
        <w:tabs>
          <w:tab w:val="right" w:leader="dot" w:pos="14800"/>
        </w:tabs>
      </w:pPr>
      <w:r>
        <w:fldChar w:fldCharType="begin"/>
      </w:r>
      <w:r>
        <w:instrText xml:space="preserve"> HYPERLINK \l _Toc1328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预算支出总表</w:t>
      </w:r>
      <w:r>
        <w:tab/>
      </w:r>
      <w:r>
        <w:fldChar w:fldCharType="begin"/>
      </w:r>
      <w:r>
        <w:instrText xml:space="preserve"> PAGEREF _Toc1328 \h </w:instrText>
      </w:r>
      <w:r>
        <w:fldChar w:fldCharType="separate"/>
      </w:r>
      <w:r>
        <w:t>8</w:t>
      </w:r>
      <w:r>
        <w:fldChar w:fldCharType="end"/>
      </w:r>
      <w:r>
        <w:fldChar w:fldCharType="end"/>
      </w:r>
    </w:p>
    <w:p>
      <w:pPr>
        <w:pStyle w:val="5"/>
        <w:tabs>
          <w:tab w:val="right" w:leader="dot" w:pos="14800"/>
        </w:tabs>
      </w:pPr>
      <w:r>
        <w:fldChar w:fldCharType="begin"/>
      </w:r>
      <w:r>
        <w:instrText xml:space="preserve"> HYPERLINK \l _Toc32645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预算财政拨款收支总表</w:t>
      </w:r>
      <w:r>
        <w:tab/>
      </w:r>
      <w:r>
        <w:fldChar w:fldCharType="begin"/>
      </w:r>
      <w:r>
        <w:instrText xml:space="preserve"> PAGEREF _Toc32645 \h </w:instrText>
      </w:r>
      <w:r>
        <w:fldChar w:fldCharType="separate"/>
      </w:r>
      <w:r>
        <w:t>9</w:t>
      </w:r>
      <w:r>
        <w:fldChar w:fldCharType="end"/>
      </w:r>
      <w:r>
        <w:fldChar w:fldCharType="end"/>
      </w:r>
    </w:p>
    <w:p>
      <w:pPr>
        <w:pStyle w:val="5"/>
        <w:tabs>
          <w:tab w:val="right" w:leader="dot" w:pos="14800"/>
        </w:tabs>
      </w:pPr>
      <w:r>
        <w:fldChar w:fldCharType="begin"/>
      </w:r>
      <w:r>
        <w:instrText xml:space="preserve"> HYPERLINK \l _Toc19815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预算一般公共预算财政拨款支出表</w:t>
      </w:r>
      <w:r>
        <w:tab/>
      </w:r>
      <w:r>
        <w:fldChar w:fldCharType="begin"/>
      </w:r>
      <w:r>
        <w:instrText xml:space="preserve"> PAGEREF _Toc19815 \h </w:instrText>
      </w:r>
      <w:r>
        <w:fldChar w:fldCharType="separate"/>
      </w:r>
      <w:r>
        <w:t>16</w:t>
      </w:r>
      <w:r>
        <w:fldChar w:fldCharType="end"/>
      </w:r>
      <w:r>
        <w:fldChar w:fldCharType="end"/>
      </w:r>
    </w:p>
    <w:p>
      <w:pPr>
        <w:pStyle w:val="5"/>
        <w:tabs>
          <w:tab w:val="right" w:leader="dot" w:pos="14800"/>
        </w:tabs>
      </w:pPr>
      <w:r>
        <w:fldChar w:fldCharType="begin"/>
      </w:r>
      <w:r>
        <w:instrText xml:space="preserve"> HYPERLINK \l _Toc28300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预算一般公共预算财政拨款基本支出表</w:t>
      </w:r>
      <w:r>
        <w:tab/>
      </w:r>
      <w:r>
        <w:fldChar w:fldCharType="begin"/>
      </w:r>
      <w:r>
        <w:instrText xml:space="preserve"> PAGEREF _Toc28300 \h </w:instrText>
      </w:r>
      <w:r>
        <w:fldChar w:fldCharType="separate"/>
      </w:r>
      <w:r>
        <w:t>17</w:t>
      </w:r>
      <w:r>
        <w:fldChar w:fldCharType="end"/>
      </w:r>
      <w:r>
        <w:fldChar w:fldCharType="end"/>
      </w:r>
    </w:p>
    <w:p>
      <w:pPr>
        <w:pStyle w:val="5"/>
        <w:tabs>
          <w:tab w:val="right" w:leader="dot" w:pos="14800"/>
        </w:tabs>
      </w:pPr>
      <w:r>
        <w:fldChar w:fldCharType="begin"/>
      </w:r>
      <w:r>
        <w:instrText xml:space="preserve"> HYPERLINK \l _Toc26219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预算政府</w:t>
      </w:r>
      <w:r>
        <w:rPr>
          <w:rFonts w:hint="eastAsia" w:ascii="方正小标宋_GBK" w:hAnsi="方正小标宋_GBK" w:eastAsia="方正小标宋_GBK" w:cs="方正小标宋_GBK"/>
          <w:lang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_Toc26219 \h </w:instrText>
      </w:r>
      <w:r>
        <w:fldChar w:fldCharType="separate"/>
      </w:r>
      <w:r>
        <w:t>19</w:t>
      </w:r>
      <w:r>
        <w:fldChar w:fldCharType="end"/>
      </w:r>
      <w:r>
        <w:fldChar w:fldCharType="end"/>
      </w:r>
    </w:p>
    <w:p>
      <w:pPr>
        <w:pStyle w:val="5"/>
        <w:tabs>
          <w:tab w:val="right" w:leader="dot" w:pos="14800"/>
        </w:tabs>
      </w:pPr>
      <w:r>
        <w:fldChar w:fldCharType="begin"/>
      </w:r>
      <w:r>
        <w:instrText xml:space="preserve"> HYPERLINK \l _Toc14803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预算国有资本经营预算财政拨款支出表</w:t>
      </w:r>
      <w:r>
        <w:tab/>
      </w:r>
      <w:r>
        <w:fldChar w:fldCharType="begin"/>
      </w:r>
      <w:r>
        <w:instrText xml:space="preserve"> PAGEREF _Toc14803 \h </w:instrText>
      </w:r>
      <w:r>
        <w:fldChar w:fldCharType="separate"/>
      </w:r>
      <w:r>
        <w:t>20</w:t>
      </w:r>
      <w:r>
        <w:fldChar w:fldCharType="end"/>
      </w:r>
      <w:r>
        <w:fldChar w:fldCharType="end"/>
      </w:r>
    </w:p>
    <w:p>
      <w:pPr>
        <w:pStyle w:val="5"/>
        <w:tabs>
          <w:tab w:val="right" w:leader="dot" w:pos="14800"/>
        </w:tabs>
      </w:pPr>
      <w:r>
        <w:fldChar w:fldCharType="begin"/>
      </w:r>
      <w:r>
        <w:instrText xml:space="preserve"> HYPERLINK \l _Toc26559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预算财政拨款“三公”经费支出表</w:t>
      </w:r>
      <w:r>
        <w:tab/>
      </w:r>
      <w:r>
        <w:fldChar w:fldCharType="begin"/>
      </w:r>
      <w:r>
        <w:instrText xml:space="preserve"> PAGEREF _Toc26559 \h </w:instrText>
      </w:r>
      <w:r>
        <w:fldChar w:fldCharType="separate"/>
      </w:r>
      <w:r>
        <w:t>21</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_Toc10695 </w:instrText>
      </w:r>
      <w:r>
        <w:fldChar w:fldCharType="separate"/>
      </w:r>
      <w:r>
        <w:rPr>
          <w:rFonts w:ascii="黑体" w:hAnsi="黑体" w:eastAsia="黑体" w:cs="黑体"/>
        </w:rPr>
        <w:t>一、</w:t>
      </w:r>
      <w:r>
        <w:rPr>
          <w:rFonts w:hint="eastAsia" w:ascii="黑体" w:hAnsi="黑体" w:eastAsia="黑体" w:cs="黑体"/>
          <w:lang w:eastAsia="zh-CN"/>
        </w:rPr>
        <w:t>单位</w:t>
      </w:r>
      <w:r>
        <w:rPr>
          <w:rFonts w:ascii="黑体" w:hAnsi="黑体" w:eastAsia="黑体" w:cs="黑体"/>
        </w:rPr>
        <w:t>职责及机构设置情况</w:t>
      </w:r>
      <w:r>
        <w:tab/>
      </w:r>
      <w:r>
        <w:fldChar w:fldCharType="begin"/>
      </w:r>
      <w:r>
        <w:instrText xml:space="preserve"> PAGEREF _Toc10695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_Toc25415 </w:instrText>
      </w:r>
      <w:r>
        <w:fldChar w:fldCharType="separate"/>
      </w:r>
      <w:r>
        <w:rPr>
          <w:rFonts w:ascii="黑体" w:hAnsi="黑体" w:eastAsia="黑体" w:cs="黑体"/>
        </w:rPr>
        <w:t>二、</w:t>
      </w:r>
      <w:r>
        <w:rPr>
          <w:rFonts w:hint="eastAsia" w:ascii="黑体" w:hAnsi="黑体" w:eastAsia="黑体" w:cs="黑体"/>
          <w:lang w:eastAsia="zh-CN"/>
        </w:rPr>
        <w:t>单位</w:t>
      </w:r>
      <w:r>
        <w:rPr>
          <w:rFonts w:ascii="黑体" w:hAnsi="黑体" w:eastAsia="黑体" w:cs="黑体"/>
        </w:rPr>
        <w:t>预算安排的总体情况</w:t>
      </w:r>
      <w:r>
        <w:tab/>
      </w:r>
      <w:r>
        <w:fldChar w:fldCharType="begin"/>
      </w:r>
      <w:r>
        <w:instrText xml:space="preserve"> PAGEREF _Toc25415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_Toc7119 </w:instrText>
      </w:r>
      <w:r>
        <w:fldChar w:fldCharType="separate"/>
      </w:r>
      <w:r>
        <w:rPr>
          <w:rFonts w:ascii="黑体" w:hAnsi="黑体" w:eastAsia="黑体" w:cs="黑体"/>
        </w:rPr>
        <w:t>三、机关运行经费安排情况</w:t>
      </w:r>
      <w:r>
        <w:tab/>
      </w:r>
      <w:r>
        <w:fldChar w:fldCharType="begin"/>
      </w:r>
      <w:r>
        <w:instrText xml:space="preserve"> PAGEREF _Toc7119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_Toc19343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_Toc19343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_Toc22259 </w:instrText>
      </w:r>
      <w:r>
        <w:fldChar w:fldCharType="separate"/>
      </w:r>
      <w:r>
        <w:rPr>
          <w:rFonts w:ascii="黑体" w:hAnsi="黑体" w:eastAsia="黑体" w:cs="黑体"/>
        </w:rPr>
        <w:t>五、预算绩效信息</w:t>
      </w:r>
      <w:r>
        <w:tab/>
      </w:r>
      <w:r>
        <w:fldChar w:fldCharType="begin"/>
      </w:r>
      <w:r>
        <w:instrText xml:space="preserve"> PAGEREF _Toc22259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_Toc12496 </w:instrText>
      </w:r>
      <w:r>
        <w:fldChar w:fldCharType="separate"/>
      </w:r>
      <w:r>
        <w:rPr>
          <w:rFonts w:ascii="黑体" w:hAnsi="黑体" w:eastAsia="黑体" w:cs="黑体"/>
        </w:rPr>
        <w:t>六、政府采购预算情况</w:t>
      </w:r>
      <w:r>
        <w:tab/>
      </w:r>
      <w:r>
        <w:fldChar w:fldCharType="begin"/>
      </w:r>
      <w:r>
        <w:instrText xml:space="preserve"> PAGEREF _Toc12496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_Toc2892 </w:instrText>
      </w:r>
      <w:r>
        <w:fldChar w:fldCharType="separate"/>
      </w:r>
      <w:r>
        <w:rPr>
          <w:rFonts w:ascii="黑体" w:hAnsi="黑体" w:eastAsia="黑体" w:cs="黑体"/>
        </w:rPr>
        <w:t>七、国有资产信息</w:t>
      </w:r>
      <w:r>
        <w:tab/>
      </w:r>
      <w:r>
        <w:fldChar w:fldCharType="begin"/>
      </w:r>
      <w:r>
        <w:instrText xml:space="preserve"> PAGEREF _Toc2892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_Toc28428 </w:instrText>
      </w:r>
      <w:r>
        <w:fldChar w:fldCharType="separate"/>
      </w:r>
      <w:r>
        <w:rPr>
          <w:rFonts w:ascii="黑体" w:hAnsi="黑体" w:eastAsia="黑体" w:cs="黑体"/>
        </w:rPr>
        <w:t>八、名词解释</w:t>
      </w:r>
      <w:r>
        <w:tab/>
      </w:r>
      <w:r>
        <w:fldChar w:fldCharType="begin"/>
      </w:r>
      <w:r>
        <w:instrText xml:space="preserve"> PAGEREF _Toc28428 \h </w:instrText>
      </w:r>
      <w:r>
        <w:fldChar w:fldCharType="separate"/>
      </w:r>
      <w:r>
        <w:t>32</w:t>
      </w:r>
      <w:r>
        <w:fldChar w:fldCharType="end"/>
      </w:r>
      <w:r>
        <w:fldChar w:fldCharType="end"/>
      </w:r>
    </w:p>
    <w:p>
      <w:pPr>
        <w:pStyle w:val="2"/>
        <w:tabs>
          <w:tab w:val="right" w:leader="dot" w:pos="14800"/>
        </w:tabs>
      </w:pPr>
      <w:r>
        <w:fldChar w:fldCharType="begin"/>
      </w:r>
      <w:r>
        <w:instrText xml:space="preserve"> HYPERLINK \l _Toc10210 </w:instrText>
      </w:r>
      <w:r>
        <w:fldChar w:fldCharType="separate"/>
      </w:r>
      <w:r>
        <w:rPr>
          <w:rFonts w:ascii="黑体" w:hAnsi="黑体" w:eastAsia="黑体" w:cs="黑体"/>
        </w:rPr>
        <w:t>九、其他需要说明的事项</w:t>
      </w:r>
      <w:r>
        <w:tab/>
      </w:r>
      <w:r>
        <w:fldChar w:fldCharType="begin"/>
      </w:r>
      <w:r>
        <w:instrText xml:space="preserve"> PAGEREF _Toc10210 \h </w:instrText>
      </w:r>
      <w:r>
        <w:fldChar w:fldCharType="separate"/>
      </w:r>
      <w:r>
        <w:t>33</w:t>
      </w:r>
      <w:r>
        <w:fldChar w:fldCharType="end"/>
      </w:r>
      <w:r>
        <w:fldChar w:fldCharType="end"/>
      </w:r>
    </w:p>
    <w:p>
      <w:pPr>
        <w:spacing w:before="0" w:after="0" w:line="240" w:lineRule="auto"/>
        <w:ind w:firstLine="0"/>
        <w:jc w:val="both"/>
        <w:outlineLvl w:val="1"/>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一、石家庄市藁城区文学艺术界联合会本级收支预算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131.01</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131.01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131.01</w:t>
            </w:r>
          </w:p>
        </w:tc>
        <w:tc>
          <w:tcPr>
            <w:tcW w:w="2959" w:type="dxa"/>
            <w:vAlign w:val="center"/>
          </w:tcPr>
          <w:p>
            <w:pPr>
              <w:pStyle w:val="16"/>
            </w:pPr>
            <w:r>
              <w:t>本年支出合计</w:t>
            </w:r>
          </w:p>
        </w:tc>
        <w:tc>
          <w:tcPr>
            <w:tcW w:w="2959" w:type="dxa"/>
            <w:vAlign w:val="center"/>
          </w:tcPr>
          <w:p>
            <w:pPr>
              <w:pStyle w:val="17"/>
            </w:pPr>
            <w:r>
              <w:t>131.01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131.01</w:t>
            </w:r>
          </w:p>
        </w:tc>
        <w:tc>
          <w:tcPr>
            <w:tcW w:w="2959" w:type="dxa"/>
            <w:vAlign w:val="center"/>
          </w:tcPr>
          <w:p>
            <w:pPr>
              <w:pStyle w:val="16"/>
            </w:pPr>
            <w:r>
              <w:t>支出总计</w:t>
            </w:r>
          </w:p>
        </w:tc>
        <w:tc>
          <w:tcPr>
            <w:tcW w:w="2959" w:type="dxa"/>
            <w:vAlign w:val="center"/>
          </w:tcPr>
          <w:p>
            <w:pPr>
              <w:pStyle w:val="17"/>
            </w:pPr>
            <w:r>
              <w:t>131.01</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131.01</w:t>
            </w:r>
          </w:p>
        </w:tc>
        <w:tc>
          <w:tcPr>
            <w:tcW w:w="758" w:type="dxa"/>
            <w:vAlign w:val="center"/>
          </w:tcPr>
          <w:p>
            <w:pPr>
              <w:pStyle w:val="17"/>
            </w:pPr>
            <w:r>
              <w:t>131.01</w:t>
            </w:r>
          </w:p>
        </w:tc>
        <w:tc>
          <w:tcPr>
            <w:tcW w:w="758" w:type="dxa"/>
            <w:vAlign w:val="center"/>
          </w:tcPr>
          <w:p>
            <w:pPr>
              <w:pStyle w:val="17"/>
            </w:pPr>
            <w:r>
              <w:t>131.01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131.01</w:t>
            </w:r>
          </w:p>
        </w:tc>
        <w:tc>
          <w:tcPr>
            <w:tcW w:w="758" w:type="dxa"/>
            <w:vAlign w:val="center"/>
          </w:tcPr>
          <w:p>
            <w:pPr>
              <w:pStyle w:val="13"/>
            </w:pPr>
            <w:r>
              <w:t>131.01</w:t>
            </w:r>
          </w:p>
        </w:tc>
        <w:tc>
          <w:tcPr>
            <w:tcW w:w="758" w:type="dxa"/>
            <w:vAlign w:val="center"/>
          </w:tcPr>
          <w:p>
            <w:pPr>
              <w:pStyle w:val="13"/>
            </w:pPr>
            <w:r>
              <w:t>131.01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3"/>
            </w:pPr>
            <w:r>
              <w:t>131.01</w:t>
            </w:r>
          </w:p>
        </w:tc>
        <w:tc>
          <w:tcPr>
            <w:tcW w:w="758" w:type="dxa"/>
            <w:vAlign w:val="center"/>
          </w:tcPr>
          <w:p>
            <w:pPr>
              <w:pStyle w:val="13"/>
            </w:pPr>
            <w:r>
              <w:t>131.01</w:t>
            </w:r>
          </w:p>
        </w:tc>
        <w:tc>
          <w:tcPr>
            <w:tcW w:w="758" w:type="dxa"/>
            <w:vAlign w:val="center"/>
          </w:tcPr>
          <w:p>
            <w:pPr>
              <w:pStyle w:val="13"/>
            </w:pPr>
            <w:r>
              <w:t>131.01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2070101</w:t>
            </w:r>
          </w:p>
        </w:tc>
        <w:tc>
          <w:tcPr>
            <w:tcW w:w="758" w:type="dxa"/>
            <w:vAlign w:val="center"/>
          </w:tcPr>
          <w:p>
            <w:pPr>
              <w:pStyle w:val="14"/>
            </w:pPr>
            <w:r>
              <w:t>行政运行</w:t>
            </w:r>
          </w:p>
        </w:tc>
        <w:tc>
          <w:tcPr>
            <w:tcW w:w="758" w:type="dxa"/>
            <w:vAlign w:val="center"/>
          </w:tcPr>
          <w:p>
            <w:pPr>
              <w:pStyle w:val="13"/>
            </w:pPr>
            <w:r>
              <w:t>125.01</w:t>
            </w:r>
          </w:p>
        </w:tc>
        <w:tc>
          <w:tcPr>
            <w:tcW w:w="758" w:type="dxa"/>
            <w:vAlign w:val="center"/>
          </w:tcPr>
          <w:p>
            <w:pPr>
              <w:pStyle w:val="13"/>
            </w:pPr>
            <w:r>
              <w:t>125.01</w:t>
            </w:r>
          </w:p>
        </w:tc>
        <w:tc>
          <w:tcPr>
            <w:tcW w:w="758" w:type="dxa"/>
            <w:vAlign w:val="center"/>
          </w:tcPr>
          <w:p>
            <w:pPr>
              <w:pStyle w:val="13"/>
            </w:pPr>
            <w:r>
              <w:t>125.01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2070199</w:t>
            </w:r>
          </w:p>
        </w:tc>
        <w:tc>
          <w:tcPr>
            <w:tcW w:w="758" w:type="dxa"/>
            <w:vAlign w:val="center"/>
          </w:tcPr>
          <w:p>
            <w:pPr>
              <w:pStyle w:val="14"/>
            </w:pPr>
            <w:r>
              <w:t>其他文化和旅游支出</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131.01</w:t>
            </w:r>
          </w:p>
        </w:tc>
        <w:tc>
          <w:tcPr>
            <w:tcW w:w="1095" w:type="dxa"/>
            <w:vAlign w:val="center"/>
          </w:tcPr>
          <w:p>
            <w:pPr>
              <w:pStyle w:val="17"/>
            </w:pPr>
            <w:r>
              <w:t>125.01</w:t>
            </w:r>
          </w:p>
        </w:tc>
        <w:tc>
          <w:tcPr>
            <w:tcW w:w="1095" w:type="dxa"/>
            <w:vAlign w:val="center"/>
          </w:tcPr>
          <w:p>
            <w:pPr>
              <w:pStyle w:val="17"/>
            </w:pPr>
            <w:r>
              <w:t>6.00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131.01</w:t>
            </w:r>
          </w:p>
        </w:tc>
        <w:tc>
          <w:tcPr>
            <w:tcW w:w="1095" w:type="dxa"/>
            <w:vAlign w:val="center"/>
          </w:tcPr>
          <w:p>
            <w:pPr>
              <w:pStyle w:val="13"/>
            </w:pPr>
            <w:r>
              <w:t>125.01</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20701</w:t>
            </w:r>
          </w:p>
        </w:tc>
        <w:tc>
          <w:tcPr>
            <w:tcW w:w="1095" w:type="dxa"/>
            <w:vAlign w:val="center"/>
          </w:tcPr>
          <w:p>
            <w:pPr>
              <w:pStyle w:val="14"/>
            </w:pPr>
            <w:r>
              <w:t>文化和旅游</w:t>
            </w:r>
          </w:p>
        </w:tc>
        <w:tc>
          <w:tcPr>
            <w:tcW w:w="1095" w:type="dxa"/>
            <w:vAlign w:val="center"/>
          </w:tcPr>
          <w:p>
            <w:pPr>
              <w:pStyle w:val="13"/>
            </w:pPr>
            <w:r>
              <w:t>131.01</w:t>
            </w:r>
          </w:p>
        </w:tc>
        <w:tc>
          <w:tcPr>
            <w:tcW w:w="1095" w:type="dxa"/>
            <w:vAlign w:val="center"/>
          </w:tcPr>
          <w:p>
            <w:pPr>
              <w:pStyle w:val="13"/>
            </w:pPr>
            <w:r>
              <w:t>125.01</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2070101</w:t>
            </w:r>
          </w:p>
        </w:tc>
        <w:tc>
          <w:tcPr>
            <w:tcW w:w="1095" w:type="dxa"/>
            <w:vAlign w:val="center"/>
          </w:tcPr>
          <w:p>
            <w:pPr>
              <w:pStyle w:val="14"/>
            </w:pPr>
            <w:r>
              <w:t>行政运行</w:t>
            </w:r>
          </w:p>
        </w:tc>
        <w:tc>
          <w:tcPr>
            <w:tcW w:w="1095" w:type="dxa"/>
            <w:vAlign w:val="center"/>
          </w:tcPr>
          <w:p>
            <w:pPr>
              <w:pStyle w:val="13"/>
            </w:pPr>
            <w:r>
              <w:t>125.01</w:t>
            </w:r>
          </w:p>
        </w:tc>
        <w:tc>
          <w:tcPr>
            <w:tcW w:w="1095" w:type="dxa"/>
            <w:vAlign w:val="center"/>
          </w:tcPr>
          <w:p>
            <w:pPr>
              <w:pStyle w:val="13"/>
            </w:pPr>
            <w:r>
              <w:t>125.01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2070199</w:t>
            </w:r>
          </w:p>
        </w:tc>
        <w:tc>
          <w:tcPr>
            <w:tcW w:w="1095" w:type="dxa"/>
            <w:vAlign w:val="center"/>
          </w:tcPr>
          <w:p>
            <w:pPr>
              <w:pStyle w:val="14"/>
            </w:pPr>
            <w:r>
              <w:t>其他文化和旅游支出</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131.01</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131.01</w:t>
            </w:r>
          </w:p>
        </w:tc>
        <w:tc>
          <w:tcPr>
            <w:tcW w:w="1232" w:type="dxa"/>
            <w:vAlign w:val="center"/>
          </w:tcPr>
          <w:p>
            <w:pPr>
              <w:pStyle w:val="13"/>
            </w:pPr>
            <w:r>
              <w:t>131.01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131.01</w:t>
            </w:r>
          </w:p>
        </w:tc>
        <w:tc>
          <w:tcPr>
            <w:tcW w:w="1232" w:type="dxa"/>
            <w:vAlign w:val="center"/>
          </w:tcPr>
          <w:p>
            <w:pPr>
              <w:pStyle w:val="16"/>
            </w:pPr>
            <w:r>
              <w:t>本年支出合计</w:t>
            </w:r>
          </w:p>
        </w:tc>
        <w:tc>
          <w:tcPr>
            <w:tcW w:w="1232" w:type="dxa"/>
            <w:vAlign w:val="center"/>
          </w:tcPr>
          <w:p>
            <w:pPr>
              <w:pStyle w:val="17"/>
            </w:pPr>
            <w:r>
              <w:t>131.01</w:t>
            </w:r>
          </w:p>
        </w:tc>
        <w:tc>
          <w:tcPr>
            <w:tcW w:w="1232" w:type="dxa"/>
            <w:vAlign w:val="center"/>
          </w:tcPr>
          <w:p>
            <w:pPr>
              <w:pStyle w:val="17"/>
            </w:pPr>
            <w:r>
              <w:t>131.01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131.01</w:t>
            </w:r>
          </w:p>
        </w:tc>
        <w:tc>
          <w:tcPr>
            <w:tcW w:w="1232" w:type="dxa"/>
            <w:vAlign w:val="center"/>
          </w:tcPr>
          <w:p>
            <w:pPr>
              <w:pStyle w:val="16"/>
            </w:pPr>
            <w:r>
              <w:t>支出总计</w:t>
            </w:r>
          </w:p>
        </w:tc>
        <w:tc>
          <w:tcPr>
            <w:tcW w:w="1232" w:type="dxa"/>
            <w:vAlign w:val="center"/>
          </w:tcPr>
          <w:p>
            <w:pPr>
              <w:pStyle w:val="17"/>
            </w:pPr>
            <w:r>
              <w:t>131.01</w:t>
            </w:r>
          </w:p>
        </w:tc>
        <w:tc>
          <w:tcPr>
            <w:tcW w:w="1232" w:type="dxa"/>
            <w:vAlign w:val="center"/>
          </w:tcPr>
          <w:p>
            <w:pPr>
              <w:pStyle w:val="17"/>
            </w:pPr>
            <w:r>
              <w:t>131.01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131.01</w:t>
            </w:r>
          </w:p>
        </w:tc>
        <w:tc>
          <w:tcPr>
            <w:tcW w:w="1643" w:type="dxa"/>
            <w:vAlign w:val="center"/>
          </w:tcPr>
          <w:p>
            <w:pPr>
              <w:pStyle w:val="17"/>
            </w:pPr>
            <w:r>
              <w:t>125.01</w:t>
            </w:r>
          </w:p>
        </w:tc>
        <w:tc>
          <w:tcPr>
            <w:tcW w:w="1643"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131.01</w:t>
            </w:r>
          </w:p>
        </w:tc>
        <w:tc>
          <w:tcPr>
            <w:tcW w:w="1643" w:type="dxa"/>
            <w:vAlign w:val="center"/>
          </w:tcPr>
          <w:p>
            <w:pPr>
              <w:pStyle w:val="13"/>
            </w:pPr>
            <w:r>
              <w:t>125.01</w:t>
            </w: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20701</w:t>
            </w:r>
          </w:p>
        </w:tc>
        <w:tc>
          <w:tcPr>
            <w:tcW w:w="1643" w:type="dxa"/>
            <w:vAlign w:val="center"/>
          </w:tcPr>
          <w:p>
            <w:pPr>
              <w:pStyle w:val="14"/>
            </w:pPr>
            <w:r>
              <w:t>文化和旅游</w:t>
            </w:r>
          </w:p>
        </w:tc>
        <w:tc>
          <w:tcPr>
            <w:tcW w:w="1643" w:type="dxa"/>
            <w:vAlign w:val="center"/>
          </w:tcPr>
          <w:p>
            <w:pPr>
              <w:pStyle w:val="13"/>
            </w:pPr>
            <w:r>
              <w:t>131.01</w:t>
            </w:r>
          </w:p>
        </w:tc>
        <w:tc>
          <w:tcPr>
            <w:tcW w:w="1643" w:type="dxa"/>
            <w:vAlign w:val="center"/>
          </w:tcPr>
          <w:p>
            <w:pPr>
              <w:pStyle w:val="13"/>
            </w:pPr>
            <w:r>
              <w:t>125.01</w:t>
            </w: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2070101</w:t>
            </w:r>
          </w:p>
        </w:tc>
        <w:tc>
          <w:tcPr>
            <w:tcW w:w="1643" w:type="dxa"/>
            <w:vAlign w:val="center"/>
          </w:tcPr>
          <w:p>
            <w:pPr>
              <w:pStyle w:val="14"/>
            </w:pPr>
            <w:r>
              <w:t>行政运行</w:t>
            </w:r>
          </w:p>
        </w:tc>
        <w:tc>
          <w:tcPr>
            <w:tcW w:w="1643" w:type="dxa"/>
            <w:vAlign w:val="center"/>
          </w:tcPr>
          <w:p>
            <w:pPr>
              <w:pStyle w:val="13"/>
            </w:pPr>
            <w:r>
              <w:t>125.01</w:t>
            </w:r>
          </w:p>
        </w:tc>
        <w:tc>
          <w:tcPr>
            <w:tcW w:w="1643" w:type="dxa"/>
            <w:vAlign w:val="center"/>
          </w:tcPr>
          <w:p>
            <w:pPr>
              <w:pStyle w:val="13"/>
            </w:pPr>
            <w:r>
              <w:t>125.01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2070199</w:t>
            </w:r>
          </w:p>
        </w:tc>
        <w:tc>
          <w:tcPr>
            <w:tcW w:w="1643" w:type="dxa"/>
            <w:vAlign w:val="center"/>
          </w:tcPr>
          <w:p>
            <w:pPr>
              <w:pStyle w:val="14"/>
            </w:pPr>
            <w:r>
              <w:t>其他文化和旅游支出</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w:t>
            </w:r>
            <w:r>
              <w:rPr>
                <w:rFonts w:hint="eastAsia"/>
                <w:lang w:eastAsia="zh-CN"/>
              </w:rPr>
              <w:t>单位</w:t>
            </w:r>
            <w:r>
              <w:t>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125.01</w:t>
            </w:r>
          </w:p>
        </w:tc>
        <w:tc>
          <w:tcPr>
            <w:tcW w:w="1643" w:type="dxa"/>
            <w:vAlign w:val="center"/>
          </w:tcPr>
          <w:p>
            <w:pPr>
              <w:pStyle w:val="17"/>
            </w:pPr>
            <w:r>
              <w:t>112.89</w:t>
            </w:r>
          </w:p>
        </w:tc>
        <w:tc>
          <w:tcPr>
            <w:tcW w:w="1643" w:type="dxa"/>
            <w:vAlign w:val="center"/>
          </w:tcPr>
          <w:p>
            <w:pPr>
              <w:pStyle w:val="17"/>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112.89</w:t>
            </w:r>
          </w:p>
        </w:tc>
        <w:tc>
          <w:tcPr>
            <w:tcW w:w="1643" w:type="dxa"/>
            <w:vAlign w:val="center"/>
          </w:tcPr>
          <w:p>
            <w:pPr>
              <w:pStyle w:val="13"/>
            </w:pPr>
            <w:r>
              <w:t>112.89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29.12</w:t>
            </w:r>
          </w:p>
        </w:tc>
        <w:tc>
          <w:tcPr>
            <w:tcW w:w="1643" w:type="dxa"/>
            <w:vAlign w:val="center"/>
          </w:tcPr>
          <w:p>
            <w:pPr>
              <w:pStyle w:val="13"/>
            </w:pPr>
            <w:r>
              <w:t>29.12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30.43</w:t>
            </w:r>
          </w:p>
        </w:tc>
        <w:tc>
          <w:tcPr>
            <w:tcW w:w="1643" w:type="dxa"/>
            <w:vAlign w:val="center"/>
          </w:tcPr>
          <w:p>
            <w:pPr>
              <w:pStyle w:val="13"/>
            </w:pPr>
            <w:r>
              <w:t>30.43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2.43</w:t>
            </w:r>
          </w:p>
        </w:tc>
        <w:tc>
          <w:tcPr>
            <w:tcW w:w="1643" w:type="dxa"/>
            <w:vAlign w:val="center"/>
          </w:tcPr>
          <w:p>
            <w:pPr>
              <w:pStyle w:val="13"/>
            </w:pPr>
            <w:r>
              <w:t>2.43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15.76</w:t>
            </w:r>
          </w:p>
        </w:tc>
        <w:tc>
          <w:tcPr>
            <w:tcW w:w="1643" w:type="dxa"/>
            <w:vAlign w:val="center"/>
          </w:tcPr>
          <w:p>
            <w:pPr>
              <w:pStyle w:val="13"/>
            </w:pPr>
            <w:r>
              <w:t>15.76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12.96</w:t>
            </w:r>
          </w:p>
        </w:tc>
        <w:tc>
          <w:tcPr>
            <w:tcW w:w="1643" w:type="dxa"/>
            <w:vAlign w:val="center"/>
          </w:tcPr>
          <w:p>
            <w:pPr>
              <w:pStyle w:val="13"/>
            </w:pPr>
            <w:r>
              <w:t>12.96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4.58</w:t>
            </w:r>
          </w:p>
        </w:tc>
        <w:tc>
          <w:tcPr>
            <w:tcW w:w="1643" w:type="dxa"/>
            <w:vAlign w:val="center"/>
          </w:tcPr>
          <w:p>
            <w:pPr>
              <w:pStyle w:val="13"/>
            </w:pPr>
            <w:r>
              <w:t>4.58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3.54</w:t>
            </w:r>
          </w:p>
        </w:tc>
        <w:tc>
          <w:tcPr>
            <w:tcW w:w="1643" w:type="dxa"/>
            <w:vAlign w:val="center"/>
          </w:tcPr>
          <w:p>
            <w:pPr>
              <w:pStyle w:val="13"/>
            </w:pPr>
            <w:r>
              <w:t>3.54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4.36</w:t>
            </w:r>
          </w:p>
        </w:tc>
        <w:tc>
          <w:tcPr>
            <w:tcW w:w="1643" w:type="dxa"/>
            <w:vAlign w:val="center"/>
          </w:tcPr>
          <w:p>
            <w:pPr>
              <w:pStyle w:val="13"/>
            </w:pPr>
            <w:r>
              <w:t>4.36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9.72</w:t>
            </w:r>
          </w:p>
        </w:tc>
        <w:tc>
          <w:tcPr>
            <w:tcW w:w="1643" w:type="dxa"/>
            <w:vAlign w:val="center"/>
          </w:tcPr>
          <w:p>
            <w:pPr>
              <w:pStyle w:val="13"/>
            </w:pPr>
            <w:r>
              <w:t>9.72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12.12</w:t>
            </w:r>
          </w:p>
        </w:tc>
        <w:tc>
          <w:tcPr>
            <w:tcW w:w="1643" w:type="dxa"/>
            <w:vAlign w:val="center"/>
          </w:tcPr>
          <w:p>
            <w:pPr>
              <w:pStyle w:val="13"/>
            </w:pPr>
          </w:p>
        </w:tc>
        <w:tc>
          <w:tcPr>
            <w:tcW w:w="1643" w:type="dxa"/>
            <w:vAlign w:val="center"/>
          </w:tcPr>
          <w:p>
            <w:pPr>
              <w:pStyle w:val="13"/>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2.40</w:t>
            </w:r>
          </w:p>
        </w:tc>
        <w:tc>
          <w:tcPr>
            <w:tcW w:w="1643" w:type="dxa"/>
            <w:vAlign w:val="center"/>
          </w:tcPr>
          <w:p>
            <w:pPr>
              <w:pStyle w:val="13"/>
            </w:pPr>
          </w:p>
        </w:tc>
        <w:tc>
          <w:tcPr>
            <w:tcW w:w="1643"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3.50</w:t>
            </w:r>
          </w:p>
        </w:tc>
        <w:tc>
          <w:tcPr>
            <w:tcW w:w="1643" w:type="dxa"/>
            <w:vAlign w:val="center"/>
          </w:tcPr>
          <w:p>
            <w:pPr>
              <w:pStyle w:val="13"/>
            </w:pPr>
          </w:p>
        </w:tc>
        <w:tc>
          <w:tcPr>
            <w:tcW w:w="1643"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0.78</w:t>
            </w:r>
          </w:p>
        </w:tc>
        <w:tc>
          <w:tcPr>
            <w:tcW w:w="1643" w:type="dxa"/>
            <w:vAlign w:val="center"/>
          </w:tcPr>
          <w:p>
            <w:pPr>
              <w:pStyle w:val="13"/>
            </w:pPr>
          </w:p>
        </w:tc>
        <w:tc>
          <w:tcPr>
            <w:tcW w:w="1643" w:type="dxa"/>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0.73</w:t>
            </w:r>
          </w:p>
        </w:tc>
        <w:tc>
          <w:tcPr>
            <w:tcW w:w="1643" w:type="dxa"/>
            <w:vAlign w:val="center"/>
          </w:tcPr>
          <w:p>
            <w:pPr>
              <w:pStyle w:val="13"/>
            </w:pPr>
          </w:p>
        </w:tc>
        <w:tc>
          <w:tcPr>
            <w:tcW w:w="1643" w:type="dxa"/>
            <w:vAlign w:val="center"/>
          </w:tcPr>
          <w:p>
            <w:pPr>
              <w:pStyle w:val="13"/>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4.62</w:t>
            </w:r>
          </w:p>
        </w:tc>
        <w:tc>
          <w:tcPr>
            <w:tcW w:w="1643" w:type="dxa"/>
            <w:vAlign w:val="center"/>
          </w:tcPr>
          <w:p>
            <w:pPr>
              <w:pStyle w:val="13"/>
            </w:pPr>
          </w:p>
        </w:tc>
        <w:tc>
          <w:tcPr>
            <w:tcW w:w="1643" w:type="dxa"/>
            <w:vAlign w:val="center"/>
          </w:tcPr>
          <w:p>
            <w:pPr>
              <w:pStyle w:val="13"/>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0.08</w:t>
            </w:r>
          </w:p>
        </w:tc>
        <w:tc>
          <w:tcPr>
            <w:tcW w:w="1643" w:type="dxa"/>
            <w:vAlign w:val="center"/>
          </w:tcPr>
          <w:p>
            <w:pPr>
              <w:pStyle w:val="13"/>
            </w:pPr>
          </w:p>
        </w:tc>
        <w:tc>
          <w:tcPr>
            <w:tcW w:w="1643" w:type="dxa"/>
            <w:vAlign w:val="center"/>
          </w:tcPr>
          <w:p>
            <w:pPr>
              <w:pStyle w:val="13"/>
            </w:pPr>
            <w:r>
              <w:t>0.08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bookmarkStart w:id="1" w:name="_GoBack"/>
      <w:bookmarkEnd w:id="1"/>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石家庄市藁城区文学艺术界联合会本级2023年单位预算信息公开情况说明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预算法》、《地方预决算公开操作规程》和《关于进一步推进预算公开工作的实施意见》规定，现将石家庄市藁城区文学艺术界联合会本级2023年单位预算公开如下：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主要职责：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pPr>
        <w:pStyle w:val="27"/>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石家庄市藁城区文学艺术界联合会本级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pPr>
        <w:pStyle w:val="28"/>
      </w:pPr>
      <w:r>
        <w:t>1、收入说明</w:t>
      </w:r>
    </w:p>
    <w:p>
      <w:pPr>
        <w:pStyle w:val="28"/>
      </w:pPr>
      <w:r>
        <w:t>反映本单位当年全部收入。2023年预算收入131.01万元，其中：一般公共预算收入131.01万元，基金预算收入0万元，财政专户核拨收入0万元，其他来源收入0万元。</w:t>
      </w:r>
    </w:p>
    <w:p>
      <w:pPr>
        <w:pStyle w:val="28"/>
      </w:pPr>
    </w:p>
    <w:p>
      <w:pPr>
        <w:pStyle w:val="28"/>
      </w:pPr>
      <w:r>
        <w:t>2、支出说明</w:t>
      </w:r>
    </w:p>
    <w:p>
      <w:pPr>
        <w:pStyle w:val="28"/>
      </w:pPr>
      <w:r>
        <w:t>收支预算总表支出栏、基本支出表、项目支出表按经济分类和支出功能分类科目编制，反映本单位预算中支出预算的总体情况。2023年单位支出预算为131.01万元，其中基本支出125.01万元，包括人员经费112.89万元和日常公用经费12.12万元；项目支出6万元，主要为文艺联络交流经费6万元；其他支出0万元。</w:t>
      </w:r>
    </w:p>
    <w:p>
      <w:pPr>
        <w:pStyle w:val="28"/>
      </w:pPr>
    </w:p>
    <w:p>
      <w:pPr>
        <w:pStyle w:val="28"/>
      </w:pPr>
      <w:r>
        <w:t>3、比上年增减情况</w:t>
      </w:r>
    </w:p>
    <w:p>
      <w:pPr>
        <w:pStyle w:val="28"/>
      </w:pPr>
      <w:r>
        <w:t>2023年单位预算收支安排131.01万元，较2022年减少10.2万元，其中：基本支出减少9.96万元，主要是人员减少，相应减少人员经费和日常公用经费；项目支出减少0.24万元，主要是减少了文联办公经费1个项目；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12.12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ind w:left="0" w:leftChars="0" w:firstLine="560" w:firstLineChars="20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1、文艺联络交流经费绩效目标表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1.目标内容1加强文艺家协会组织建设,组织联络会议，组织会员活动，培养文艺人才。组织各种文艺活动。组织文艺理论研讨和学术交流工作</w:t>
            </w:r>
          </w:p>
          <w:p>
            <w:pPr>
              <w:pStyle w:val="14"/>
            </w:pPr>
            <w:r>
              <w:t>2.目标内容2开展文艺家艺术创作，完善文艺精品扶持和奖励机制，打造文艺精品，推动文化强区建设。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组织活动的场次</w:t>
            </w:r>
          </w:p>
        </w:tc>
        <w:tc>
          <w:tcPr>
            <w:tcW w:w="2466" w:type="dxa"/>
            <w:vAlign w:val="center"/>
          </w:tcPr>
          <w:p>
            <w:pPr>
              <w:pStyle w:val="14"/>
            </w:pPr>
            <w:r>
              <w:t>举办各艺术门类业务活动场次</w:t>
            </w:r>
          </w:p>
        </w:tc>
        <w:tc>
          <w:tcPr>
            <w:tcW w:w="2466" w:type="dxa"/>
            <w:vAlign w:val="center"/>
          </w:tcPr>
          <w:p>
            <w:pPr>
              <w:pStyle w:val="14"/>
            </w:pPr>
            <w:r>
              <w:t>≥8次数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组织艺术家创作次数</w:t>
            </w:r>
          </w:p>
        </w:tc>
        <w:tc>
          <w:tcPr>
            <w:tcW w:w="2466" w:type="dxa"/>
            <w:vAlign w:val="center"/>
          </w:tcPr>
          <w:p>
            <w:pPr>
              <w:pStyle w:val="14"/>
            </w:pPr>
            <w:r>
              <w:t>艺术创作次数</w:t>
            </w:r>
          </w:p>
        </w:tc>
        <w:tc>
          <w:tcPr>
            <w:tcW w:w="2466" w:type="dxa"/>
            <w:vAlign w:val="center"/>
          </w:tcPr>
          <w:p>
            <w:pPr>
              <w:pStyle w:val="14"/>
            </w:pPr>
            <w:r>
              <w:t>≥3次数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组织研讨推介活动次数</w:t>
            </w:r>
          </w:p>
        </w:tc>
        <w:tc>
          <w:tcPr>
            <w:tcW w:w="2466" w:type="dxa"/>
            <w:vAlign w:val="center"/>
          </w:tcPr>
          <w:p>
            <w:pPr>
              <w:pStyle w:val="14"/>
            </w:pPr>
            <w:r>
              <w:t>组织活动次数</w:t>
            </w:r>
          </w:p>
        </w:tc>
        <w:tc>
          <w:tcPr>
            <w:tcW w:w="2466" w:type="dxa"/>
            <w:vAlign w:val="center"/>
          </w:tcPr>
          <w:p>
            <w:pPr>
              <w:pStyle w:val="14"/>
            </w:pPr>
            <w:r>
              <w:t>≥2次数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媒体宣传、信息数量(篇)</w:t>
            </w:r>
          </w:p>
        </w:tc>
        <w:tc>
          <w:tcPr>
            <w:tcW w:w="2466" w:type="dxa"/>
            <w:vAlign w:val="center"/>
          </w:tcPr>
          <w:p>
            <w:pPr>
              <w:pStyle w:val="14"/>
            </w:pPr>
            <w:r>
              <w:t>对外宣传信息的篇幅</w:t>
            </w:r>
          </w:p>
        </w:tc>
        <w:tc>
          <w:tcPr>
            <w:tcW w:w="2466" w:type="dxa"/>
            <w:vAlign w:val="center"/>
          </w:tcPr>
          <w:p>
            <w:pPr>
              <w:pStyle w:val="14"/>
            </w:pPr>
            <w:r>
              <w:t>≥4篇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组织对外、民间文化交流次数</w:t>
            </w:r>
          </w:p>
        </w:tc>
        <w:tc>
          <w:tcPr>
            <w:tcW w:w="2466" w:type="dxa"/>
            <w:vAlign w:val="center"/>
          </w:tcPr>
          <w:p>
            <w:pPr>
              <w:pStyle w:val="14"/>
            </w:pPr>
            <w:r>
              <w:t>组织对外、民间文化交流次数</w:t>
            </w:r>
          </w:p>
        </w:tc>
        <w:tc>
          <w:tcPr>
            <w:tcW w:w="2466" w:type="dxa"/>
            <w:vAlign w:val="center"/>
          </w:tcPr>
          <w:p>
            <w:pPr>
              <w:pStyle w:val="14"/>
            </w:pPr>
            <w:r>
              <w:t>≥3次数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文艺精品生产数量</w:t>
            </w:r>
          </w:p>
        </w:tc>
        <w:tc>
          <w:tcPr>
            <w:tcW w:w="2466" w:type="dxa"/>
            <w:vAlign w:val="center"/>
          </w:tcPr>
          <w:p>
            <w:pPr>
              <w:pStyle w:val="14"/>
            </w:pPr>
            <w:r>
              <w:t>生产文艺精品的数量</w:t>
            </w:r>
          </w:p>
        </w:tc>
        <w:tc>
          <w:tcPr>
            <w:tcW w:w="2466" w:type="dxa"/>
            <w:vAlign w:val="center"/>
          </w:tcPr>
          <w:p>
            <w:pPr>
              <w:pStyle w:val="14"/>
            </w:pPr>
            <w:r>
              <w:t>≥1个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文艺研修教育人数</w:t>
            </w:r>
          </w:p>
        </w:tc>
        <w:tc>
          <w:tcPr>
            <w:tcW w:w="2466" w:type="dxa"/>
            <w:vAlign w:val="center"/>
          </w:tcPr>
          <w:p>
            <w:pPr>
              <w:pStyle w:val="14"/>
            </w:pPr>
            <w:r>
              <w:t>参加省市文艺研修及教育的人数</w:t>
            </w:r>
          </w:p>
        </w:tc>
        <w:tc>
          <w:tcPr>
            <w:tcW w:w="2466" w:type="dxa"/>
            <w:vAlign w:val="center"/>
          </w:tcPr>
          <w:p>
            <w:pPr>
              <w:pStyle w:val="14"/>
            </w:pPr>
            <w:r>
              <w:t>≥2人数</w:t>
            </w:r>
          </w:p>
        </w:tc>
        <w:tc>
          <w:tcPr>
            <w:tcW w:w="2466" w:type="dxa"/>
            <w:vAlign w:val="center"/>
          </w:tcPr>
          <w:p>
            <w:pPr>
              <w:pStyle w:val="14"/>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文艺人才资源库人数</w:t>
            </w:r>
          </w:p>
        </w:tc>
        <w:tc>
          <w:tcPr>
            <w:tcW w:w="2466" w:type="dxa"/>
            <w:vAlign w:val="center"/>
          </w:tcPr>
          <w:p>
            <w:pPr>
              <w:pStyle w:val="14"/>
            </w:pPr>
            <w:r>
              <w:t>被省市文艺人才网资源库纳入的艺术家人数</w:t>
            </w:r>
          </w:p>
        </w:tc>
        <w:tc>
          <w:tcPr>
            <w:tcW w:w="2466" w:type="dxa"/>
            <w:vAlign w:val="center"/>
          </w:tcPr>
          <w:p>
            <w:pPr>
              <w:pStyle w:val="14"/>
            </w:pPr>
            <w:r>
              <w:t>≥2人数</w:t>
            </w:r>
          </w:p>
        </w:tc>
        <w:tc>
          <w:tcPr>
            <w:tcW w:w="2466" w:type="dxa"/>
            <w:vAlign w:val="center"/>
          </w:tcPr>
          <w:p>
            <w:pPr>
              <w:pStyle w:val="14"/>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综合事务完成率</w:t>
            </w:r>
          </w:p>
        </w:tc>
        <w:tc>
          <w:tcPr>
            <w:tcW w:w="2466" w:type="dxa"/>
            <w:vAlign w:val="center"/>
          </w:tcPr>
          <w:p>
            <w:pPr>
              <w:pStyle w:val="14"/>
            </w:pPr>
            <w:r>
              <w:t>综合事务管理工作完成情况，保证机关工作有序正常高效运转。</w:t>
            </w:r>
          </w:p>
        </w:tc>
        <w:tc>
          <w:tcPr>
            <w:tcW w:w="2466" w:type="dxa"/>
            <w:vAlign w:val="center"/>
          </w:tcPr>
          <w:p>
            <w:pPr>
              <w:pStyle w:val="14"/>
            </w:pPr>
            <w:r>
              <w:t>≥95%</w:t>
            </w:r>
          </w:p>
        </w:tc>
        <w:tc>
          <w:tcPr>
            <w:tcW w:w="2466" w:type="dxa"/>
            <w:vAlign w:val="center"/>
          </w:tcPr>
          <w:p>
            <w:pPr>
              <w:pStyle w:val="14"/>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计划完成率</w:t>
            </w:r>
          </w:p>
        </w:tc>
        <w:tc>
          <w:tcPr>
            <w:tcW w:w="2466" w:type="dxa"/>
            <w:vAlign w:val="center"/>
          </w:tcPr>
          <w:p>
            <w:pPr>
              <w:pStyle w:val="14"/>
            </w:pPr>
            <w:r>
              <w:t>按要求完成各项文艺活动计划</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不超过财政支持经费规模</w:t>
            </w:r>
          </w:p>
        </w:tc>
        <w:tc>
          <w:tcPr>
            <w:tcW w:w="2466" w:type="dxa"/>
            <w:vAlign w:val="center"/>
          </w:tcPr>
          <w:p>
            <w:pPr>
              <w:pStyle w:val="14"/>
            </w:pPr>
            <w:r>
              <w:t>≤100%</w:t>
            </w:r>
          </w:p>
        </w:tc>
        <w:tc>
          <w:tcPr>
            <w:tcW w:w="2466" w:type="dxa"/>
            <w:vAlign w:val="center"/>
          </w:tcPr>
          <w:p>
            <w:pPr>
              <w:pStyle w:val="14"/>
            </w:pPr>
            <w:r>
              <w:t>财政审核数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宣传文化提高人民文化水平</w:t>
            </w:r>
          </w:p>
        </w:tc>
        <w:tc>
          <w:tcPr>
            <w:tcW w:w="2466" w:type="dxa"/>
            <w:vAlign w:val="center"/>
          </w:tcPr>
          <w:p>
            <w:pPr>
              <w:pStyle w:val="14"/>
            </w:pPr>
            <w:r>
              <w:t>通过演出文化培训创作优秀作品交流等，达到丰富人民精神生活，弘扬社会主义核心价值观，增强文化自信，不断满足群众日益增长的精神文化生活需要</w:t>
            </w:r>
          </w:p>
        </w:tc>
        <w:tc>
          <w:tcPr>
            <w:tcW w:w="2466" w:type="dxa"/>
            <w:vAlign w:val="center"/>
          </w:tcPr>
          <w:p>
            <w:pPr>
              <w:pStyle w:val="14"/>
            </w:pPr>
            <w:r>
              <w:t>宣传文化提高人民文化水平</w:t>
            </w:r>
          </w:p>
        </w:tc>
        <w:tc>
          <w:tcPr>
            <w:tcW w:w="2466" w:type="dxa"/>
            <w:vAlign w:val="center"/>
          </w:tcPr>
          <w:p>
            <w:pPr>
              <w:pStyle w:val="14"/>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对群众进行走访调查谈心了解满意程度</w:t>
            </w:r>
          </w:p>
        </w:tc>
        <w:tc>
          <w:tcPr>
            <w:tcW w:w="2466" w:type="dxa"/>
            <w:vAlign w:val="center"/>
          </w:tcPr>
          <w:p>
            <w:pPr>
              <w:pStyle w:val="14"/>
            </w:pPr>
            <w:r>
              <w:t>≥90</w:t>
            </w:r>
          </w:p>
        </w:tc>
        <w:tc>
          <w:tcPr>
            <w:tcW w:w="2466" w:type="dxa"/>
            <w:vAlign w:val="center"/>
          </w:tcPr>
          <w:p>
            <w:pPr>
              <w:pStyle w:val="14"/>
            </w:pPr>
            <w:r>
              <w:t>根据上级要求</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2023年，石家庄市藁城区文学艺术界联合会本级安排政府采购预算0.00万元。具体内容见下表。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w:t>
            </w:r>
            <w:r>
              <w:rPr>
                <w:rFonts w:hint="eastAsia"/>
                <w:lang w:eastAsia="zh-CN"/>
              </w:rPr>
              <w:t>单位</w:t>
            </w:r>
            <w:r>
              <w:t>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石家庄市藁城区文学艺术界联合会本级上年末固定资产金额为28.69万元（详见下表）。本年度拟购置固定资产总额为0.00万元，已按要求列入政府采购预算，详见政府采购预算表。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28.69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650844"/>
    <w:rsid w:val="1B7F641C"/>
    <w:rsid w:val="214438FB"/>
    <w:rsid w:val="23920598"/>
    <w:rsid w:val="25005943"/>
    <w:rsid w:val="282E759B"/>
    <w:rsid w:val="2D0C12F4"/>
    <w:rsid w:val="338A50D2"/>
    <w:rsid w:val="3C406CD3"/>
    <w:rsid w:val="49C83C6D"/>
    <w:rsid w:val="4D2C0032"/>
    <w:rsid w:val="4FDF025A"/>
    <w:rsid w:val="55E27D7C"/>
    <w:rsid w:val="57DA2F48"/>
    <w:rsid w:val="5E624506"/>
    <w:rsid w:val="626B54B5"/>
    <w:rsid w:val="65376BBA"/>
    <w:rsid w:val="6A6D5CA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2023-01-31T12:32:57Z</dcterms:created>
  <dcterms:modified xsi:type="dcterms:W3CDTF">2023-01-31T04:32:57Z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2023-01-31T12:32:56Z</dcterms:created>
  <dcterms:modified xsi:type="dcterms:W3CDTF">2023-01-31T04:32:55Z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2023-01-31T12:32:46Z</dcterms:created>
  <dcterms:modified xsi:type="dcterms:W3CDTF">2023-01-31T04:32:46Z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2023-01-31T12:32:55Z</dcterms:created>
  <dcterms:modified xsi:type="dcterms:W3CDTF">2023-01-31T04:32:55Z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2023-01-31T12:32:48Z</dcterms:created>
  <dcterms:modified xsi:type="dcterms:W3CDTF">2023-01-31T04:32:48Z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2023-01-31T12:32:47Z</dcterms:created>
  <dcterms:modified xsi:type="dcterms:W3CDTF">2023-01-31T04:32:47Z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2023-01-31T12:32:47Z</dcterms:created>
  <dcterms:modified xsi:type="dcterms:W3CDTF">2023-01-31T04:32:47Z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1c03458-ee00-47d7-9d8c-cfdc55162df7}">
  <ds:schemaRefs/>
</ds:datastoreItem>
</file>

<file path=customXml/itemProps11.xml><?xml version="1.0" encoding="utf-8"?>
<ds:datastoreItem xmlns:ds="http://schemas.openxmlformats.org/officeDocument/2006/customXml" ds:itemID="{64eab258-f272-4892-8e16-606374e2776a}">
  <ds:schemaRefs/>
</ds:datastoreItem>
</file>

<file path=customXml/itemProps12.xml><?xml version="1.0" encoding="utf-8"?>
<ds:datastoreItem xmlns:ds="http://schemas.openxmlformats.org/officeDocument/2006/customXml" ds:itemID="{580c18e7-95d4-470e-80f0-24ebe5c551a3}">
  <ds:schemaRefs/>
</ds:datastoreItem>
</file>

<file path=customXml/itemProps13.xml><?xml version="1.0" encoding="utf-8"?>
<ds:datastoreItem xmlns:ds="http://schemas.openxmlformats.org/officeDocument/2006/customXml" ds:itemID="{13e69ffe-0b5e-4f26-bd9b-f6a4c94f7b85}">
  <ds:schemaRefs/>
</ds:datastoreItem>
</file>

<file path=customXml/itemProps14.xml><?xml version="1.0" encoding="utf-8"?>
<ds:datastoreItem xmlns:ds="http://schemas.openxmlformats.org/officeDocument/2006/customXml" ds:itemID="{84b55a82-6b07-4a53-9dec-4412f4a3f087}">
  <ds:schemaRefs/>
</ds:datastoreItem>
</file>

<file path=customXml/itemProps15.xml><?xml version="1.0" encoding="utf-8"?>
<ds:datastoreItem xmlns:ds="http://schemas.openxmlformats.org/officeDocument/2006/customXml" ds:itemID="{cb382db2-bee6-49c2-9b07-d8fb7cee786d}">
  <ds:schemaRefs/>
</ds:datastoreItem>
</file>

<file path=customXml/itemProps2.xml><?xml version="1.0" encoding="utf-8"?>
<ds:datastoreItem xmlns:ds="http://schemas.openxmlformats.org/officeDocument/2006/customXml" ds:itemID="{c446a05b-6f63-44e3-85f3-c63ddcc640ea}">
  <ds:schemaRefs/>
</ds:datastoreItem>
</file>

<file path=customXml/itemProps3.xml><?xml version="1.0" encoding="utf-8"?>
<ds:datastoreItem xmlns:ds="http://schemas.openxmlformats.org/officeDocument/2006/customXml" ds:itemID="{bd857208-0916-4993-837c-b7a7f3f585b0}">
  <ds:schemaRefs/>
</ds:datastoreItem>
</file>

<file path=customXml/itemProps4.xml><?xml version="1.0" encoding="utf-8"?>
<ds:datastoreItem xmlns:ds="http://schemas.openxmlformats.org/officeDocument/2006/customXml" ds:itemID="{1d11e16f-764b-4c55-8540-f9575a0c4fa0}">
  <ds:schemaRefs/>
</ds:datastoreItem>
</file>

<file path=customXml/itemProps5.xml><?xml version="1.0" encoding="utf-8"?>
<ds:datastoreItem xmlns:ds="http://schemas.openxmlformats.org/officeDocument/2006/customXml" ds:itemID="{0ac3d6e6-1605-4f15-80ba-6d68582ddfb9}">
  <ds:schemaRefs/>
</ds:datastoreItem>
</file>

<file path=customXml/itemProps6.xml><?xml version="1.0" encoding="utf-8"?>
<ds:datastoreItem xmlns:ds="http://schemas.openxmlformats.org/officeDocument/2006/customXml" ds:itemID="{bccc55ff-9787-45f9-964b-0f65207e74ef}">
  <ds:schemaRefs/>
</ds:datastoreItem>
</file>

<file path=customXml/itemProps7.xml><?xml version="1.0" encoding="utf-8"?>
<ds:datastoreItem xmlns:ds="http://schemas.openxmlformats.org/officeDocument/2006/customXml" ds:itemID="{d1ebb526-1cb2-4de9-b03b-8e8b98d05dbb}">
  <ds:schemaRefs/>
</ds:datastoreItem>
</file>

<file path=customXml/itemProps8.xml><?xml version="1.0" encoding="utf-8"?>
<ds:datastoreItem xmlns:ds="http://schemas.openxmlformats.org/officeDocument/2006/customXml" ds:itemID="{afcc510e-b550-43ea-81a9-fe0045e64d8e}">
  <ds:schemaRefs/>
</ds:datastoreItem>
</file>

<file path=customXml/itemProps9.xml><?xml version="1.0" encoding="utf-8"?>
<ds:datastoreItem xmlns:ds="http://schemas.openxmlformats.org/officeDocument/2006/customXml" ds:itemID="{da965374-fe65-46b2-983c-260f7290e0af}">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2023-01-31T12:32:00Z</dcterms:created>
  <dc:creator>Administrator</dc:creator>
  <cp:lastModifiedBy>Administrator</cp:lastModifiedBy>
  <dcterms:modified xsi:type="dcterms:W3CDTF">2024-09-14T07:41:24Z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