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lang w:eastAsia="zh-CN"/>
        </w:rPr>
        <w:t>石家庄市藁城区残疾人联合会</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202</w:t>
      </w:r>
      <w:r>
        <w:rPr>
          <w:rFonts w:hint="eastAsia" w:ascii="方正小标宋简体" w:hAnsi="方正小标宋简体" w:eastAsia="方正小标宋简体" w:cs="方正小标宋简体"/>
          <w:b w:val="0"/>
          <w:bCs w:val="0"/>
          <w:sz w:val="44"/>
          <w:szCs w:val="44"/>
          <w:lang w:val="en-US" w:eastAsia="zh-CN"/>
        </w:rPr>
        <w:t>3</w:t>
      </w:r>
      <w:r>
        <w:rPr>
          <w:rFonts w:hint="eastAsia" w:ascii="方正小标宋简体" w:hAnsi="方正小标宋简体" w:eastAsia="方正小标宋简体" w:cs="方正小标宋简体"/>
          <w:b w:val="0"/>
          <w:bCs w:val="0"/>
          <w:sz w:val="44"/>
          <w:szCs w:val="44"/>
        </w:rPr>
        <w:t>年度整体支出绩效自评工作报告</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则，对藁城区残联部门202</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lang w:eastAsia="zh-CN"/>
        </w:rPr>
        <w:t>年整体支出情况实施了财政支出绩效自评价，形成本评价报告。</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pPr>
        <w:snapToGrid w:val="0"/>
        <w:spacing w:line="520" w:lineRule="exact"/>
        <w:ind w:firstLine="640" w:firstLineChars="200"/>
        <w:rPr>
          <w:rFonts w:hint="eastAsia" w:ascii="仿宋_GB2312" w:hAnsi="仿宋" w:eastAsia="仿宋_GB2312"/>
          <w:sz w:val="32"/>
          <w:szCs w:val="32"/>
          <w:lang w:val="en-US" w:eastAsia="zh-CN"/>
        </w:rPr>
      </w:pPr>
      <w:r>
        <w:rPr>
          <w:rFonts w:hint="eastAsia" w:ascii="仿宋_GB2312" w:hAnsi="仿宋" w:eastAsia="仿宋_GB2312"/>
          <w:sz w:val="32"/>
          <w:szCs w:val="32"/>
          <w:lang w:val="en-US" w:eastAsia="zh-CN"/>
        </w:rPr>
        <w:t>1.</w:t>
      </w:r>
      <w:r>
        <w:rPr>
          <w:rFonts w:hint="eastAsia" w:ascii="仿宋_GB2312" w:hAnsi="仿宋" w:eastAsia="仿宋_GB2312"/>
          <w:sz w:val="32"/>
          <w:szCs w:val="32"/>
        </w:rPr>
        <w:t>主要职能</w:t>
      </w:r>
      <w:r>
        <w:rPr>
          <w:rFonts w:hint="eastAsia" w:ascii="仿宋_GB2312" w:hAnsi="仿宋" w:eastAsia="仿宋_GB2312"/>
          <w:sz w:val="32"/>
          <w:szCs w:val="32"/>
          <w:lang w:val="en-US" w:eastAsia="zh-CN"/>
        </w:rPr>
        <w:t>:</w:t>
      </w:r>
    </w:p>
    <w:p>
      <w:pPr>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(1)维护残疾人合法权益，听取残疾人意见，反应残疾人需求，为残疾人服务。</w:t>
      </w:r>
    </w:p>
    <w:p>
      <w:pPr>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(2)团结、教育残疾人遵守法律，履行应尽的义务，发扬乐观进取精神，自尊、自信、自强、自理，为社会主义建设贡献力量。</w:t>
      </w:r>
    </w:p>
    <w:p>
      <w:pPr>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(3)弘扬人道主义，宣传残疾人事业，沟通政府、社会与残疾人之间的联系，动员社会理解、尊重、关心、帮助残疾人。</w:t>
      </w:r>
    </w:p>
    <w:p>
      <w:pPr>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开展残疾人康复、教育、培训、劳动、就业、文化、体育、用品供应、福利、社会服务、脱贫、无障碍设施建设、改造和残疾预防工作，协调落实对残疾人的各种优惠政策，创造良好的环境和条件，扶助残疾人平等参与社会生活。</w:t>
      </w:r>
    </w:p>
    <w:p>
      <w:pPr>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(5)协助政府研究、制定和实施残疾人事业的地方性法规、政策、规划和计划，对有关业务领域进行指导和管理。</w:t>
      </w:r>
    </w:p>
    <w:p>
      <w:pPr>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(6)承担区政府残疾人工作协调委员会的日常工作，争做好综合组织、协调和服务。</w:t>
      </w:r>
    </w:p>
    <w:p>
      <w:pPr>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(7)指导、管理、协助各乡镇基层残联工作。</w:t>
      </w:r>
    </w:p>
    <w:p>
      <w:pPr>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(8)管理和指导各类残疾人社会团体和各专门协会工作。</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(9)承担区政府交办的其他工作。</w:t>
      </w:r>
    </w:p>
    <w:p>
      <w:pPr>
        <w:snapToGrid w:val="0"/>
        <w:spacing w:line="520" w:lineRule="exact"/>
        <w:ind w:firstLine="640" w:firstLineChars="200"/>
        <w:rPr>
          <w:rFonts w:hint="eastAsia" w:ascii="仿宋_GB2312" w:hAnsi="仿宋" w:eastAsia="仿宋_GB2312"/>
          <w:sz w:val="32"/>
          <w:szCs w:val="32"/>
          <w:lang w:val="en-US" w:eastAsia="zh-CN"/>
        </w:rPr>
      </w:pPr>
      <w:r>
        <w:rPr>
          <w:rFonts w:hint="eastAsia" w:ascii="仿宋_GB2312" w:hAnsi="仿宋" w:eastAsia="仿宋_GB2312"/>
          <w:sz w:val="32"/>
          <w:szCs w:val="32"/>
        </w:rPr>
        <w:t>2．机构情况</w:t>
      </w:r>
      <w:r>
        <w:rPr>
          <w:rFonts w:hint="eastAsia" w:ascii="仿宋_GB2312" w:hAnsi="仿宋" w:eastAsia="仿宋_GB2312"/>
          <w:sz w:val="32"/>
          <w:szCs w:val="32"/>
          <w:lang w:eastAsia="zh-CN"/>
        </w:rPr>
        <w:t>：我单位为群众团体，参照公务员管理事业单位</w:t>
      </w:r>
      <w:r>
        <w:rPr>
          <w:rFonts w:hint="eastAsia" w:ascii="仿宋_GB2312" w:hAnsi="仿宋" w:eastAsia="仿宋_GB2312"/>
          <w:sz w:val="32"/>
          <w:szCs w:val="32"/>
          <w:lang w:val="en-US" w:eastAsia="zh-CN"/>
        </w:rPr>
        <w:t>,内设综合办公室，设1名正职，2名副职，股级职数1名</w:t>
      </w:r>
      <w:r>
        <w:rPr>
          <w:rFonts w:hint="eastAsia" w:ascii="仿宋_GB2312" w:hAnsi="仿宋" w:eastAsia="仿宋_GB2312"/>
          <w:sz w:val="32"/>
          <w:szCs w:val="32"/>
          <w:lang w:eastAsia="zh-CN"/>
        </w:rPr>
        <w:t>。</w:t>
      </w:r>
    </w:p>
    <w:p>
      <w:pPr>
        <w:snapToGrid w:val="0"/>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3．人员情况</w:t>
      </w:r>
      <w:r>
        <w:rPr>
          <w:rFonts w:hint="eastAsia" w:ascii="仿宋_GB2312" w:hAnsi="仿宋" w:eastAsia="仿宋_GB2312"/>
          <w:sz w:val="32"/>
          <w:szCs w:val="32"/>
          <w:lang w:eastAsia="zh-CN"/>
        </w:rPr>
        <w:t>：</w:t>
      </w:r>
      <w:r>
        <w:rPr>
          <w:rFonts w:hint="eastAsia" w:ascii="仿宋_GB2312" w:hAnsi="仿宋_GB2312" w:eastAsia="仿宋_GB2312" w:cs="仿宋_GB2312"/>
          <w:sz w:val="32"/>
          <w:szCs w:val="32"/>
        </w:rPr>
        <w:t>年初</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人，年末</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人</w:t>
      </w:r>
      <w:r>
        <w:rPr>
          <w:rFonts w:hint="eastAsia" w:ascii="仿宋_GB2312" w:hAnsi="仿宋_GB2312" w:eastAsia="仿宋_GB2312" w:cs="仿宋_GB2312"/>
          <w:sz w:val="32"/>
          <w:szCs w:val="32"/>
          <w:lang w:eastAsia="zh-CN"/>
        </w:rPr>
        <w:t>，退休</w:t>
      </w:r>
      <w:r>
        <w:rPr>
          <w:rFonts w:hint="eastAsia" w:ascii="仿宋_GB2312" w:hAnsi="仿宋_GB2312" w:eastAsia="仿宋_GB2312" w:cs="仿宋_GB2312"/>
          <w:sz w:val="32"/>
          <w:szCs w:val="32"/>
          <w:lang w:val="en-US" w:eastAsia="zh-CN"/>
        </w:rPr>
        <w:t>1人</w:t>
      </w:r>
      <w:r>
        <w:rPr>
          <w:rFonts w:hint="eastAsia" w:ascii="仿宋_GB2312" w:hAnsi="仿宋_GB2312" w:eastAsia="仿宋_GB2312" w:cs="仿宋_GB2312"/>
          <w:sz w:val="32"/>
          <w:szCs w:val="32"/>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4.资产情况：截至2023年12月31日，我单位资产总额净值310.36万元，较上年减少18.89%。</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（二）部门收支预决算情况</w:t>
      </w:r>
    </w:p>
    <w:p>
      <w:pPr>
        <w:snapToGrid w:val="0"/>
        <w:spacing w:line="520" w:lineRule="exact"/>
        <w:ind w:firstLine="640" w:firstLineChars="200"/>
        <w:rPr>
          <w:rFonts w:hint="eastAsia" w:ascii="仿宋_GB2312" w:hAnsi="等线" w:eastAsia="仿宋_GB2312" w:cs="宋体"/>
          <w:kern w:val="0"/>
          <w:sz w:val="32"/>
          <w:szCs w:val="32"/>
          <w:lang w:eastAsia="zh-CN"/>
        </w:rPr>
      </w:pPr>
      <w:r>
        <w:rPr>
          <w:rFonts w:hint="eastAsia" w:ascii="仿宋_GB2312" w:hAnsi="等线" w:eastAsia="仿宋_GB2312" w:cs="宋体"/>
          <w:kern w:val="0"/>
          <w:sz w:val="32"/>
          <w:szCs w:val="32"/>
          <w:lang w:eastAsia="zh-CN"/>
        </w:rPr>
        <w:t>我部门</w:t>
      </w:r>
      <w:r>
        <w:rPr>
          <w:rFonts w:hint="eastAsia" w:ascii="仿宋_GB2312" w:hAnsi="等线" w:eastAsia="仿宋_GB2312" w:cs="宋体"/>
          <w:kern w:val="0"/>
          <w:sz w:val="32"/>
          <w:szCs w:val="32"/>
        </w:rPr>
        <w:t>202</w:t>
      </w:r>
      <w:r>
        <w:rPr>
          <w:rFonts w:hint="eastAsia" w:ascii="仿宋_GB2312" w:hAnsi="等线" w:eastAsia="仿宋_GB2312" w:cs="宋体"/>
          <w:kern w:val="0"/>
          <w:sz w:val="32"/>
          <w:szCs w:val="32"/>
          <w:lang w:val="en-US" w:eastAsia="zh-CN"/>
        </w:rPr>
        <w:t>3</w:t>
      </w:r>
      <w:r>
        <w:rPr>
          <w:rFonts w:hint="eastAsia" w:ascii="仿宋_GB2312" w:hAnsi="等线" w:eastAsia="仿宋_GB2312" w:cs="宋体"/>
          <w:kern w:val="0"/>
          <w:sz w:val="32"/>
          <w:szCs w:val="32"/>
        </w:rPr>
        <w:t>年度财政拨款收入</w:t>
      </w:r>
      <w:r>
        <w:rPr>
          <w:rFonts w:hint="eastAsia" w:ascii="仿宋_GB2312" w:hAnsi="等线" w:eastAsia="仿宋_GB2312" w:cs="宋体"/>
          <w:kern w:val="0"/>
          <w:sz w:val="32"/>
          <w:szCs w:val="32"/>
          <w:lang w:val="en-US" w:eastAsia="zh-CN"/>
        </w:rPr>
        <w:t>支出722.88132</w:t>
      </w:r>
      <w:r>
        <w:rPr>
          <w:rFonts w:hint="eastAsia" w:ascii="仿宋_GB2312" w:hAnsi="等线" w:eastAsia="仿宋_GB2312" w:cs="宋体"/>
          <w:kern w:val="0"/>
          <w:sz w:val="32"/>
          <w:szCs w:val="32"/>
        </w:rPr>
        <w:t>万元</w:t>
      </w:r>
      <w:r>
        <w:rPr>
          <w:rFonts w:hint="eastAsia" w:ascii="仿宋_GB2312" w:hAnsi="等线" w:eastAsia="仿宋_GB2312" w:cs="宋体"/>
          <w:kern w:val="0"/>
          <w:sz w:val="32"/>
          <w:szCs w:val="32"/>
          <w:lang w:eastAsia="zh-CN"/>
        </w:rPr>
        <w:t>。</w:t>
      </w:r>
      <w:r>
        <w:rPr>
          <w:rFonts w:hint="eastAsia" w:ascii="仿宋_GB2312" w:hAnsi="等线" w:eastAsia="仿宋_GB2312" w:cs="宋体"/>
          <w:kern w:val="0"/>
          <w:sz w:val="32"/>
          <w:szCs w:val="32"/>
        </w:rPr>
        <w:t>其中人员部分</w:t>
      </w:r>
      <w:r>
        <w:rPr>
          <w:rFonts w:hint="eastAsia" w:ascii="仿宋_GB2312" w:hAnsi="等线" w:eastAsia="仿宋_GB2312" w:cs="宋体"/>
          <w:kern w:val="0"/>
          <w:sz w:val="32"/>
          <w:szCs w:val="32"/>
          <w:lang w:val="en-US" w:eastAsia="zh-CN"/>
        </w:rPr>
        <w:t>166.13579</w:t>
      </w:r>
      <w:r>
        <w:rPr>
          <w:rFonts w:hint="eastAsia" w:ascii="仿宋_GB2312" w:hAnsi="等线" w:eastAsia="仿宋_GB2312" w:cs="宋体"/>
          <w:kern w:val="0"/>
          <w:sz w:val="32"/>
          <w:szCs w:val="32"/>
        </w:rPr>
        <w:t>万元，占比</w:t>
      </w:r>
      <w:r>
        <w:rPr>
          <w:rFonts w:hint="eastAsia" w:ascii="仿宋_GB2312" w:hAnsi="等线" w:eastAsia="仿宋_GB2312" w:cs="宋体"/>
          <w:kern w:val="0"/>
          <w:sz w:val="32"/>
          <w:szCs w:val="32"/>
          <w:lang w:val="en-US" w:eastAsia="zh-CN"/>
        </w:rPr>
        <w:t>22.98</w:t>
      </w:r>
      <w:r>
        <w:rPr>
          <w:rFonts w:hint="eastAsia" w:ascii="仿宋_GB2312" w:hAnsi="等线" w:eastAsia="仿宋_GB2312" w:cs="宋体"/>
          <w:kern w:val="0"/>
          <w:sz w:val="32"/>
          <w:szCs w:val="32"/>
        </w:rPr>
        <w:t>%</w:t>
      </w:r>
      <w:r>
        <w:rPr>
          <w:rFonts w:hint="eastAsia" w:ascii="仿宋_GB2312" w:hAnsi="等线" w:eastAsia="仿宋_GB2312" w:cs="宋体"/>
          <w:kern w:val="0"/>
          <w:sz w:val="32"/>
          <w:szCs w:val="32"/>
          <w:lang w:eastAsia="zh-CN"/>
        </w:rPr>
        <w:t>；</w:t>
      </w:r>
      <w:r>
        <w:rPr>
          <w:rFonts w:hint="eastAsia" w:ascii="仿宋_GB2312" w:hAnsi="等线" w:eastAsia="仿宋_GB2312" w:cs="宋体"/>
          <w:kern w:val="0"/>
          <w:sz w:val="32"/>
          <w:szCs w:val="32"/>
        </w:rPr>
        <w:t>公用部分</w:t>
      </w:r>
      <w:r>
        <w:rPr>
          <w:rFonts w:hint="eastAsia" w:ascii="仿宋_GB2312" w:hAnsi="等线" w:eastAsia="仿宋_GB2312" w:cs="宋体"/>
          <w:kern w:val="0"/>
          <w:sz w:val="32"/>
          <w:szCs w:val="32"/>
          <w:lang w:val="en-US" w:eastAsia="zh-CN"/>
        </w:rPr>
        <w:t>13.95895</w:t>
      </w:r>
      <w:r>
        <w:rPr>
          <w:rFonts w:hint="eastAsia" w:ascii="仿宋_GB2312" w:hAnsi="等线" w:eastAsia="仿宋_GB2312" w:cs="宋体"/>
          <w:kern w:val="0"/>
          <w:sz w:val="32"/>
          <w:szCs w:val="32"/>
        </w:rPr>
        <w:t>万元，占比</w:t>
      </w:r>
      <w:r>
        <w:rPr>
          <w:rFonts w:hint="eastAsia" w:ascii="仿宋_GB2312" w:hAnsi="等线" w:eastAsia="仿宋_GB2312" w:cs="宋体"/>
          <w:kern w:val="0"/>
          <w:sz w:val="32"/>
          <w:szCs w:val="32"/>
          <w:lang w:val="en-US" w:eastAsia="zh-CN"/>
        </w:rPr>
        <w:t>1.93</w:t>
      </w:r>
      <w:r>
        <w:rPr>
          <w:rFonts w:hint="eastAsia" w:ascii="仿宋_GB2312" w:hAnsi="等线" w:eastAsia="仿宋_GB2312" w:cs="宋体"/>
          <w:kern w:val="0"/>
          <w:sz w:val="32"/>
          <w:szCs w:val="32"/>
        </w:rPr>
        <w:t>%</w:t>
      </w:r>
      <w:r>
        <w:rPr>
          <w:rFonts w:hint="eastAsia" w:ascii="仿宋_GB2312" w:hAnsi="等线" w:eastAsia="仿宋_GB2312" w:cs="宋体"/>
          <w:kern w:val="0"/>
          <w:sz w:val="32"/>
          <w:szCs w:val="32"/>
          <w:lang w:eastAsia="zh-CN"/>
        </w:rPr>
        <w:t>；</w:t>
      </w:r>
      <w:r>
        <w:rPr>
          <w:rFonts w:hint="eastAsia" w:ascii="仿宋_GB2312" w:hAnsi="等线" w:eastAsia="仿宋_GB2312" w:cs="宋体"/>
          <w:kern w:val="0"/>
          <w:sz w:val="32"/>
          <w:szCs w:val="32"/>
        </w:rPr>
        <w:t>项目</w:t>
      </w:r>
      <w:r>
        <w:rPr>
          <w:rFonts w:hint="eastAsia" w:ascii="仿宋_GB2312" w:hAnsi="等线" w:eastAsia="仿宋_GB2312" w:cs="宋体"/>
          <w:kern w:val="0"/>
          <w:sz w:val="32"/>
          <w:szCs w:val="32"/>
          <w:lang w:val="en-US" w:eastAsia="zh-CN"/>
        </w:rPr>
        <w:t>542.78658</w:t>
      </w:r>
      <w:r>
        <w:rPr>
          <w:rFonts w:hint="eastAsia" w:ascii="仿宋_GB2312" w:hAnsi="等线" w:eastAsia="仿宋_GB2312" w:cs="宋体"/>
          <w:kern w:val="0"/>
          <w:sz w:val="32"/>
          <w:szCs w:val="32"/>
        </w:rPr>
        <w:t>万元，占比</w:t>
      </w:r>
      <w:r>
        <w:rPr>
          <w:rFonts w:hint="eastAsia" w:ascii="仿宋_GB2312" w:hAnsi="等线" w:eastAsia="仿宋_GB2312" w:cs="宋体"/>
          <w:kern w:val="0"/>
          <w:sz w:val="32"/>
          <w:szCs w:val="32"/>
          <w:lang w:val="en-US" w:eastAsia="zh-CN"/>
        </w:rPr>
        <w:t>75.09</w:t>
      </w:r>
      <w:r>
        <w:rPr>
          <w:rFonts w:hint="eastAsia" w:ascii="仿宋_GB2312" w:hAnsi="等线" w:eastAsia="仿宋_GB2312" w:cs="宋体"/>
          <w:kern w:val="0"/>
          <w:sz w:val="32"/>
          <w:szCs w:val="32"/>
        </w:rPr>
        <w:t>%</w:t>
      </w:r>
      <w:r>
        <w:rPr>
          <w:rFonts w:hint="eastAsia" w:ascii="仿宋_GB2312" w:hAnsi="等线" w:eastAsia="仿宋_GB2312" w:cs="宋体"/>
          <w:kern w:val="0"/>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（三）部门整体支出绩效目标、指标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 w:hAnsi="仿宋" w:eastAsia="仿宋" w:cs="仿宋"/>
          <w:color w:val="auto"/>
          <w:sz w:val="32"/>
          <w:szCs w:val="32"/>
          <w:lang w:val="en-US"/>
        </w:rPr>
      </w:pPr>
      <w:r>
        <w:rPr>
          <w:rFonts w:hint="eastAsia" w:ascii="仿宋" w:hAnsi="仿宋" w:eastAsia="仿宋" w:cs="仿宋"/>
          <w:color w:val="auto"/>
          <w:sz w:val="32"/>
          <w:szCs w:val="32"/>
        </w:rPr>
        <w:t>以</w:t>
      </w:r>
      <w:r>
        <w:rPr>
          <w:rFonts w:hint="eastAsia" w:ascii="仿宋" w:hAnsi="仿宋" w:eastAsia="仿宋" w:cs="仿宋"/>
          <w:color w:val="auto"/>
          <w:sz w:val="32"/>
          <w:szCs w:val="32"/>
          <w:lang w:eastAsia="zh-CN"/>
        </w:rPr>
        <w:t>习近平新时代中国特色社会主义思想为指导，认真贯彻落实上级工作部署和区委、区政府工作安排，</w:t>
      </w:r>
      <w:r>
        <w:rPr>
          <w:rFonts w:hint="eastAsia" w:ascii="仿宋" w:hAnsi="仿宋" w:eastAsia="仿宋" w:cs="仿宋"/>
          <w:color w:val="auto"/>
          <w:sz w:val="32"/>
          <w:szCs w:val="32"/>
        </w:rPr>
        <w:t>为解决残疾人最关心、最直接、最现实的利益问题，大力推进残疾人康复、教育、就业、社会保障和培训服务等各项工作，使残疾人参与社会生活的环境和条件得到改善，生活质量得到提高，残疾人事业稳步发展，</w:t>
      </w:r>
      <w:r>
        <w:rPr>
          <w:rFonts w:hint="eastAsia" w:ascii="仿宋" w:hAnsi="仿宋" w:eastAsia="仿宋" w:cs="仿宋"/>
          <w:color w:val="auto"/>
          <w:sz w:val="32"/>
          <w:szCs w:val="32"/>
          <w:lang w:eastAsia="zh-CN"/>
        </w:rPr>
        <w:t>创造良好的环境和条件，扶助残疾人平等参与社会生活。</w:t>
      </w:r>
      <w:r>
        <w:rPr>
          <w:rFonts w:hint="eastAsia" w:ascii="仿宋" w:hAnsi="仿宋" w:eastAsia="仿宋" w:cs="仿宋"/>
          <w:color w:val="auto"/>
          <w:sz w:val="32"/>
          <w:szCs w:val="32"/>
          <w:lang w:val="en-US" w:eastAsia="zh-CN"/>
        </w:rPr>
        <w:t>2023年，</w:t>
      </w:r>
      <w:r>
        <w:rPr>
          <w:rFonts w:hint="eastAsia" w:ascii="仿宋" w:hAnsi="仿宋" w:eastAsia="仿宋" w:cs="仿宋"/>
          <w:color w:val="auto"/>
          <w:sz w:val="32"/>
          <w:szCs w:val="32"/>
          <w:lang w:eastAsia="zh-CN"/>
        </w:rPr>
        <w:t>为</w:t>
      </w:r>
      <w:r>
        <w:rPr>
          <w:rFonts w:hint="eastAsia" w:ascii="仿宋" w:hAnsi="仿宋" w:eastAsia="仿宋" w:cs="仿宋"/>
          <w:color w:val="auto"/>
          <w:sz w:val="32"/>
          <w:szCs w:val="32"/>
          <w:lang w:val="en-US" w:eastAsia="zh-CN"/>
        </w:rPr>
        <w:t>2024名残疾人提供精准康复服务，为276名残疾人提供辅具适配服务，为138户困难残疾人家庭实施了家庭无障碍改造服务，对7名考入高中及以上困难残疾学生及残疾人家庭子女实施学费资助，对322名有需求残疾人实施了实用技术培训服务，对400名符合条件的困难残疾人实施了托养服务，对442户困难残疾人家庭开展走访慰问活动。通过项目实施，减轻了残疾人家庭负担，提升残疾人自理能力，保障了各项优惠政策落实，推动了残疾人事业的顺利开展。</w:t>
      </w:r>
    </w:p>
    <w:p>
      <w:pPr>
        <w:keepNext w:val="0"/>
        <w:keepLines w:val="0"/>
        <w:pageBreakBefore w:val="0"/>
        <w:widowControl w:val="0"/>
        <w:numPr>
          <w:ilvl w:val="0"/>
          <w:numId w:val="1"/>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绩效</w:t>
      </w: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（一）自评的组织工作</w:t>
      </w:r>
    </w:p>
    <w:p>
      <w:pPr>
        <w:keepNext w:val="0"/>
        <w:keepLines w:val="0"/>
        <w:pageBreakBefore w:val="0"/>
        <w:widowControl w:val="0"/>
        <w:kinsoku/>
        <w:wordWrap/>
        <w:overflowPunct/>
        <w:topLinePunct w:val="0"/>
        <w:autoSpaceDE/>
        <w:autoSpaceDN/>
        <w:bidi w:val="0"/>
        <w:adjustRightInd/>
        <w:snapToGrid/>
        <w:ind w:firstLine="640" w:firstLineChars="200"/>
        <w:jc w:val="lef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为深入贯彻落实中共中央、国务院《关于全面实施预算绩效管理的意见》文件精神,按照《藁城区财政局关于开展2023年专项项目绩效自评工作的通知》要求，我部门高度重视绩效自评工作，成立了绩效评估工作小组，强化预算支出责任，提高财政资金支出绩效，严格对照预算文本中制定的部门整体绩效目标，提早部署、分解任务、压实责任、严肃考评。为了做好绩效评价工作，规范和加强资金管理和使用，切实提高资金使用绩效和管理水平，残联成立了绩效评价管理工作小组，按照项目单位自评和主管部门评价相结合的方式，对2023年度专项资金开展了绩效评价工作。组建评价工作小组-确定评价范围-召开评价会-分析数据-报告结果。</w:t>
      </w:r>
    </w:p>
    <w:p>
      <w:pPr>
        <w:keepNext w:val="0"/>
        <w:keepLines w:val="0"/>
        <w:pageBreakBefore w:val="0"/>
        <w:widowControl w:val="0"/>
        <w:numPr>
          <w:ilvl w:val="0"/>
          <w:numId w:val="2"/>
        </w:numPr>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自评的方法和过程</w:t>
      </w:r>
    </w:p>
    <w:p>
      <w:pPr>
        <w:keepNext w:val="0"/>
        <w:keepLines w:val="0"/>
        <w:pageBreakBefore w:val="0"/>
        <w:widowControl w:val="0"/>
        <w:kinsoku/>
        <w:wordWrap/>
        <w:overflowPunct/>
        <w:topLinePunct w:val="0"/>
        <w:autoSpaceDE/>
        <w:autoSpaceDN/>
        <w:bidi w:val="0"/>
        <w:adjustRightInd/>
        <w:snapToGrid/>
        <w:ind w:firstLine="640" w:firstLineChars="200"/>
        <w:jc w:val="left"/>
        <w:textAlignment w:val="auto"/>
        <w:rPr>
          <w:rFonts w:hint="eastAsia"/>
          <w:lang w:val="en-US" w:eastAsia="zh-CN"/>
        </w:rPr>
      </w:pPr>
      <w:r>
        <w:rPr>
          <w:rFonts w:hint="eastAsia" w:ascii="仿宋" w:hAnsi="仿宋" w:eastAsia="仿宋" w:cs="仿宋"/>
          <w:sz w:val="32"/>
          <w:szCs w:val="32"/>
          <w:lang w:eastAsia="zh-CN"/>
        </w:rPr>
        <w:t>我部门自评小组在</w:t>
      </w:r>
      <w:r>
        <w:rPr>
          <w:rFonts w:hint="eastAsia" w:ascii="仿宋" w:hAnsi="仿宋" w:eastAsia="仿宋" w:cs="仿宋"/>
          <w:sz w:val="32"/>
          <w:szCs w:val="32"/>
          <w:lang w:val="en-US" w:eastAsia="zh-CN"/>
        </w:rPr>
        <w:t>自评工作开展过程中多次召开专题会议，认真学习，掌握评价内容及方法，对照各实施项目的内容逐条逐项自评，将年度绩效指标分解到具体完成的工作中进行评价。</w:t>
      </w:r>
      <w:r>
        <w:rPr>
          <w:rFonts w:hint="eastAsia" w:ascii="仿宋" w:hAnsi="仿宋" w:eastAsia="仿宋" w:cs="仿宋"/>
          <w:sz w:val="32"/>
          <w:szCs w:val="32"/>
          <w:lang w:eastAsia="zh-CN"/>
        </w:rPr>
        <w:t>通过对收集、整理项目实施材料，财务提交的真实、准确的各种报表</w:t>
      </w:r>
      <w:r>
        <w:rPr>
          <w:rFonts w:hint="eastAsia" w:ascii="仿宋" w:hAnsi="仿宋" w:eastAsia="仿宋" w:cs="仿宋"/>
          <w:sz w:val="32"/>
          <w:szCs w:val="32"/>
          <w:lang w:val="en-US" w:eastAsia="zh-CN"/>
        </w:rPr>
        <w:t>，</w:t>
      </w:r>
      <w:r>
        <w:rPr>
          <w:rFonts w:hint="eastAsia" w:ascii="仿宋" w:hAnsi="仿宋" w:eastAsia="仿宋" w:cs="仿宋"/>
          <w:sz w:val="32"/>
          <w:szCs w:val="32"/>
          <w:lang w:eastAsia="zh-CN"/>
        </w:rPr>
        <w:t>由项目负责人介绍项目预期绩效目标及具体实施取得的实际效果，评价小组成员集中实地检查、核实佐证材料和电话回访进行评价，</w:t>
      </w:r>
      <w:r>
        <w:rPr>
          <w:rFonts w:hint="eastAsia" w:ascii="仿宋" w:hAnsi="仿宋" w:eastAsia="仿宋" w:cs="仿宋"/>
          <w:sz w:val="32"/>
          <w:szCs w:val="32"/>
          <w:lang w:val="en-US" w:eastAsia="zh-CN"/>
        </w:rPr>
        <w:t>绩效自评覆盖率达到了100% 。在评价过程中科学制定指标体系，</w:t>
      </w:r>
      <w:r>
        <w:rPr>
          <w:rFonts w:hint="eastAsia" w:ascii="仿宋" w:hAnsi="仿宋" w:eastAsia="仿宋" w:cs="仿宋"/>
          <w:sz w:val="32"/>
          <w:szCs w:val="32"/>
          <w:lang w:eastAsia="zh-CN"/>
        </w:rPr>
        <w:t>绩效指标权重按照各个评价对象的实际情况确定，总分设定为100分。原则上一级指标权重统一设置为:产出指标40分（包含数量、质量、时效、成本)、预算执行率指标10分、效益指标40分（包含经济效益、社会效益、生态效益、可持续影响)、满意度指标10 分，若被评价项目不涉及服务对象满意度内容或因服务对象满意度获取难度较大、成本较高而未能获取，则服务对象满意度的10分调入绩效考核事项。二、三级指标所占权重应当根据指标重要程度、项目实施阶段等因素综合确定，准确反映预算项目的产出和效果。同类评价对象的指标权重设置应当基本一致，便于评价结果相互比较。</w:t>
      </w:r>
      <w:r>
        <w:rPr>
          <w:rFonts w:hint="eastAsia" w:ascii="仿宋" w:hAnsi="仿宋" w:eastAsia="仿宋" w:cs="仿宋"/>
          <w:sz w:val="32"/>
          <w:szCs w:val="32"/>
        </w:rPr>
        <w:t>通过部门项目绩效自评小组集中评审，</w:t>
      </w:r>
      <w:r>
        <w:rPr>
          <w:rFonts w:hint="eastAsia" w:ascii="仿宋" w:hAnsi="仿宋" w:eastAsia="仿宋" w:cs="仿宋"/>
          <w:sz w:val="32"/>
          <w:szCs w:val="32"/>
          <w:lang w:eastAsia="zh-CN"/>
        </w:rPr>
        <w:t>我</w:t>
      </w:r>
      <w:r>
        <w:rPr>
          <w:rFonts w:hint="eastAsia" w:ascii="仿宋" w:hAnsi="仿宋" w:eastAsia="仿宋" w:cs="仿宋"/>
          <w:sz w:val="32"/>
          <w:szCs w:val="32"/>
        </w:rPr>
        <w:t>部门开展的项目评价等级均</w:t>
      </w:r>
      <w:r>
        <w:rPr>
          <w:rFonts w:hint="eastAsia" w:ascii="仿宋" w:hAnsi="仿宋" w:eastAsia="仿宋" w:cs="仿宋"/>
          <w:sz w:val="32"/>
          <w:szCs w:val="32"/>
          <w:lang w:eastAsia="zh-CN"/>
        </w:rPr>
        <w:t>为优秀</w:t>
      </w:r>
      <w:r>
        <w:rPr>
          <w:rFonts w:hint="eastAsia" w:ascii="仿宋" w:hAnsi="仿宋" w:eastAsia="仿宋" w:cs="仿宋"/>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（一）</w:t>
      </w:r>
      <w:r>
        <w:rPr>
          <w:rFonts w:hint="eastAsia" w:ascii="楷体_GB2312" w:hAnsi="楷体_GB2312" w:eastAsia="楷体_GB2312" w:cs="楷体_GB2312"/>
          <w:bCs/>
          <w:sz w:val="32"/>
          <w:szCs w:val="32"/>
        </w:rPr>
        <w:t>总体绩效目标实现情况</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2023年我部门</w:t>
      </w:r>
      <w:r>
        <w:rPr>
          <w:rFonts w:hint="eastAsia" w:ascii="仿宋" w:hAnsi="仿宋" w:eastAsia="仿宋" w:cs="仿宋"/>
          <w:color w:val="auto"/>
          <w:sz w:val="32"/>
          <w:szCs w:val="32"/>
        </w:rPr>
        <w:t>以健全残疾人社会保障体系和服务体系为目标，为解决残疾人最关心、最直接、最现实的利益问题，大力推进残疾人康复、教育、就业、社会保障和培训服务等各项工作，使残疾人参与社会生活的环境和条件得到改善，生活质量得到提高，残疾人事业稳步发展，为构建和谐社会作出积极贡献</w:t>
      </w:r>
      <w:r>
        <w:rPr>
          <w:rFonts w:hint="eastAsia" w:ascii="仿宋" w:hAnsi="仿宋" w:eastAsia="仿宋" w:cs="仿宋"/>
          <w:color w:val="auto"/>
          <w:sz w:val="32"/>
          <w:szCs w:val="32"/>
          <w:lang w:eastAsia="zh-CN"/>
        </w:rPr>
        <w:t>，圆满完成上级和年初制定的各项工作目标</w:t>
      </w:r>
      <w:r>
        <w:rPr>
          <w:rFonts w:hint="eastAsia" w:ascii="仿宋" w:hAnsi="仿宋" w:eastAsia="仿宋" w:cs="仿宋"/>
          <w:color w:val="auto"/>
          <w:sz w:val="32"/>
          <w:szCs w:val="32"/>
        </w:rPr>
        <w:t>。</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楷体" w:hAnsi="楷体" w:eastAsia="楷体"/>
          <w:bCs/>
          <w:sz w:val="32"/>
          <w:szCs w:val="32"/>
        </w:rPr>
      </w:pPr>
      <w:r>
        <w:rPr>
          <w:rFonts w:hint="eastAsia" w:ascii="楷体_GB2312" w:hAnsi="楷体_GB2312" w:eastAsia="楷体_GB2312" w:cs="楷体_GB2312"/>
          <w:bCs/>
          <w:sz w:val="32"/>
          <w:szCs w:val="32"/>
        </w:rPr>
        <w:t>（二）分项绩效目标实现情况及指标分析</w:t>
      </w:r>
    </w:p>
    <w:p>
      <w:pPr>
        <w:pStyle w:val="2"/>
        <w:ind w:firstLine="640" w:firstLineChars="200"/>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w:t>
      </w:r>
      <w:r>
        <w:rPr>
          <w:rFonts w:hint="eastAsia" w:ascii="仿宋_GB2312" w:hAnsi="仿宋_GB2312" w:eastAsia="仿宋_GB2312" w:cs="仿宋_GB2312"/>
          <w:sz w:val="32"/>
          <w:szCs w:val="32"/>
          <w:highlight w:val="none"/>
          <w:lang w:eastAsia="zh-CN"/>
        </w:rPr>
        <w:t>石财社【2022】97号提前下达2023年中央残疾人事业基本康复服务资金</w:t>
      </w:r>
      <w:r>
        <w:rPr>
          <w:rFonts w:hint="eastAsia" w:ascii="仿宋" w:hAnsi="仿宋" w:eastAsia="仿宋"/>
          <w:sz w:val="32"/>
          <w:szCs w:val="32"/>
          <w:lang w:val="en-US" w:eastAsia="zh-CN"/>
        </w:rPr>
        <w:t>54万元，资金到位率100%，执行率100%；</w:t>
      </w:r>
      <w:r>
        <w:rPr>
          <w:rFonts w:hint="eastAsia" w:ascii="仿宋_GB2312" w:hAnsi="仿宋_GB2312" w:eastAsia="仿宋_GB2312" w:cs="仿宋_GB2312"/>
          <w:sz w:val="32"/>
          <w:szCs w:val="32"/>
          <w:highlight w:val="none"/>
          <w:lang w:eastAsia="zh-CN"/>
        </w:rPr>
        <w:t>石财社【2022】106号提前下达2023年市级补助残疾人基本康复服务</w:t>
      </w:r>
      <w:r>
        <w:rPr>
          <w:rFonts w:hint="eastAsia" w:cs="仿宋_GB2312"/>
          <w:sz w:val="32"/>
          <w:szCs w:val="32"/>
          <w:highlight w:val="none"/>
          <w:lang w:eastAsia="zh-CN"/>
        </w:rPr>
        <w:t>资金</w:t>
      </w:r>
      <w:r>
        <w:rPr>
          <w:rFonts w:hint="eastAsia" w:cs="仿宋_GB2312"/>
          <w:sz w:val="32"/>
          <w:szCs w:val="32"/>
          <w:highlight w:val="none"/>
          <w:lang w:val="en-US" w:eastAsia="zh-CN"/>
        </w:rPr>
        <w:t>15万元，</w:t>
      </w:r>
      <w:r>
        <w:rPr>
          <w:rFonts w:hint="eastAsia" w:ascii="仿宋" w:hAnsi="仿宋" w:eastAsia="仿宋"/>
          <w:sz w:val="32"/>
          <w:szCs w:val="32"/>
          <w:lang w:val="en-US" w:eastAsia="zh-CN"/>
        </w:rPr>
        <w:t>资金到位率100%，执行率100%。为我区1800名残疾人实施精准康复服务，主要用于残疾人假肢装备、辅具、助听器、助视器等残疾人基本康复救助项目工作，帮助残疾人恢复功能，减轻家庭负担。</w:t>
      </w:r>
    </w:p>
    <w:p>
      <w:pPr>
        <w:adjustRightInd w:val="0"/>
        <w:snapToGrid w:val="0"/>
        <w:spacing w:line="620" w:lineRule="exact"/>
        <w:ind w:firstLine="640" w:firstLineChars="200"/>
        <w:rPr>
          <w:rFonts w:hint="eastAsia" w:ascii="仿宋" w:hAnsi="仿宋" w:eastAsia="仿宋" w:cs="仿宋"/>
          <w:sz w:val="32"/>
          <w:szCs w:val="32"/>
          <w:lang w:val="en-US" w:eastAsia="zh-CN"/>
        </w:rPr>
      </w:pPr>
      <w:r>
        <w:rPr>
          <w:rFonts w:hint="eastAsia" w:ascii="仿宋_GB2312" w:hAnsi="仿宋_GB2312" w:eastAsia="仿宋_GB2312" w:cs="仿宋_GB2312"/>
          <w:sz w:val="32"/>
          <w:szCs w:val="32"/>
          <w:highlight w:val="none"/>
          <w:lang w:val="en-US" w:eastAsia="zh-CN"/>
        </w:rPr>
        <w:t>2、</w:t>
      </w:r>
      <w:r>
        <w:rPr>
          <w:rFonts w:hint="eastAsia" w:ascii="仿宋_GB2312" w:hAnsi="仿宋_GB2312" w:eastAsia="仿宋_GB2312" w:cs="仿宋_GB2312"/>
          <w:sz w:val="32"/>
          <w:szCs w:val="32"/>
          <w:highlight w:val="none"/>
          <w:lang w:eastAsia="zh-CN"/>
        </w:rPr>
        <w:t xml:space="preserve">石财社【2022】106号提前下达2023年市级补助专科学费资助 </w:t>
      </w:r>
      <w:r>
        <w:rPr>
          <w:rFonts w:hint="eastAsia" w:ascii="仿宋_GB2312" w:hAnsi="仿宋_GB2312" w:eastAsia="仿宋_GB2312" w:cs="仿宋_GB2312"/>
          <w:sz w:val="32"/>
          <w:szCs w:val="32"/>
          <w:highlight w:val="none"/>
          <w:lang w:val="en-US" w:eastAsia="zh-CN"/>
        </w:rPr>
        <w:t>0.8万元，资金到位率100%，执行率100%；</w:t>
      </w:r>
      <w:r>
        <w:rPr>
          <w:rFonts w:hint="eastAsia" w:ascii="仿宋_GB2312" w:hAnsi="仿宋_GB2312" w:eastAsia="仿宋_GB2312" w:cs="仿宋_GB2312"/>
          <w:sz w:val="32"/>
          <w:szCs w:val="32"/>
          <w:highlight w:val="none"/>
          <w:lang w:eastAsia="zh-CN"/>
        </w:rPr>
        <w:t>残疾人教育工作经费</w:t>
      </w:r>
      <w:r>
        <w:rPr>
          <w:rFonts w:hint="eastAsia" w:ascii="仿宋_GB2312" w:hAnsi="仿宋_GB2312" w:eastAsia="仿宋_GB2312" w:cs="仿宋_GB2312"/>
          <w:sz w:val="32"/>
          <w:szCs w:val="32"/>
          <w:highlight w:val="none"/>
          <w:lang w:val="en-US" w:eastAsia="zh-CN"/>
        </w:rPr>
        <w:t>2万元，资金到位率100%，执行率100%，结余0.8万元退回财政。</w:t>
      </w:r>
      <w:r>
        <w:rPr>
          <w:rFonts w:hint="eastAsia" w:ascii="仿宋" w:hAnsi="仿宋" w:eastAsia="仿宋"/>
          <w:sz w:val="32"/>
          <w:szCs w:val="32"/>
          <w:lang w:eastAsia="zh-CN"/>
        </w:rPr>
        <w:t>对本行政区域内符合政策要求的</w:t>
      </w:r>
      <w:r>
        <w:rPr>
          <w:rFonts w:hint="eastAsia" w:ascii="仿宋" w:hAnsi="仿宋" w:eastAsia="仿宋"/>
          <w:sz w:val="32"/>
          <w:szCs w:val="32"/>
          <w:lang w:val="en-US" w:eastAsia="zh-CN"/>
        </w:rPr>
        <w:t>14名，</w:t>
      </w:r>
      <w:r>
        <w:rPr>
          <w:rFonts w:hint="eastAsia" w:ascii="仿宋" w:hAnsi="仿宋" w:eastAsia="仿宋"/>
          <w:sz w:val="32"/>
          <w:szCs w:val="32"/>
          <w:lang w:eastAsia="zh-CN"/>
        </w:rPr>
        <w:t>考入高中及中专以上的贫困残疾人子女学生进行学费补贴，</w:t>
      </w:r>
      <w:r>
        <w:rPr>
          <w:rFonts w:hint="eastAsia" w:ascii="仿宋" w:hAnsi="仿宋" w:eastAsia="仿宋" w:cs="仿宋"/>
          <w:sz w:val="32"/>
          <w:szCs w:val="32"/>
          <w:lang w:val="en-US" w:eastAsia="zh-CN"/>
        </w:rPr>
        <w:t>残疾人学生及残疾人家庭子女考入中等院校给予一次性补贴。专科4人，激励让他们顺利完成学业，让残疾人更好的参与社会实现自身价值、回报社会。</w:t>
      </w:r>
    </w:p>
    <w:p>
      <w:pPr>
        <w:adjustRightInd w:val="0"/>
        <w:snapToGrid w:val="0"/>
        <w:spacing w:line="620" w:lineRule="exact"/>
        <w:ind w:firstLine="640" w:firstLineChars="200"/>
        <w:rPr>
          <w:rFonts w:hint="eastAsia" w:ascii="仿宋" w:hAnsi="仿宋" w:eastAsia="仿宋" w:cs="仿宋"/>
          <w:sz w:val="32"/>
          <w:szCs w:val="32"/>
          <w:lang w:val="en-US" w:eastAsia="zh-CN"/>
        </w:rPr>
      </w:pP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lang w:eastAsia="zh-CN"/>
        </w:rPr>
        <w:t>石财社【2022】106号提前下达2023年市级补助农村实用技术培训资金</w:t>
      </w:r>
      <w:r>
        <w:rPr>
          <w:rFonts w:hint="eastAsia" w:ascii="仿宋_GB2312" w:hAnsi="仿宋_GB2312" w:eastAsia="仿宋_GB2312" w:cs="仿宋_GB2312"/>
          <w:sz w:val="32"/>
          <w:szCs w:val="32"/>
          <w:highlight w:val="none"/>
          <w:lang w:val="en-US" w:eastAsia="zh-CN"/>
        </w:rPr>
        <w:t>2万元</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资金到位率100%，执行率100%；</w:t>
      </w:r>
      <w:r>
        <w:rPr>
          <w:rFonts w:hint="eastAsia" w:ascii="仿宋_GB2312" w:hAnsi="仿宋_GB2312" w:eastAsia="仿宋_GB2312" w:cs="仿宋_GB2312"/>
          <w:sz w:val="32"/>
          <w:szCs w:val="32"/>
          <w:highlight w:val="none"/>
          <w:lang w:eastAsia="zh-CN"/>
        </w:rPr>
        <w:t>石财社【2022】97号提前下达2023年中央残疾人事业农村实用技术培训资金</w:t>
      </w:r>
      <w:r>
        <w:rPr>
          <w:rFonts w:hint="eastAsia" w:ascii="仿宋_GB2312" w:hAnsi="仿宋_GB2312" w:eastAsia="仿宋_GB2312" w:cs="仿宋_GB2312"/>
          <w:sz w:val="32"/>
          <w:szCs w:val="32"/>
          <w:highlight w:val="none"/>
          <w:lang w:val="en-US" w:eastAsia="zh-CN"/>
        </w:rPr>
        <w:t>11.85万元</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资金到位率100%，执行率100%；</w:t>
      </w:r>
      <w:r>
        <w:rPr>
          <w:rFonts w:hint="eastAsia" w:ascii="仿宋_GB2312" w:hAnsi="仿宋_GB2312" w:eastAsia="仿宋_GB2312" w:cs="仿宋_GB2312"/>
          <w:sz w:val="32"/>
          <w:szCs w:val="32"/>
          <w:highlight w:val="none"/>
          <w:lang w:eastAsia="zh-CN"/>
        </w:rPr>
        <w:t>石财社【2022】44号关于下达2022年市级残疾人事业发展补助资金（残疾人职业技能培训）资金</w:t>
      </w:r>
      <w:r>
        <w:rPr>
          <w:rFonts w:hint="eastAsia" w:ascii="仿宋_GB2312" w:hAnsi="仿宋_GB2312" w:eastAsia="仿宋_GB2312" w:cs="仿宋_GB2312"/>
          <w:sz w:val="32"/>
          <w:szCs w:val="32"/>
          <w:highlight w:val="none"/>
          <w:lang w:val="en-US" w:eastAsia="zh-CN"/>
        </w:rPr>
        <w:t>13.4万元</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资金到位率100%，执行率100%；</w:t>
      </w:r>
      <w:r>
        <w:rPr>
          <w:rFonts w:hint="eastAsia" w:ascii="仿宋_GB2312" w:hAnsi="仿宋_GB2312" w:eastAsia="仿宋_GB2312" w:cs="仿宋_GB2312"/>
          <w:sz w:val="32"/>
          <w:szCs w:val="32"/>
          <w:highlight w:val="none"/>
          <w:lang w:eastAsia="zh-CN"/>
        </w:rPr>
        <w:t>石财社[2023]40号下达2023年市级补助资金通知农村实用技术培训资金</w:t>
      </w:r>
      <w:r>
        <w:rPr>
          <w:rFonts w:hint="eastAsia" w:ascii="仿宋_GB2312" w:hAnsi="仿宋_GB2312" w:eastAsia="仿宋_GB2312" w:cs="仿宋_GB2312"/>
          <w:sz w:val="32"/>
          <w:szCs w:val="32"/>
          <w:highlight w:val="none"/>
          <w:lang w:val="en-US" w:eastAsia="zh-CN"/>
        </w:rPr>
        <w:t>6万元，资金到位率100%，执行率100%，对我区256名残疾人进行</w:t>
      </w:r>
      <w:r>
        <w:rPr>
          <w:rFonts w:hint="eastAsia" w:ascii="仿宋" w:hAnsi="仿宋" w:eastAsia="仿宋" w:cs="仿宋"/>
          <w:sz w:val="32"/>
          <w:szCs w:val="32"/>
          <w:lang w:val="en-US" w:eastAsia="zh-CN"/>
        </w:rPr>
        <w:t>实用技术培训，使他们掌握一技之长，帮助残疾人增加就业和创业能力，提高增收技能。</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 w:hAnsi="仿宋" w:eastAsia="仿宋" w:cs="仿宋"/>
          <w:sz w:val="32"/>
          <w:szCs w:val="32"/>
          <w:lang w:val="en-US" w:eastAsia="zh-CN"/>
        </w:rPr>
        <w:t>4、</w:t>
      </w:r>
      <w:r>
        <w:rPr>
          <w:rFonts w:hint="eastAsia" w:ascii="仿宋_GB2312" w:hAnsi="仿宋_GB2312" w:eastAsia="仿宋_GB2312" w:cs="仿宋_GB2312"/>
          <w:sz w:val="32"/>
          <w:szCs w:val="32"/>
          <w:highlight w:val="none"/>
          <w:lang w:eastAsia="zh-CN"/>
        </w:rPr>
        <w:t>石财社【2022】103号提前下达2023年中央彩金残疾儿童康复救助资金</w:t>
      </w:r>
      <w:r>
        <w:rPr>
          <w:rFonts w:hint="eastAsia" w:ascii="仿宋_GB2312" w:hAnsi="仿宋_GB2312" w:eastAsia="仿宋_GB2312" w:cs="仿宋_GB2312"/>
          <w:sz w:val="32"/>
          <w:szCs w:val="32"/>
          <w:highlight w:val="none"/>
          <w:lang w:val="en-US" w:eastAsia="zh-CN"/>
        </w:rPr>
        <w:t>45万元，资金到位率100%，执行率100%；</w:t>
      </w:r>
      <w:r>
        <w:rPr>
          <w:rFonts w:hint="eastAsia" w:ascii="仿宋_GB2312" w:hAnsi="仿宋_GB2312" w:eastAsia="仿宋_GB2312" w:cs="仿宋_GB2312"/>
          <w:sz w:val="32"/>
          <w:szCs w:val="32"/>
          <w:highlight w:val="none"/>
          <w:lang w:eastAsia="zh-CN"/>
        </w:rPr>
        <w:t>石财社[2023]53号下达2023年中央专项彩票公益金支持残疾人 事业发展补助资金（儿童康复救助）</w:t>
      </w:r>
      <w:r>
        <w:rPr>
          <w:rFonts w:hint="eastAsia" w:ascii="仿宋_GB2312" w:hAnsi="仿宋_GB2312" w:eastAsia="仿宋_GB2312" w:cs="仿宋_GB2312"/>
          <w:sz w:val="32"/>
          <w:szCs w:val="32"/>
          <w:highlight w:val="none"/>
          <w:lang w:val="en-US" w:eastAsia="zh-CN"/>
        </w:rPr>
        <w:t>9万元，资金到位率100%，执行率20.5%，结转下年7.1546万元；</w:t>
      </w:r>
      <w:r>
        <w:rPr>
          <w:rFonts w:hint="eastAsia" w:ascii="仿宋_GB2312" w:hAnsi="仿宋_GB2312" w:eastAsia="仿宋_GB2312" w:cs="仿宋_GB2312"/>
          <w:sz w:val="32"/>
          <w:szCs w:val="32"/>
          <w:highlight w:val="none"/>
          <w:lang w:eastAsia="zh-CN"/>
        </w:rPr>
        <w:t>石财社【2022】102号省级补助资金儿童康复救助</w:t>
      </w:r>
      <w:r>
        <w:rPr>
          <w:rFonts w:hint="eastAsia" w:ascii="仿宋_GB2312" w:hAnsi="仿宋_GB2312" w:eastAsia="仿宋_GB2312" w:cs="仿宋_GB2312"/>
          <w:sz w:val="32"/>
          <w:szCs w:val="32"/>
          <w:highlight w:val="none"/>
          <w:lang w:val="en-US" w:eastAsia="zh-CN"/>
        </w:rPr>
        <w:t>12万元，资金到位率100%，执行率100%；</w:t>
      </w:r>
      <w:r>
        <w:rPr>
          <w:rFonts w:hint="eastAsia" w:ascii="仿宋_GB2312" w:hAnsi="仿宋_GB2312" w:eastAsia="仿宋_GB2312" w:cs="仿宋_GB2312"/>
          <w:sz w:val="32"/>
          <w:szCs w:val="32"/>
          <w:highlight w:val="none"/>
          <w:lang w:eastAsia="zh-CN"/>
        </w:rPr>
        <w:t>石财社[2021]124号关于提前下达2022年市级残疾人事业发展补助资金（残疾儿童康复救助）</w:t>
      </w:r>
      <w:r>
        <w:rPr>
          <w:rFonts w:hint="eastAsia" w:ascii="仿宋_GB2312" w:hAnsi="仿宋_GB2312" w:eastAsia="仿宋_GB2312" w:cs="仿宋_GB2312"/>
          <w:sz w:val="32"/>
          <w:szCs w:val="32"/>
          <w:highlight w:val="none"/>
          <w:lang w:val="en-US" w:eastAsia="zh-CN"/>
        </w:rPr>
        <w:t>16.63万元，资金到位率100%，执行率100%；</w:t>
      </w:r>
      <w:r>
        <w:rPr>
          <w:rFonts w:hint="eastAsia" w:ascii="仿宋_GB2312" w:hAnsi="仿宋_GB2312" w:eastAsia="仿宋_GB2312" w:cs="仿宋_GB2312"/>
          <w:sz w:val="32"/>
          <w:szCs w:val="32"/>
          <w:highlight w:val="none"/>
          <w:lang w:eastAsia="zh-CN"/>
        </w:rPr>
        <w:t>石财社[2023]31号关于下达2023年市级残疾人事业发展补助资金（儿童康复救助）</w:t>
      </w:r>
      <w:r>
        <w:rPr>
          <w:rFonts w:hint="eastAsia" w:ascii="仿宋_GB2312" w:hAnsi="仿宋_GB2312" w:eastAsia="仿宋_GB2312" w:cs="仿宋_GB2312"/>
          <w:sz w:val="32"/>
          <w:szCs w:val="32"/>
          <w:highlight w:val="none"/>
          <w:lang w:val="en-US" w:eastAsia="zh-CN"/>
        </w:rPr>
        <w:t>48万元，资金到位率100%，执行率100%。对我区适合救助的72名残疾儿童实施康复救助，帮助恢复部分功能，减轻家庭负担。</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highlight w:val="none"/>
          <w:lang w:val="en-US" w:eastAsia="zh-CN"/>
        </w:rPr>
      </w:pPr>
      <w:r>
        <w:rPr>
          <w:rFonts w:hint="eastAsia" w:cs="仿宋_GB2312"/>
          <w:sz w:val="32"/>
          <w:szCs w:val="32"/>
          <w:highlight w:val="none"/>
          <w:lang w:val="en-US" w:eastAsia="zh-CN"/>
        </w:rPr>
        <w:t>5、</w:t>
      </w:r>
      <w:r>
        <w:rPr>
          <w:rFonts w:hint="eastAsia" w:ascii="仿宋_GB2312" w:hAnsi="仿宋_GB2312" w:eastAsia="仿宋_GB2312" w:cs="仿宋_GB2312"/>
          <w:sz w:val="32"/>
          <w:szCs w:val="32"/>
          <w:highlight w:val="none"/>
          <w:lang w:eastAsia="zh-CN"/>
        </w:rPr>
        <w:t>石财社【2022】97号提前下达2023年中央残疾人事业托养资金</w:t>
      </w:r>
      <w:r>
        <w:rPr>
          <w:rFonts w:hint="eastAsia" w:ascii="仿宋_GB2312" w:hAnsi="仿宋_GB2312" w:eastAsia="仿宋_GB2312" w:cs="仿宋_GB2312"/>
          <w:sz w:val="32"/>
          <w:szCs w:val="32"/>
          <w:highlight w:val="none"/>
          <w:lang w:val="en-US" w:eastAsia="zh-CN"/>
        </w:rPr>
        <w:t>13.05万元，资金到位率100%，执行率100%</w:t>
      </w:r>
      <w:r>
        <w:rPr>
          <w:rFonts w:hint="eastAsia" w:ascii="仿宋_GB2312" w:hAnsi="仿宋_GB2312" w:eastAsia="仿宋_GB2312" w:cs="仿宋_GB2312"/>
          <w:sz w:val="32"/>
          <w:szCs w:val="32"/>
          <w:highlight w:val="none"/>
          <w:lang w:eastAsia="zh-CN"/>
        </w:rPr>
        <w:t>；石财社【2022】102号省级补助资金残疾人托养资金</w:t>
      </w:r>
      <w:r>
        <w:rPr>
          <w:rFonts w:hint="eastAsia" w:ascii="仿宋_GB2312" w:hAnsi="仿宋_GB2312" w:eastAsia="仿宋_GB2312" w:cs="仿宋_GB2312"/>
          <w:sz w:val="32"/>
          <w:szCs w:val="32"/>
          <w:highlight w:val="none"/>
          <w:lang w:val="en-US" w:eastAsia="zh-CN"/>
        </w:rPr>
        <w:t>27.9万元，资金到位率100%，执行率100%。用于我区400名智力、精神和重度肢体残疾人托养服务，提升自理能力，减轻家庭负担，早日融入社会。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6、</w:t>
      </w:r>
      <w:r>
        <w:rPr>
          <w:rFonts w:hint="eastAsia" w:ascii="仿宋_GB2312" w:hAnsi="仿宋_GB2312" w:eastAsia="仿宋_GB2312" w:cs="仿宋_GB2312"/>
          <w:sz w:val="32"/>
          <w:szCs w:val="32"/>
          <w:highlight w:val="none"/>
          <w:lang w:eastAsia="zh-CN"/>
        </w:rPr>
        <w:t>石财社【2022】106号提前下达2023年市级补助家庭无障碍改造资金</w:t>
      </w:r>
      <w:r>
        <w:rPr>
          <w:rFonts w:hint="eastAsia" w:ascii="仿宋_GB2312" w:hAnsi="仿宋_GB2312" w:eastAsia="仿宋_GB2312" w:cs="仿宋_GB2312"/>
          <w:sz w:val="32"/>
          <w:szCs w:val="32"/>
          <w:highlight w:val="none"/>
          <w:lang w:val="en-US" w:eastAsia="zh-CN"/>
        </w:rPr>
        <w:t>24.5万元，资金到位率100%，执行率100%，为70户困难残疾人家庭实施无障碍改造，提升生活质量，</w:t>
      </w:r>
      <w:r>
        <w:rPr>
          <w:rFonts w:hint="eastAsia" w:ascii="仿宋" w:hAnsi="仿宋" w:eastAsia="仿宋"/>
          <w:sz w:val="32"/>
          <w:szCs w:val="32"/>
          <w:lang w:val="en-US" w:eastAsia="zh-CN"/>
        </w:rPr>
        <w:t>方便残疾人出行。</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lang w:val="en-US" w:eastAsia="zh-CN"/>
        </w:rPr>
      </w:pP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lang w:eastAsia="zh-CN"/>
        </w:rPr>
        <w:t>石财社【2022】106号提前下达2023年市级补助专委工作补贴资金</w:t>
      </w:r>
      <w:r>
        <w:rPr>
          <w:rFonts w:hint="eastAsia" w:ascii="仿宋_GB2312" w:hAnsi="仿宋_GB2312" w:eastAsia="仿宋_GB2312" w:cs="仿宋_GB2312"/>
          <w:sz w:val="32"/>
          <w:szCs w:val="32"/>
          <w:highlight w:val="none"/>
          <w:lang w:val="en-US" w:eastAsia="zh-CN"/>
        </w:rPr>
        <w:t>35.34万元，资金到位率100%，执行率100%；</w:t>
      </w:r>
      <w:r>
        <w:rPr>
          <w:rFonts w:hint="eastAsia" w:ascii="仿宋_GB2312" w:hAnsi="仿宋_GB2312" w:eastAsia="仿宋_GB2312" w:cs="仿宋_GB2312"/>
          <w:sz w:val="32"/>
          <w:szCs w:val="32"/>
          <w:highlight w:val="none"/>
          <w:lang w:eastAsia="zh-CN"/>
        </w:rPr>
        <w:t>残疾人专职委员补贴资金</w:t>
      </w:r>
      <w:r>
        <w:rPr>
          <w:rFonts w:hint="eastAsia" w:ascii="仿宋_GB2312" w:hAnsi="仿宋_GB2312" w:eastAsia="仿宋_GB2312" w:cs="仿宋_GB2312"/>
          <w:sz w:val="32"/>
          <w:szCs w:val="32"/>
          <w:highlight w:val="none"/>
          <w:lang w:val="en-US" w:eastAsia="zh-CN"/>
        </w:rPr>
        <w:t>56.88万元，资金到位率100%，执行率100%。对我区252名乡镇、村、社区专职发放工资、缴纳保险及误工补贴，</w:t>
      </w:r>
      <w:r>
        <w:rPr>
          <w:rFonts w:hint="eastAsia" w:ascii="仿宋" w:hAnsi="仿宋" w:eastAsia="仿宋"/>
          <w:sz w:val="32"/>
          <w:szCs w:val="32"/>
          <w:lang w:val="en-US" w:eastAsia="zh-CN"/>
        </w:rPr>
        <w:t>提升残疾人工作者积极性和调动工作主动性，进一步加强服务残疾人水平和能力。</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lang w:eastAsia="zh-CN"/>
        </w:rPr>
      </w:pPr>
      <w:r>
        <w:rPr>
          <w:rFonts w:hint="eastAsia" w:ascii="仿宋" w:hAnsi="仿宋" w:eastAsia="仿宋"/>
          <w:sz w:val="32"/>
          <w:szCs w:val="32"/>
          <w:lang w:val="en-US" w:eastAsia="zh-CN"/>
        </w:rPr>
        <w:t>8、</w:t>
      </w:r>
      <w:r>
        <w:rPr>
          <w:rFonts w:hint="eastAsia" w:ascii="仿宋_GB2312" w:hAnsi="仿宋_GB2312" w:eastAsia="仿宋_GB2312" w:cs="仿宋_GB2312"/>
          <w:sz w:val="32"/>
          <w:szCs w:val="32"/>
          <w:highlight w:val="none"/>
          <w:lang w:eastAsia="zh-CN"/>
        </w:rPr>
        <w:t>残疾人劳动就业服务所人员工资、社保等</w:t>
      </w:r>
      <w:r>
        <w:rPr>
          <w:rFonts w:hint="eastAsia" w:cs="仿宋_GB2312"/>
          <w:sz w:val="32"/>
          <w:szCs w:val="32"/>
          <w:highlight w:val="none"/>
          <w:lang w:eastAsia="zh-CN"/>
        </w:rPr>
        <w:t>资金</w:t>
      </w:r>
      <w:r>
        <w:rPr>
          <w:rFonts w:hint="eastAsia" w:cs="仿宋_GB2312"/>
          <w:sz w:val="32"/>
          <w:szCs w:val="32"/>
          <w:highlight w:val="none"/>
          <w:lang w:val="en-US" w:eastAsia="zh-CN"/>
        </w:rPr>
        <w:t>40万元，</w:t>
      </w:r>
      <w:r>
        <w:rPr>
          <w:rFonts w:hint="eastAsia" w:ascii="仿宋_GB2312" w:hAnsi="仿宋_GB2312" w:eastAsia="仿宋_GB2312" w:cs="仿宋_GB2312"/>
          <w:sz w:val="32"/>
          <w:szCs w:val="32"/>
          <w:highlight w:val="none"/>
          <w:lang w:val="en-US" w:eastAsia="zh-CN"/>
        </w:rPr>
        <w:t>资金到位率100%，执行率100%。</w:t>
      </w:r>
      <w:r>
        <w:rPr>
          <w:rFonts w:hint="eastAsia" w:ascii="仿宋" w:hAnsi="仿宋" w:eastAsia="仿宋"/>
          <w:sz w:val="32"/>
          <w:szCs w:val="32"/>
          <w:lang w:val="en-US" w:eastAsia="zh-CN"/>
        </w:rPr>
        <w:t>主要用于</w:t>
      </w:r>
      <w:r>
        <w:rPr>
          <w:rFonts w:hint="eastAsia" w:ascii="仿宋" w:hAnsi="仿宋" w:eastAsia="仿宋"/>
          <w:sz w:val="32"/>
          <w:szCs w:val="32"/>
        </w:rPr>
        <w:t>自收自支人员及临时</w:t>
      </w:r>
      <w:r>
        <w:rPr>
          <w:rFonts w:hint="eastAsia" w:ascii="仿宋" w:hAnsi="仿宋" w:eastAsia="仿宋"/>
          <w:sz w:val="32"/>
          <w:szCs w:val="32"/>
          <w:lang w:eastAsia="zh-CN"/>
        </w:rPr>
        <w:t>人员</w:t>
      </w:r>
      <w:r>
        <w:rPr>
          <w:rFonts w:hint="eastAsia" w:ascii="仿宋" w:hAnsi="仿宋" w:eastAsia="仿宋"/>
          <w:sz w:val="32"/>
          <w:szCs w:val="32"/>
        </w:rPr>
        <w:t>工资，按时缴纳各种保险，按照上级规定发放各种补贴</w:t>
      </w:r>
      <w:r>
        <w:rPr>
          <w:rFonts w:hint="eastAsia" w:ascii="仿宋" w:hAnsi="仿宋" w:eastAsia="仿宋"/>
          <w:sz w:val="32"/>
          <w:szCs w:val="32"/>
          <w:lang w:eastAsia="zh-CN"/>
        </w:rPr>
        <w:t>，提高职工工作积极性。</w:t>
      </w:r>
    </w:p>
    <w:p>
      <w:pPr>
        <w:pStyle w:val="2"/>
        <w:rPr>
          <w:rFonts w:hint="eastAsia" w:ascii="黑体" w:hAnsi="黑体" w:eastAsia="黑体" w:cs="黑体"/>
          <w:sz w:val="32"/>
          <w:szCs w:val="32"/>
          <w:lang w:eastAsia="zh-CN"/>
        </w:rPr>
      </w:pPr>
      <w:r>
        <w:rPr>
          <w:rFonts w:hint="eastAsia" w:ascii="仿宋" w:hAnsi="仿宋" w:eastAsia="仿宋"/>
          <w:sz w:val="32"/>
          <w:szCs w:val="32"/>
          <w:lang w:val="en-US" w:eastAsia="zh-CN"/>
        </w:rPr>
        <w:t xml:space="preserve">    </w:t>
      </w:r>
      <w:r>
        <w:rPr>
          <w:rFonts w:hint="eastAsia" w:ascii="黑体" w:hAnsi="黑体" w:eastAsia="黑体" w:cs="黑体"/>
          <w:sz w:val="32"/>
          <w:szCs w:val="32"/>
          <w:lang w:eastAsia="zh-CN"/>
        </w:rPr>
        <w:t>四、评价结论和评价等级</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eastAsia="zh-CN"/>
        </w:rPr>
        <w:t>根据部门职责定位和各项工作履职情况进行综合评价，给出总得分，满分100分，得出综合绩效评价等级。部门整体支出综合绩效评价分为4个等级：得分≥85分为优秀；75≤得分＜85分为良好；60≤得分＜75分为一般；得分＜60分为较差。评价小组对本部门</w:t>
      </w:r>
      <w:r>
        <w:rPr>
          <w:rFonts w:hint="eastAsia" w:ascii="仿宋_GB2312" w:hAnsi="仿宋_GB2312" w:eastAsia="仿宋_GB2312" w:cs="仿宋_GB2312"/>
          <w:sz w:val="32"/>
          <w:szCs w:val="32"/>
          <w:highlight w:val="none"/>
          <w:lang w:val="en-US" w:eastAsia="zh-CN"/>
        </w:rPr>
        <w:t>38个项目，通过</w:t>
      </w:r>
      <w:r>
        <w:rPr>
          <w:rFonts w:hint="eastAsia" w:ascii="仿宋_GB2312" w:hAnsi="仿宋_GB2312" w:eastAsia="仿宋_GB2312" w:cs="仿宋_GB2312"/>
          <w:sz w:val="32"/>
          <w:szCs w:val="32"/>
          <w:highlight w:val="none"/>
          <w:lang w:eastAsia="zh-CN"/>
        </w:rPr>
        <w:t>听取汇报、查看资料、电话回访等方式，对项目整体进行评价，综合评价得分</w:t>
      </w:r>
      <w:r>
        <w:rPr>
          <w:rFonts w:hint="eastAsia" w:ascii="仿宋_GB2312" w:hAnsi="仿宋_GB2312" w:eastAsia="仿宋_GB2312" w:cs="仿宋_GB2312"/>
          <w:sz w:val="32"/>
          <w:szCs w:val="32"/>
          <w:highlight w:val="none"/>
          <w:lang w:val="en-US" w:eastAsia="zh-CN"/>
        </w:rPr>
        <w:t xml:space="preserve"> 97.02分，均达到优。</w:t>
      </w:r>
    </w:p>
    <w:p>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存在的问题及改进措施</w:t>
      </w:r>
    </w:p>
    <w:p>
      <w:pPr>
        <w:keepNext w:val="0"/>
        <w:keepLines w:val="0"/>
        <w:pageBreakBefore w:val="0"/>
        <w:widowControl w:val="0"/>
        <w:numPr>
          <w:ilvl w:val="0"/>
          <w:numId w:val="4"/>
        </w:numPr>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存在的主要问题</w:t>
      </w:r>
    </w:p>
    <w:p>
      <w:pPr>
        <w:pStyle w:val="2"/>
        <w:numPr>
          <w:ilvl w:val="0"/>
          <w:numId w:val="0"/>
        </w:numPr>
        <w:rPr>
          <w:rFonts w:hint="default" w:eastAsia="仿宋_GB2312"/>
          <w:lang w:val="en-US" w:eastAsia="zh-CN"/>
        </w:rPr>
      </w:pPr>
      <w:r>
        <w:rPr>
          <w:rFonts w:hint="eastAsia"/>
          <w:lang w:val="en-US" w:eastAsia="zh-CN"/>
        </w:rPr>
        <w:t xml:space="preserve">     一是</w:t>
      </w:r>
      <w:bookmarkStart w:id="0" w:name="_GoBack"/>
      <w:bookmarkEnd w:id="0"/>
      <w:r>
        <w:rPr>
          <w:rFonts w:hint="eastAsia"/>
          <w:lang w:val="en-US" w:eastAsia="zh-CN"/>
        </w:rPr>
        <w:t>残疾人儿童康复、早期干预绩效目标完成缓慢；二是绩效目标实施前期推进不够主动，措施方法有待提高和改进。</w:t>
      </w:r>
    </w:p>
    <w:p>
      <w:pPr>
        <w:keepNext w:val="0"/>
        <w:keepLines w:val="0"/>
        <w:pageBreakBefore w:val="0"/>
        <w:widowControl w:val="0"/>
        <w:numPr>
          <w:ilvl w:val="0"/>
          <w:numId w:val="4"/>
        </w:numPr>
        <w:kinsoku/>
        <w:wordWrap/>
        <w:overflowPunct/>
        <w:topLinePunct w:val="0"/>
        <w:autoSpaceDE/>
        <w:autoSpaceDN/>
        <w:bidi w:val="0"/>
        <w:spacing w:line="560" w:lineRule="exact"/>
        <w:ind w:left="0" w:leftChars="0"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针对问题提出具体的改进措施或建议</w:t>
      </w:r>
    </w:p>
    <w:p>
      <w:pPr>
        <w:pStyle w:val="2"/>
        <w:numPr>
          <w:ilvl w:val="0"/>
          <w:numId w:val="0"/>
        </w:numPr>
        <w:ind w:firstLine="640" w:firstLineChars="200"/>
        <w:rPr>
          <w:rFonts w:hint="default" w:eastAsia="仿宋_GB2312"/>
          <w:lang w:val="en-US" w:eastAsia="zh-CN"/>
        </w:rPr>
      </w:pPr>
      <w:r>
        <w:rPr>
          <w:rFonts w:hint="eastAsia"/>
          <w:lang w:val="en-US" w:eastAsia="zh-CN"/>
        </w:rPr>
        <w:t>一是对承担任务机构进行督导，定期进行沟通,确保按优质高效完成服务；二是提前谋划，早准备、早着手，按任务时间节点，整体推进工作进展。</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六、评价工作组人员名单及签字（姓名、工作单位、职务、职称）</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组  长：路存贵  党组书记</w:t>
      </w:r>
    </w:p>
    <w:p>
      <w:pPr>
        <w:pStyle w:val="2"/>
        <w:ind w:firstLine="640"/>
        <w:rPr>
          <w:rFonts w:hint="eastAsia"/>
          <w:lang w:val="en-US" w:eastAsia="zh-CN"/>
        </w:rPr>
      </w:pPr>
      <w:r>
        <w:rPr>
          <w:rFonts w:hint="eastAsia"/>
          <w:lang w:val="en-US" w:eastAsia="zh-CN"/>
        </w:rPr>
        <w:t>副组长：申军和  理事长</w:t>
      </w:r>
    </w:p>
    <w:p>
      <w:pPr>
        <w:pStyle w:val="2"/>
        <w:ind w:firstLine="1929" w:firstLineChars="603"/>
        <w:rPr>
          <w:rFonts w:hint="eastAsia"/>
          <w:lang w:val="en-US" w:eastAsia="zh-CN"/>
        </w:rPr>
      </w:pPr>
      <w:r>
        <w:rPr>
          <w:rFonts w:hint="eastAsia"/>
          <w:lang w:val="en-US" w:eastAsia="zh-CN"/>
        </w:rPr>
        <w:t>胡晓青  副理事长</w:t>
      </w:r>
    </w:p>
    <w:p>
      <w:pPr>
        <w:pStyle w:val="2"/>
        <w:ind w:firstLine="640"/>
        <w:rPr>
          <w:rFonts w:hint="eastAsia"/>
          <w:lang w:val="en-US" w:eastAsia="zh-CN"/>
        </w:rPr>
      </w:pPr>
      <w:r>
        <w:rPr>
          <w:rFonts w:hint="eastAsia"/>
          <w:lang w:val="en-US" w:eastAsia="zh-CN"/>
        </w:rPr>
        <w:t xml:space="preserve">        苏春增  副理事长</w:t>
      </w:r>
    </w:p>
    <w:p>
      <w:pPr>
        <w:pStyle w:val="2"/>
        <w:ind w:firstLine="640"/>
        <w:rPr>
          <w:rFonts w:hint="eastAsia"/>
          <w:lang w:val="en-US" w:eastAsia="zh-CN"/>
        </w:rPr>
      </w:pPr>
      <w:r>
        <w:rPr>
          <w:rFonts w:hint="eastAsia"/>
          <w:lang w:val="en-US" w:eastAsia="zh-CN"/>
        </w:rPr>
        <w:t>成  员：郭春晓  组就部负责人</w:t>
      </w:r>
    </w:p>
    <w:p>
      <w:pPr>
        <w:pStyle w:val="2"/>
        <w:ind w:firstLine="640"/>
        <w:rPr>
          <w:rFonts w:hint="eastAsia"/>
          <w:lang w:val="en-US" w:eastAsia="zh-CN"/>
        </w:rPr>
      </w:pPr>
      <w:r>
        <w:rPr>
          <w:rFonts w:hint="eastAsia"/>
          <w:lang w:val="en-US" w:eastAsia="zh-CN"/>
        </w:rPr>
        <w:t xml:space="preserve">        张平均  康复部负责人</w:t>
      </w:r>
    </w:p>
    <w:p>
      <w:pPr>
        <w:pStyle w:val="2"/>
        <w:ind w:firstLine="640"/>
        <w:rPr>
          <w:rFonts w:hint="eastAsia"/>
          <w:lang w:val="en-US" w:eastAsia="zh-CN"/>
        </w:rPr>
      </w:pPr>
      <w:r>
        <w:rPr>
          <w:rFonts w:hint="eastAsia"/>
          <w:lang w:val="en-US" w:eastAsia="zh-CN"/>
        </w:rPr>
        <w:t xml:space="preserve">        李彦波  就业所负责人</w:t>
      </w:r>
    </w:p>
    <w:p>
      <w:pPr>
        <w:pStyle w:val="2"/>
        <w:ind w:firstLine="640"/>
        <w:rPr>
          <w:rFonts w:hint="default"/>
          <w:lang w:val="en-US" w:eastAsia="zh-CN"/>
        </w:rPr>
      </w:pPr>
      <w:r>
        <w:rPr>
          <w:rFonts w:hint="eastAsia"/>
          <w:lang w:val="en-US" w:eastAsia="zh-CN"/>
        </w:rPr>
        <w:t xml:space="preserve">        张军锋  办公室</w:t>
      </w:r>
    </w:p>
    <w:sectPr>
      <w:headerReference r:id="rId3" w:type="default"/>
      <w:footerReference r:id="rId4" w:type="default"/>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方正小标宋简体">
    <w:altName w:val="黑体"/>
    <w:panose1 w:val="02000000000000000000"/>
    <w:charset w:val="86"/>
    <w:family w:val="auto"/>
    <w:pitch w:val="default"/>
    <w:sig w:usb0="00000000" w:usb1="00000000" w:usb2="00000012"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等线">
    <w:altName w:val="微软雅黑"/>
    <w:panose1 w:val="02010600030101010101"/>
    <w:charset w:val="86"/>
    <w:family w:val="auto"/>
    <w:pitch w:val="default"/>
    <w:sig w:usb0="00000000" w:usb1="00000000" w:usb2="00000016" w:usb3="00000000" w:csb0="0004000F"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M6pebnPAAAABQEAAA8AAAAAAAAAAQAg&#10;AAAAIgAAAGRycy9kb3ducmV2LnhtbFBLAQIUABQAAAAIAIdO4kDApqiUpQEAAE8DAAAOAAAAAAAA&#10;AAEAIAAAAB4BAABkcnMvZTJvRG9jLnhtbFBLBQYAAAAABgAGAFkBAAA1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05F6081"/>
    <w:multiLevelType w:val="singleLevel"/>
    <w:tmpl w:val="905F6081"/>
    <w:lvl w:ilvl="0" w:tentative="0">
      <w:start w:val="2"/>
      <w:numFmt w:val="chineseCounting"/>
      <w:suff w:val="nothing"/>
      <w:lvlText w:val="（%1）"/>
      <w:lvlJc w:val="left"/>
      <w:rPr>
        <w:rFonts w:hint="eastAsia"/>
      </w:rPr>
    </w:lvl>
  </w:abstractNum>
  <w:abstractNum w:abstractNumId="1">
    <w:nsid w:val="98E0822F"/>
    <w:multiLevelType w:val="singleLevel"/>
    <w:tmpl w:val="98E0822F"/>
    <w:lvl w:ilvl="0" w:tentative="0">
      <w:start w:val="2"/>
      <w:numFmt w:val="chineseCounting"/>
      <w:suff w:val="nothing"/>
      <w:lvlText w:val="%1、"/>
      <w:lvlJc w:val="left"/>
      <w:rPr>
        <w:rFonts w:hint="eastAsia"/>
      </w:rPr>
    </w:lvl>
  </w:abstractNum>
  <w:abstractNum w:abstractNumId="2">
    <w:nsid w:val="2E3E2652"/>
    <w:multiLevelType w:val="singleLevel"/>
    <w:tmpl w:val="2E3E2652"/>
    <w:lvl w:ilvl="0" w:tentative="0">
      <w:start w:val="1"/>
      <w:numFmt w:val="chineseCounting"/>
      <w:suff w:val="nothing"/>
      <w:lvlText w:val="（%1）"/>
      <w:lvlJc w:val="left"/>
      <w:rPr>
        <w:rFonts w:hint="eastAsia"/>
      </w:rPr>
    </w:lvl>
  </w:abstractNum>
  <w:abstractNum w:abstractNumId="3">
    <w:nsid w:val="330718AF"/>
    <w:multiLevelType w:val="singleLevel"/>
    <w:tmpl w:val="330718AF"/>
    <w:lvl w:ilvl="0" w:tentative="0">
      <w:start w:val="5"/>
      <w:numFmt w:val="chineseCounting"/>
      <w:suff w:val="nothing"/>
      <w:lvlText w:val="%1、"/>
      <w:lvlJc w:val="left"/>
      <w:rPr>
        <w:rFonts w:hint="eastAsia"/>
      </w:r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E2ZDVhYjFkNzNmZjA0ZTExM2M2ODcxZGVjNWRjNGE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6F351D"/>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A58E7"/>
    <w:rsid w:val="00DE50A2"/>
    <w:rsid w:val="00DF6FF4"/>
    <w:rsid w:val="00E03726"/>
    <w:rsid w:val="00E17D5D"/>
    <w:rsid w:val="00E61BFC"/>
    <w:rsid w:val="00E841B7"/>
    <w:rsid w:val="00ED5E84"/>
    <w:rsid w:val="00EF16A3"/>
    <w:rsid w:val="00F57E52"/>
    <w:rsid w:val="00FB4297"/>
    <w:rsid w:val="012B1693"/>
    <w:rsid w:val="04545B40"/>
    <w:rsid w:val="055B525F"/>
    <w:rsid w:val="067619AD"/>
    <w:rsid w:val="08C3038F"/>
    <w:rsid w:val="09A31736"/>
    <w:rsid w:val="0CD07633"/>
    <w:rsid w:val="0D807686"/>
    <w:rsid w:val="13B61930"/>
    <w:rsid w:val="187A10B6"/>
    <w:rsid w:val="18CB2365"/>
    <w:rsid w:val="1A3B21A2"/>
    <w:rsid w:val="1BAF1154"/>
    <w:rsid w:val="1C655171"/>
    <w:rsid w:val="1DD43585"/>
    <w:rsid w:val="20276775"/>
    <w:rsid w:val="267B0988"/>
    <w:rsid w:val="26B75F6B"/>
    <w:rsid w:val="271C5B34"/>
    <w:rsid w:val="2D931A14"/>
    <w:rsid w:val="2F2C2A40"/>
    <w:rsid w:val="344704E1"/>
    <w:rsid w:val="385735DC"/>
    <w:rsid w:val="38D12500"/>
    <w:rsid w:val="39744C0B"/>
    <w:rsid w:val="3AEF6FE7"/>
    <w:rsid w:val="3B6E3DE5"/>
    <w:rsid w:val="3ED36703"/>
    <w:rsid w:val="40DE1917"/>
    <w:rsid w:val="441F3676"/>
    <w:rsid w:val="457A6A51"/>
    <w:rsid w:val="469E2D3C"/>
    <w:rsid w:val="493B718D"/>
    <w:rsid w:val="4E785AF9"/>
    <w:rsid w:val="4EAA42E8"/>
    <w:rsid w:val="4F0A52FC"/>
    <w:rsid w:val="53A42ADD"/>
    <w:rsid w:val="546B3A60"/>
    <w:rsid w:val="55CD62AE"/>
    <w:rsid w:val="55D954AA"/>
    <w:rsid w:val="563B01B4"/>
    <w:rsid w:val="56604927"/>
    <w:rsid w:val="57475561"/>
    <w:rsid w:val="590F0BE0"/>
    <w:rsid w:val="5A3F64CB"/>
    <w:rsid w:val="5C4A315B"/>
    <w:rsid w:val="5D935052"/>
    <w:rsid w:val="5FF54806"/>
    <w:rsid w:val="64D65B1E"/>
    <w:rsid w:val="657F4A33"/>
    <w:rsid w:val="661D3074"/>
    <w:rsid w:val="668A4506"/>
    <w:rsid w:val="69030BDE"/>
    <w:rsid w:val="6B1C1E0E"/>
    <w:rsid w:val="6BDE7164"/>
    <w:rsid w:val="727D6F8F"/>
    <w:rsid w:val="72DD6F86"/>
    <w:rsid w:val="753E35D3"/>
    <w:rsid w:val="7D5A6311"/>
    <w:rsid w:val="7E8B2676"/>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qFormat="1" w:unhideWhenUsed="0" w:uiPriority="0" w:semiHidden="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unhideWhenUsed/>
    <w:qFormat/>
    <w:uiPriority w:val="1"/>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styleId="2">
    <w:name w:val="Body Text"/>
    <w:basedOn w:val="1"/>
    <w:qFormat/>
    <w:uiPriority w:val="0"/>
    <w:rPr>
      <w:rFonts w:ascii="仿宋_GB2312" w:hAnsi="仿宋_GB2312" w:eastAsia="仿宋_GB2312" w:cs="仿宋_GB2312"/>
      <w:sz w:val="32"/>
      <w:szCs w:val="32"/>
      <w:lang w:val="zh-CN"/>
    </w:rPr>
  </w:style>
  <w:style w:type="paragraph" w:styleId="3">
    <w:name w:val="footer"/>
    <w:basedOn w:val="1"/>
    <w:link w:val="8"/>
    <w:unhideWhenUsed/>
    <w:qFormat/>
    <w:uiPriority w:val="99"/>
    <w:pPr>
      <w:tabs>
        <w:tab w:val="center" w:pos="4153"/>
        <w:tab w:val="right" w:pos="8306"/>
      </w:tabs>
      <w:snapToGrid w:val="0"/>
      <w:jc w:val="left"/>
    </w:pPr>
    <w:rPr>
      <w:sz w:val="18"/>
      <w:szCs w:val="18"/>
    </w:rPr>
  </w:style>
  <w:style w:type="paragraph" w:styleId="4">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页眉 Char"/>
    <w:basedOn w:val="6"/>
    <w:link w:val="4"/>
    <w:qFormat/>
    <w:uiPriority w:val="99"/>
    <w:rPr>
      <w:sz w:val="18"/>
      <w:szCs w:val="18"/>
    </w:rPr>
  </w:style>
  <w:style w:type="character" w:customStyle="1" w:styleId="8">
    <w:name w:val="页脚 Char"/>
    <w:basedOn w:val="6"/>
    <w:link w:val="3"/>
    <w:qFormat/>
    <w:uiPriority w:val="99"/>
    <w:rPr>
      <w:sz w:val="18"/>
      <w:szCs w:val="18"/>
    </w:rPr>
  </w:style>
  <w:style w:type="paragraph" w:customStyle="1" w:styleId="9">
    <w:name w:val="Normal Indent1"/>
    <w:basedOn w:val="1"/>
    <w:qFormat/>
    <w:uiPriority w:val="0"/>
    <w:pPr>
      <w:ind w:firstLine="420" w:firstLineChars="200"/>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1</Pages>
  <Words>373</Words>
  <Characters>373</Characters>
  <Lines>3</Lines>
  <Paragraphs>1</Paragraphs>
  <TotalTime>2</TotalTime>
  <ScaleCrop>false</ScaleCrop>
  <LinksUpToDate>false</LinksUpToDate>
  <CharactersWithSpaces>373</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Administrator</cp:lastModifiedBy>
  <cp:lastPrinted>2021-02-24T05:43:00Z</cp:lastPrinted>
  <dcterms:modified xsi:type="dcterms:W3CDTF">2024-06-03T05:06:41Z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y fmtid="{D5CDD505-2E9C-101B-9397-08002B2CF9AE}" pid="3" name="ICV">
    <vt:lpwstr>28C64EFCB758481798A31117B3E7B5E3</vt:lpwstr>
  </property>
</Properties>
</file>