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bookmarkStart w:id="0" w:name="_GoBack"/>
      <w:bookmarkEnd w:id="0"/>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石家庄市藁城区民族宗教事务局</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3</w:t>
      </w:r>
      <w:r>
        <w:rPr>
          <w:rFonts w:hint="eastAsia" w:ascii="方正小标宋简体" w:hAnsi="方正小标宋简体" w:eastAsia="方正小标宋简体" w:cs="方正小标宋简体"/>
          <w:b w:val="0"/>
          <w:bCs w:val="0"/>
          <w:sz w:val="44"/>
          <w:szCs w:val="44"/>
        </w:rPr>
        <w:t>年度整体支出绩效自评工作报告</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w:t>
      </w:r>
      <w:r>
        <w:rPr>
          <w:rFonts w:hint="eastAsia" w:ascii="仿宋_GB2312" w:hAnsi="仿宋_GB2312" w:eastAsia="仿宋_GB2312" w:cs="仿宋_GB2312"/>
          <w:sz w:val="32"/>
          <w:szCs w:val="32"/>
          <w:highlight w:val="none"/>
          <w:lang w:val="en-US" w:eastAsia="zh-CN"/>
        </w:rPr>
        <w:t>民宗局</w:t>
      </w:r>
      <w:r>
        <w:rPr>
          <w:rFonts w:hint="eastAsia" w:ascii="仿宋_GB2312" w:hAnsi="仿宋_GB2312" w:eastAsia="仿宋_GB2312" w:cs="仿宋_GB2312"/>
          <w:sz w:val="32"/>
          <w:szCs w:val="32"/>
          <w:highlight w:val="none"/>
          <w:lang w:eastAsia="zh-CN"/>
        </w:rPr>
        <w:t>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年整体支出情况实施了财政支出绩效自评价，形成本评价报告。</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简述部门职能、组织机构及人员、资产等基本情况。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部门职能：</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1、贯彻执行党和国家民族、宗教工作方针、政策，研究并拟订全区有关民族、宗教事务的规范性文件，制定落实措施并监督检查执行情况。开展民族、宗教法律、法规和政策的宣传教育工作。</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协调全区民族关系，促进各民族间的平等团结、互相合作，依法保护少数民族合法权益。处理涉及民族关系的有关事宜。建立和完善少数民族事业发展综合评价监测体系，推进实施民族事务服务体系和民族事务管理信息化建设。组织承办区民族团结进步表彰活动。</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3、配合有关部门做好少数民族的扶贫工作。参与有关少数民族的专项贷款、专项资金的分配和使用管理。</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4、协调有关部门促进全区少数民族教育、科技、文化、卫生、体育等社会事业的发展。</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5、依法保护公民宗教信仰自由，维护宗教团体和宗教场所的合法权益，保护宗教教职人员履行正常的教务活动，保护信教群众正常的宗教活动。</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6、依法加强对全区宗教事务的管理，引导宗教在法律、法规和政策范围内活动，防止和制止利用宗教进行非法、违法活动，抵御境外利用宗教进行的渗透活动。</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7、配合有关部门和宗教界开展对外以及对港澳台的宗教交往活动和涉及民族和宗教对外宣传工作。</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8、协助有关部门做好全区少数民族干部和各类专业技术人才的培养、教育和使用工作。</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9、指导乡（镇）、村民族、宗教工作，及时处理民族、宗教方面的突发事件和影响社会稳定的因素。</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10、按程序做好清真食品生产经营许可的审批工作。依法做好清真食品生产经营的监管工作，打击违法生产经营清真食品经营的行为，维护少数民族合法权益。</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11、承办区政府交办的其他事项。</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组织机构及人员、资产等基本情况。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p>
    <w:tbl>
      <w:tblPr>
        <w:tblStyle w:val="6"/>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4226"/>
        <w:gridCol w:w="1985"/>
        <w:gridCol w:w="23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4226"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1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384"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4226"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石家庄市藁城区民族宗教事务局</w:t>
            </w:r>
          </w:p>
        </w:tc>
        <w:tc>
          <w:tcPr>
            <w:tcW w:w="1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行政单位</w:t>
            </w:r>
          </w:p>
        </w:tc>
        <w:tc>
          <w:tcPr>
            <w:tcW w:w="2384"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bl>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本单位编制人数8人，年末实有人数7人。</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2023年末资产总额18.66万元。</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p>
    <w:p>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部门收支预决算情况</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textAlignment w:val="auto"/>
        <w:rPr>
          <w:rFonts w:hint="eastAsia" w:ascii="楷体_GB2312" w:hAnsi="楷体_GB2312" w:eastAsia="楷体_GB2312" w:cs="楷体_GB2312"/>
          <w:bCs/>
          <w:sz w:val="32"/>
          <w:szCs w:val="32"/>
          <w:lang w:val="en-US" w:eastAsia="zh-CN"/>
        </w:rPr>
      </w:pPr>
      <w:r>
        <w:rPr>
          <w:rFonts w:hint="eastAsia" w:ascii="楷体_GB2312" w:hAnsi="楷体_GB2312" w:eastAsia="楷体_GB2312" w:cs="楷体_GB2312"/>
          <w:bCs/>
          <w:sz w:val="32"/>
          <w:szCs w:val="32"/>
          <w:lang w:val="en-US" w:eastAsia="zh-CN"/>
        </w:rPr>
        <w:t xml:space="preserve">     本部门2023年度预算收支585.10万元，其中基本支出275.28万元，项目支出309.81万元。</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textAlignment w:val="auto"/>
        <w:rPr>
          <w:rFonts w:hint="default" w:ascii="楷体_GB2312" w:hAnsi="楷体_GB2312" w:eastAsia="楷体_GB2312" w:cs="楷体_GB2312"/>
          <w:bCs/>
          <w:sz w:val="32"/>
          <w:szCs w:val="32"/>
          <w:lang w:val="en-US" w:eastAsia="zh-CN"/>
        </w:rPr>
      </w:pPr>
      <w:r>
        <w:rPr>
          <w:rFonts w:hint="eastAsia" w:ascii="楷体_GB2312" w:hAnsi="楷体_GB2312" w:eastAsia="楷体_GB2312" w:cs="楷体_GB2312"/>
          <w:bCs/>
          <w:sz w:val="32"/>
          <w:szCs w:val="32"/>
          <w:lang w:val="en-US" w:eastAsia="zh-CN"/>
        </w:rPr>
        <w:t xml:space="preserve">     本部门2023年度决算收支481.60万元，其中基本支出248.74万元，项目支出232.86万元。</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总体绩效目标：坚持以习近平新时代中国特色社会主义思想为指导，深入贯彻党的二十大和二十届各次会不会精神，做好新时代新阶段的民族宗教工作，全面落实省委十届三次全会部署，紧紧围绕铸牢中华民族共同体意识这一民族工作主线，坚持稳中求进，坚持加强党的领导，着力提高民族团结进步创建质量。努力实现贯彻落实党的民族宗教工作方针政策迈出新步伐，依法管理民族宗教事务迈上新台阶，发展民族团结进步事业取得新成效，引导宗教与社会主义社会相适应取得新突破，推进民族宗教工作人才队伍建设展现新活力，加强规范化服务型机关建设展示新风貌，确保民族宗教领域和谐稳定，做到有基础、有条件、有能力更好地服务大局，力争把具全区民族宗教工作推向新台阶。</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分项绩效目标：（一）加强宗教政策贯彻落实,宣传教育宗教界代表人士。</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绩效目标：贯彻执行党和国家民族、宗教工作方针、政策，开展民族、宗教法律、法规和政策的宣传教育工作。 </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绩效指标：贯彻落实民族宗教落实及相关法律法规宣传教育。召开专题会议，加强民族宗教领域培训，进行爱国爱教教育，依法管理宗教活动场所各项事务，提高广大宗教教职人员级信教群众的法律法规观念和爱国爱教意识，保障全区民族宗教界安全稳定。培训人员在人100人以上，培训次数3次以上，组织专题会议和爱国爱教教育5次以上，全年开展宣传民族宗教法律、法规和教育引导政策范围内活动，防止和制止利用宗教进行非法、违法活动，抵御境外利用宗教进行的渗透活动。</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（二）做好民族维稳工作，提升民族地区社会事业发展。</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绩效目标：处理涉及民族关系的有关事宜。建立和完善少数民族事业发展综合评价监测体系，推进实施民族事务服务体系和民族事务管理信息化建设。组织承办区民族团结进步表彰活动。</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绩效指标：广泛宣传民族宗教政策，营造“三个离不开思想”。积极谋划和帮助全区少数民族乡村各项社会事业发展。深入少数民族乡村各项工作的调查研究，每年5次。</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（三）进一步加强基层宗教工作，确保宗教活动有序开展。</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绩效目标：依法保护公民宗教信仰自由，维护宗教团体和宗教场所的合法权益，保护宗教教职人员履行正常的教务活动，保护信教群众正常的宗教活动。指导乡（镇）、村民族、宗教工作，及时处理民族、宗教方面的突发事件和影响社会稳定的因素。</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绩效指标：维护宗教团体和宗教场所的合法权益，保护宗教教职人员履行正常的教务活动，保护信教群众正常的宗教活动。及时处理民族、宗教方面的突发事件和影响社会稳定的因素。</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结合相关部门及乡镇，加大非法宗教活动场所检查力度，坚决取缔非法宗教活动场所和非法宗教活动，每年督导检查3次以上。</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p>
    <w:p>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自评的组织工作</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成立预算绩效评价小组。为保证绩效评价工作顺利开展，石家庄市藁城区民族宗教事务局成立了绩效评价小组，负责绩效评价的组织管理等工作。</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楷体_GB2312" w:hAnsi="楷体_GB2312" w:eastAsia="楷体_GB2312" w:cs="楷体_GB2312"/>
          <w:bCs/>
          <w:sz w:val="32"/>
          <w:szCs w:val="32"/>
        </w:rPr>
      </w:pPr>
    </w:p>
    <w:p>
      <w:pPr>
        <w:keepNext w:val="0"/>
        <w:keepLines w:val="0"/>
        <w:pageBreakBefore w:val="0"/>
        <w:widowControl w:val="0"/>
        <w:numPr>
          <w:ilvl w:val="0"/>
          <w:numId w:val="3"/>
        </w:numPr>
        <w:kinsoku/>
        <w:wordWrap/>
        <w:overflowPunct/>
        <w:topLinePunct w:val="0"/>
        <w:autoSpaceDE/>
        <w:autoSpaceDN/>
        <w:bidi w:val="0"/>
        <w:spacing w:line="560" w:lineRule="exact"/>
        <w:ind w:left="0" w:leftChars="0"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自评的方法和过程</w:t>
      </w:r>
    </w:p>
    <w:p>
      <w:pPr>
        <w:keepNext w:val="0"/>
        <w:keepLines w:val="0"/>
        <w:pageBreakBefore w:val="0"/>
        <w:widowControl w:val="0"/>
        <w:numPr>
          <w:ilvl w:val="0"/>
          <w:numId w:val="0"/>
        </w:numPr>
        <w:kinsoku/>
        <w:wordWrap/>
        <w:overflowPunct/>
        <w:topLinePunct w:val="0"/>
        <w:autoSpaceDE/>
        <w:autoSpaceDN/>
        <w:bidi w:val="0"/>
        <w:spacing w:line="560" w:lineRule="exact"/>
        <w:ind w:leftChars="200"/>
        <w:textAlignment w:val="auto"/>
        <w:rPr>
          <w:rFonts w:hint="eastAsia" w:ascii="楷体_GB2312" w:hAnsi="楷体_GB2312" w:eastAsia="楷体_GB2312" w:cs="楷体_GB2312"/>
          <w:bCs/>
          <w:sz w:val="32"/>
          <w:szCs w:val="32"/>
          <w:lang w:val="en-US" w:eastAsia="zh-CN"/>
        </w:rPr>
      </w:pPr>
      <w:r>
        <w:rPr>
          <w:rFonts w:hint="eastAsia" w:ascii="楷体_GB2312" w:hAnsi="楷体_GB2312" w:eastAsia="楷体_GB2312" w:cs="楷体_GB2312"/>
          <w:bCs/>
          <w:sz w:val="32"/>
          <w:szCs w:val="32"/>
          <w:lang w:val="en-US" w:eastAsia="zh-CN"/>
        </w:rPr>
        <w:t xml:space="preserve">    石家庄市藁城区民族宗教事务局按照藁财字【2020】23号文件《藁城区财政局关于印发&lt;藁城区区级部门预算项目绩效自评管理办法&gt;的通知》要求整理相关数据和资料，对部门综合绩效情况进行自我评价，由绩效评价领导小组牵头，组织局各科室对2023年所有与本部门相关的财政支出项目开展了自评，逐个项目填报了《区级部门预算项目自评表》，并撰写《2023部门年度绩效自评工作报告》。</w:t>
      </w:r>
    </w:p>
    <w:p>
      <w:pPr>
        <w:keepNext w:val="0"/>
        <w:keepLines w:val="0"/>
        <w:pageBreakBefore w:val="0"/>
        <w:widowControl w:val="0"/>
        <w:numPr>
          <w:ilvl w:val="0"/>
          <w:numId w:val="0"/>
        </w:numPr>
        <w:kinsoku/>
        <w:wordWrap/>
        <w:overflowPunct/>
        <w:topLinePunct w:val="0"/>
        <w:autoSpaceDE/>
        <w:autoSpaceDN/>
        <w:bidi w:val="0"/>
        <w:spacing w:line="560" w:lineRule="exact"/>
        <w:ind w:leftChars="200" w:firstLine="640" w:firstLineChars="200"/>
        <w:textAlignment w:val="auto"/>
        <w:rPr>
          <w:rFonts w:hint="eastAsia" w:ascii="楷体_GB2312" w:hAnsi="楷体_GB2312" w:eastAsia="楷体_GB2312" w:cs="楷体_GB2312"/>
          <w:bCs/>
          <w:sz w:val="32"/>
          <w:szCs w:val="32"/>
          <w:lang w:val="en-US" w:eastAsia="zh-CN"/>
        </w:rPr>
      </w:pPr>
      <w:r>
        <w:rPr>
          <w:rFonts w:hint="eastAsia" w:ascii="楷体_GB2312" w:hAnsi="楷体_GB2312" w:eastAsia="楷体_GB2312" w:cs="楷体_GB2312"/>
          <w:bCs/>
          <w:sz w:val="32"/>
          <w:szCs w:val="32"/>
          <w:lang w:val="en-US" w:eastAsia="zh-CN"/>
        </w:rPr>
        <w:t>石家庄市藁城区民族宗教事务局严格执行财经制度和管理规定，按时完成预算执行进度，严格控制、合理利用各项经费，按要求进行预算管理。</w:t>
      </w:r>
    </w:p>
    <w:p>
      <w:pPr>
        <w:keepNext w:val="0"/>
        <w:keepLines w:val="0"/>
        <w:pageBreakBefore w:val="0"/>
        <w:widowControl w:val="0"/>
        <w:numPr>
          <w:ilvl w:val="0"/>
          <w:numId w:val="0"/>
        </w:numPr>
        <w:kinsoku/>
        <w:wordWrap/>
        <w:overflowPunct/>
        <w:topLinePunct w:val="0"/>
        <w:autoSpaceDE/>
        <w:autoSpaceDN/>
        <w:bidi w:val="0"/>
        <w:spacing w:line="560" w:lineRule="exact"/>
        <w:ind w:leftChars="200"/>
        <w:textAlignment w:val="auto"/>
        <w:rPr>
          <w:rFonts w:hint="default" w:ascii="楷体_GB2312" w:hAnsi="楷体_GB2312" w:eastAsia="楷体_GB2312" w:cs="楷体_GB2312"/>
          <w:bCs/>
          <w:sz w:val="32"/>
          <w:szCs w:val="32"/>
          <w:lang w:val="en-US" w:eastAsia="zh-CN"/>
        </w:rPr>
      </w:pPr>
    </w:p>
    <w:p>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leftChars="0"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部门整体支出绩效目标实现情况及指标分析</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leftChars="200" w:right="0" w:rightChars="0" w:firstLine="640" w:firstLineChars="20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我局按照持续深入开展民族团结进步创建工作，扎实稳步推进民族乡村经济社会发展，坚持重拳整治宗教领域突出问题，高效稳妥处理民族宗教因素矛盾纠纷，持之以恒推进机关全面建设上水平的总体工作思路，认真谋划，狠抓落实。</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leftChars="200" w:right="0" w:rightChars="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本着民族地区发展的原则，紧紧围绕少数民族特色村寨建设，加快少数民族乡村基础设施，加速提升少数民族群众生产生活水平，提高少数民族群众幸福指数，努力使全区民族乡村的生产生活条件和环境面貌得到明显改善。</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leftChars="200" w:right="0" w:rightChars="0" w:firstLine="640" w:firstLineChars="20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为确保全区宗教领域安全稳定，适应新时期宗教领域与社会发展的需要，提升宗教界队伍的整体素质，有效贯彻执行国家关于宗教工作的方针政策，依法管理宗教事务，监督检查宗教活动场所，为藁城区宗教领域和谐稳定打下良好基础。按年初预算，我局202</w:t>
      </w:r>
      <w:r>
        <w:rPr>
          <w:rFonts w:hint="eastAsia" w:ascii="黑体" w:hAnsi="黑体" w:eastAsia="黑体" w:cs="黑体"/>
          <w:b w:val="0"/>
          <w:bCs w:val="0"/>
          <w:sz w:val="32"/>
          <w:szCs w:val="32"/>
          <w:lang w:val="en-US" w:eastAsia="zh-CN"/>
        </w:rPr>
        <w:t>3</w:t>
      </w:r>
      <w:r>
        <w:rPr>
          <w:rFonts w:hint="eastAsia" w:ascii="黑体" w:hAnsi="黑体" w:eastAsia="黑体" w:cs="黑体"/>
          <w:b w:val="0"/>
          <w:bCs w:val="0"/>
          <w:sz w:val="32"/>
          <w:szCs w:val="32"/>
          <w:lang w:eastAsia="zh-CN"/>
        </w:rPr>
        <w:t>年</w:t>
      </w:r>
      <w:r>
        <w:rPr>
          <w:rFonts w:hint="eastAsia" w:ascii="黑体" w:hAnsi="黑体" w:eastAsia="黑体" w:cs="黑体"/>
          <w:b w:val="0"/>
          <w:bCs w:val="0"/>
          <w:sz w:val="32"/>
          <w:szCs w:val="32"/>
          <w:lang w:val="en-US" w:eastAsia="zh-CN"/>
        </w:rPr>
        <w:t>调整</w:t>
      </w:r>
      <w:r>
        <w:rPr>
          <w:rFonts w:hint="eastAsia" w:ascii="黑体" w:hAnsi="黑体" w:eastAsia="黑体" w:cs="黑体"/>
          <w:b w:val="0"/>
          <w:bCs w:val="0"/>
          <w:sz w:val="32"/>
          <w:szCs w:val="32"/>
          <w:lang w:eastAsia="zh-CN"/>
        </w:rPr>
        <w:t>预算项目经费共</w:t>
      </w:r>
      <w:r>
        <w:rPr>
          <w:rFonts w:hint="eastAsia" w:ascii="黑体" w:hAnsi="黑体" w:eastAsia="黑体" w:cs="黑体"/>
          <w:b w:val="0"/>
          <w:bCs w:val="0"/>
          <w:sz w:val="32"/>
          <w:szCs w:val="32"/>
          <w:lang w:val="en-US" w:eastAsia="zh-CN"/>
        </w:rPr>
        <w:t>322.90</w:t>
      </w:r>
      <w:r>
        <w:rPr>
          <w:rFonts w:hint="eastAsia" w:ascii="黑体" w:hAnsi="黑体" w:eastAsia="黑体" w:cs="黑体"/>
          <w:b w:val="0"/>
          <w:bCs w:val="0"/>
          <w:sz w:val="32"/>
          <w:szCs w:val="32"/>
          <w:lang w:eastAsia="zh-CN"/>
        </w:rPr>
        <w:t>万元，目前已使用项目资金</w:t>
      </w:r>
      <w:r>
        <w:rPr>
          <w:rFonts w:hint="eastAsia" w:ascii="黑体" w:hAnsi="黑体" w:eastAsia="黑体" w:cs="黑体"/>
          <w:b w:val="0"/>
          <w:bCs w:val="0"/>
          <w:sz w:val="32"/>
          <w:szCs w:val="32"/>
          <w:lang w:val="en-US" w:eastAsia="zh-CN"/>
        </w:rPr>
        <w:t>232.86</w:t>
      </w:r>
      <w:r>
        <w:rPr>
          <w:rFonts w:hint="eastAsia" w:ascii="黑体" w:hAnsi="黑体" w:eastAsia="黑体" w:cs="黑体"/>
          <w:b w:val="0"/>
          <w:bCs w:val="0"/>
          <w:sz w:val="32"/>
          <w:szCs w:val="32"/>
          <w:lang w:eastAsia="zh-CN"/>
        </w:rPr>
        <w:t>万元。主要支出明细如下：</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leftChars="200" w:right="0" w:rightChars="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1、石财农[2022]80号提前下达2023年中央财政衔接推进乡村振兴补助资金</w:t>
      </w:r>
      <w:r>
        <w:rPr>
          <w:rFonts w:hint="eastAsia" w:ascii="黑体" w:hAnsi="黑体" w:eastAsia="黑体" w:cs="黑体"/>
          <w:b w:val="0"/>
          <w:bCs w:val="0"/>
          <w:sz w:val="32"/>
          <w:szCs w:val="32"/>
          <w:lang w:val="en-US" w:eastAsia="zh-CN"/>
        </w:rPr>
        <w:t>130万元</w:t>
      </w:r>
      <w:r>
        <w:rPr>
          <w:rFonts w:hint="eastAsia" w:ascii="黑体" w:hAnsi="黑体" w:eastAsia="黑体" w:cs="黑体"/>
          <w:b w:val="0"/>
          <w:bCs w:val="0"/>
          <w:sz w:val="32"/>
          <w:szCs w:val="32"/>
          <w:lang w:eastAsia="zh-CN"/>
        </w:rPr>
        <w:t>；2、</w:t>
      </w:r>
      <w:r>
        <w:rPr>
          <w:rFonts w:hint="eastAsia" w:ascii="黑体" w:hAnsi="黑体" w:eastAsia="黑体" w:cs="黑体"/>
          <w:b w:val="0"/>
          <w:bCs w:val="0"/>
          <w:sz w:val="32"/>
          <w:szCs w:val="32"/>
          <w:lang w:val="en-US" w:eastAsia="zh-CN"/>
        </w:rPr>
        <w:t>民族工作经费5</w:t>
      </w:r>
      <w:r>
        <w:rPr>
          <w:rFonts w:hint="eastAsia" w:ascii="黑体" w:hAnsi="黑体" w:eastAsia="黑体" w:cs="黑体"/>
          <w:b w:val="0"/>
          <w:bCs w:val="0"/>
          <w:sz w:val="32"/>
          <w:szCs w:val="32"/>
          <w:lang w:eastAsia="zh-CN"/>
        </w:rPr>
        <w:t>万元；3、</w:t>
      </w:r>
      <w:r>
        <w:rPr>
          <w:rFonts w:hint="eastAsia" w:ascii="黑体" w:hAnsi="黑体" w:eastAsia="黑体" w:cs="黑体"/>
          <w:b w:val="0"/>
          <w:bCs w:val="0"/>
          <w:sz w:val="32"/>
          <w:szCs w:val="32"/>
          <w:lang w:val="en-US" w:eastAsia="zh-CN"/>
        </w:rPr>
        <w:t>宗教工作经费20</w:t>
      </w:r>
      <w:r>
        <w:rPr>
          <w:rFonts w:hint="eastAsia" w:ascii="黑体" w:hAnsi="黑体" w:eastAsia="黑体" w:cs="黑体"/>
          <w:b w:val="0"/>
          <w:bCs w:val="0"/>
          <w:sz w:val="32"/>
          <w:szCs w:val="32"/>
          <w:lang w:eastAsia="zh-CN"/>
        </w:rPr>
        <w:t>万元（</w:t>
      </w:r>
      <w:r>
        <w:rPr>
          <w:rFonts w:hint="eastAsia" w:ascii="黑体" w:hAnsi="黑体" w:eastAsia="黑体" w:cs="黑体"/>
          <w:b w:val="0"/>
          <w:bCs w:val="0"/>
          <w:sz w:val="32"/>
          <w:szCs w:val="32"/>
          <w:lang w:val="en-US" w:eastAsia="zh-CN"/>
        </w:rPr>
        <w:t>支出17.96万元）</w:t>
      </w:r>
      <w:r>
        <w:rPr>
          <w:rFonts w:hint="eastAsia" w:ascii="黑体" w:hAnsi="黑体" w:eastAsia="黑体" w:cs="黑体"/>
          <w:b w:val="0"/>
          <w:bCs w:val="0"/>
          <w:sz w:val="32"/>
          <w:szCs w:val="32"/>
          <w:lang w:eastAsia="zh-CN"/>
        </w:rPr>
        <w:t>；4、</w:t>
      </w:r>
      <w:r>
        <w:rPr>
          <w:rFonts w:hint="eastAsia" w:ascii="黑体" w:hAnsi="黑体" w:eastAsia="黑体" w:cs="黑体"/>
          <w:b w:val="0"/>
          <w:bCs w:val="0"/>
          <w:sz w:val="32"/>
          <w:szCs w:val="32"/>
          <w:lang w:val="en-US" w:eastAsia="zh-CN"/>
        </w:rPr>
        <w:t>劳务派遣人员工资4.97</w:t>
      </w:r>
      <w:r>
        <w:rPr>
          <w:rFonts w:hint="eastAsia" w:ascii="黑体" w:hAnsi="黑体" w:eastAsia="黑体" w:cs="黑体"/>
          <w:b w:val="0"/>
          <w:bCs w:val="0"/>
          <w:sz w:val="32"/>
          <w:szCs w:val="32"/>
          <w:lang w:eastAsia="zh-CN"/>
        </w:rPr>
        <w:t>万元；5、驻村工作队工作生活保障经费</w:t>
      </w:r>
      <w:r>
        <w:rPr>
          <w:rFonts w:hint="eastAsia" w:ascii="黑体" w:hAnsi="黑体" w:eastAsia="黑体" w:cs="黑体"/>
          <w:b w:val="0"/>
          <w:bCs w:val="0"/>
          <w:sz w:val="32"/>
          <w:szCs w:val="32"/>
          <w:lang w:val="en-US" w:eastAsia="zh-CN"/>
        </w:rPr>
        <w:t>120</w:t>
      </w:r>
      <w:r>
        <w:rPr>
          <w:rFonts w:hint="eastAsia" w:ascii="黑体" w:hAnsi="黑体" w:eastAsia="黑体" w:cs="黑体"/>
          <w:b w:val="0"/>
          <w:bCs w:val="0"/>
          <w:sz w:val="32"/>
          <w:szCs w:val="32"/>
          <w:lang w:eastAsia="zh-CN"/>
        </w:rPr>
        <w:t>万元（</w:t>
      </w:r>
      <w:r>
        <w:rPr>
          <w:rFonts w:hint="eastAsia" w:ascii="黑体" w:hAnsi="黑体" w:eastAsia="黑体" w:cs="黑体"/>
          <w:b w:val="0"/>
          <w:bCs w:val="0"/>
          <w:sz w:val="32"/>
          <w:szCs w:val="32"/>
          <w:lang w:val="en-US" w:eastAsia="zh-CN"/>
        </w:rPr>
        <w:t>支出32万元）</w:t>
      </w:r>
      <w:r>
        <w:rPr>
          <w:rFonts w:hint="eastAsia" w:ascii="黑体" w:hAnsi="黑体" w:eastAsia="黑体" w:cs="黑体"/>
          <w:b w:val="0"/>
          <w:bCs w:val="0"/>
          <w:sz w:val="32"/>
          <w:szCs w:val="32"/>
          <w:lang w:eastAsia="zh-CN"/>
        </w:rPr>
        <w:t>；6、2017年中央少数民族发展资金</w:t>
      </w:r>
      <w:r>
        <w:rPr>
          <w:rFonts w:hint="eastAsia" w:ascii="黑体" w:hAnsi="黑体" w:eastAsia="黑体" w:cs="黑体"/>
          <w:b w:val="0"/>
          <w:bCs w:val="0"/>
          <w:sz w:val="32"/>
          <w:szCs w:val="32"/>
          <w:lang w:val="en-US" w:eastAsia="zh-CN"/>
        </w:rPr>
        <w:t>29.84</w:t>
      </w:r>
      <w:r>
        <w:rPr>
          <w:rFonts w:hint="eastAsia" w:ascii="黑体" w:hAnsi="黑体" w:eastAsia="黑体" w:cs="黑体"/>
          <w:b w:val="0"/>
          <w:bCs w:val="0"/>
          <w:sz w:val="32"/>
          <w:szCs w:val="32"/>
          <w:lang w:eastAsia="zh-CN"/>
        </w:rPr>
        <w:t>万元；7、医疗补助费</w:t>
      </w:r>
      <w:r>
        <w:rPr>
          <w:rFonts w:hint="eastAsia" w:ascii="黑体" w:hAnsi="黑体" w:eastAsia="黑体" w:cs="黑体"/>
          <w:b w:val="0"/>
          <w:bCs w:val="0"/>
          <w:sz w:val="32"/>
          <w:szCs w:val="32"/>
          <w:lang w:val="en-US" w:eastAsia="zh-CN"/>
        </w:rPr>
        <w:t>3.25</w:t>
      </w:r>
      <w:r>
        <w:rPr>
          <w:rFonts w:hint="eastAsia" w:ascii="黑体" w:hAnsi="黑体" w:eastAsia="黑体" w:cs="黑体"/>
          <w:b w:val="0"/>
          <w:bCs w:val="0"/>
          <w:sz w:val="32"/>
          <w:szCs w:val="32"/>
          <w:lang w:eastAsia="zh-CN"/>
        </w:rPr>
        <w:t>万元；8、修缮办公用房经费</w:t>
      </w:r>
      <w:r>
        <w:rPr>
          <w:rFonts w:hint="eastAsia" w:ascii="黑体" w:hAnsi="黑体" w:eastAsia="黑体" w:cs="黑体"/>
          <w:b w:val="0"/>
          <w:bCs w:val="0"/>
          <w:sz w:val="32"/>
          <w:szCs w:val="32"/>
          <w:lang w:val="en-US" w:eastAsia="zh-CN"/>
        </w:rPr>
        <w:t>9.84</w:t>
      </w:r>
      <w:r>
        <w:rPr>
          <w:rFonts w:hint="eastAsia" w:ascii="黑体" w:hAnsi="黑体" w:eastAsia="黑体" w:cs="黑体"/>
          <w:b w:val="0"/>
          <w:bCs w:val="0"/>
          <w:sz w:val="32"/>
          <w:szCs w:val="32"/>
          <w:lang w:eastAsia="zh-CN"/>
        </w:rPr>
        <w:t>万元。全年实现支出率</w:t>
      </w:r>
      <w:r>
        <w:rPr>
          <w:rFonts w:hint="eastAsia" w:ascii="黑体" w:hAnsi="黑体" w:eastAsia="黑体" w:cs="黑体"/>
          <w:b w:val="0"/>
          <w:bCs w:val="0"/>
          <w:sz w:val="32"/>
          <w:szCs w:val="32"/>
          <w:lang w:val="en-US" w:eastAsia="zh-CN"/>
        </w:rPr>
        <w:t>72.12</w:t>
      </w:r>
      <w:r>
        <w:rPr>
          <w:rFonts w:hint="eastAsia" w:ascii="黑体" w:hAnsi="黑体" w:eastAsia="黑体" w:cs="黑体"/>
          <w:b w:val="0"/>
          <w:bCs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leftChars="200" w:right="0" w:rightChars="0" w:firstLine="640" w:firstLineChars="20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我局将上述资金细化，根据区级财政经费支出要求，结合我单位实际情况，制定了切实可行、可量化、可考评的年度目标，并依据财政制定的相关财经制度、及行政会计制度，在严格实行专款专用的前提下进行了实时监控、全程监督。单位领导十分重视专项资金的使用，严格按财政相关要求对资金项目进行支出使用。</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leftChars="200" w:right="0" w:rightChars="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截止202</w:t>
      </w:r>
      <w:r>
        <w:rPr>
          <w:rFonts w:hint="eastAsia" w:ascii="黑体" w:hAnsi="黑体" w:eastAsia="黑体" w:cs="黑体"/>
          <w:b w:val="0"/>
          <w:bCs w:val="0"/>
          <w:sz w:val="32"/>
          <w:szCs w:val="32"/>
          <w:lang w:val="en-US" w:eastAsia="zh-CN"/>
        </w:rPr>
        <w:t>3</w:t>
      </w:r>
      <w:r>
        <w:rPr>
          <w:rFonts w:hint="eastAsia" w:ascii="黑体" w:hAnsi="黑体" w:eastAsia="黑体" w:cs="黑体"/>
          <w:b w:val="0"/>
          <w:bCs w:val="0"/>
          <w:sz w:val="32"/>
          <w:szCs w:val="32"/>
          <w:lang w:eastAsia="zh-CN"/>
        </w:rPr>
        <w:t>年12月底，单位尚未发现有挪用、挤占专项资金的情况，整个项目资金使用率已达到</w:t>
      </w:r>
      <w:r>
        <w:rPr>
          <w:rFonts w:hint="eastAsia" w:ascii="黑体" w:hAnsi="黑体" w:eastAsia="黑体" w:cs="黑体"/>
          <w:b w:val="0"/>
          <w:bCs w:val="0"/>
          <w:sz w:val="32"/>
          <w:szCs w:val="32"/>
          <w:lang w:val="en-US" w:eastAsia="zh-CN"/>
        </w:rPr>
        <w:t>72.12</w:t>
      </w:r>
      <w:r>
        <w:rPr>
          <w:rFonts w:hint="eastAsia" w:ascii="黑体" w:hAnsi="黑体" w:eastAsia="黑体" w:cs="黑体"/>
          <w:b w:val="0"/>
          <w:bCs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leftChars="200" w:right="0" w:rightChars="0"/>
        <w:textAlignment w:val="auto"/>
        <w:outlineLvl w:val="9"/>
        <w:rPr>
          <w:rFonts w:hint="eastAsia" w:ascii="黑体" w:hAnsi="黑体" w:eastAsia="黑体" w:cs="黑体"/>
          <w:b w:val="0"/>
          <w:bCs w:val="0"/>
          <w:sz w:val="32"/>
          <w:szCs w:val="32"/>
          <w:lang w:eastAsia="zh-CN"/>
        </w:rPr>
      </w:pP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为更好更全面地做好评价工作，石家庄市藁城区民族宗教局结合预算绩效评价的绩效目标，覆盖了部门工作投入、过程（执行）、产出、效果等四个方面。根据项目执行情况和项目绩效情况，对各项项目预算情况及绩效进行了综合评价，针对以上</w:t>
      </w:r>
      <w:r>
        <w:rPr>
          <w:rFonts w:hint="eastAsia" w:ascii="仿宋_GB2312" w:hAnsi="仿宋_GB2312" w:eastAsia="仿宋_GB2312" w:cs="仿宋_GB2312"/>
          <w:sz w:val="32"/>
          <w:szCs w:val="32"/>
          <w:highlight w:val="none"/>
          <w:lang w:val="en-US" w:eastAsia="zh-CN"/>
        </w:rPr>
        <w:t>8</w:t>
      </w:r>
      <w:r>
        <w:rPr>
          <w:rFonts w:hint="eastAsia" w:ascii="仿宋_GB2312" w:hAnsi="仿宋_GB2312" w:eastAsia="仿宋_GB2312" w:cs="仿宋_GB2312"/>
          <w:sz w:val="32"/>
          <w:szCs w:val="32"/>
          <w:highlight w:val="none"/>
          <w:lang w:eastAsia="zh-CN"/>
        </w:rPr>
        <w:t>项支出分类，设置了</w:t>
      </w:r>
      <w:r>
        <w:rPr>
          <w:rFonts w:hint="eastAsia" w:ascii="仿宋_GB2312" w:hAnsi="仿宋_GB2312" w:eastAsia="仿宋_GB2312" w:cs="仿宋_GB2312"/>
          <w:sz w:val="32"/>
          <w:szCs w:val="32"/>
          <w:highlight w:val="none"/>
          <w:lang w:val="en-US" w:eastAsia="zh-CN"/>
        </w:rPr>
        <w:t>8</w:t>
      </w:r>
      <w:r>
        <w:rPr>
          <w:rFonts w:hint="eastAsia" w:ascii="仿宋_GB2312" w:hAnsi="仿宋_GB2312" w:eastAsia="仿宋_GB2312" w:cs="仿宋_GB2312"/>
          <w:sz w:val="32"/>
          <w:szCs w:val="32"/>
          <w:highlight w:val="none"/>
          <w:lang w:eastAsia="zh-CN"/>
        </w:rPr>
        <w:t>个绩效自评表，综合绩效评价等级为“</w:t>
      </w:r>
      <w:r>
        <w:rPr>
          <w:rFonts w:hint="eastAsia" w:ascii="仿宋_GB2312" w:hAnsi="仿宋_GB2312" w:eastAsia="仿宋_GB2312" w:cs="仿宋_GB2312"/>
          <w:sz w:val="32"/>
          <w:szCs w:val="32"/>
          <w:highlight w:val="none"/>
          <w:lang w:val="en-US" w:eastAsia="zh-CN"/>
        </w:rPr>
        <w:t>一般</w:t>
      </w:r>
      <w:r>
        <w:rPr>
          <w:rFonts w:hint="eastAsia" w:ascii="仿宋_GB2312" w:hAnsi="仿宋_GB2312" w:eastAsia="仿宋_GB2312" w:cs="仿宋_GB2312"/>
          <w:sz w:val="32"/>
          <w:szCs w:val="32"/>
          <w:highlight w:val="none"/>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石家庄市藁城区民族宗教事务局 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年设立的绩效目标符合国家法律法规、国民经济和社会发展总体规划，符合部门“三定”方案确定的职能职责，符合部门中长期实施规划。绩效指标清晰、可量化，与部门年度的任务数相对应，与202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年预算资金相匹配。预算配置科学合理，预算执行积极有效，预算管理透明规范，资产管理安全高效，职责履行目标完成、质量达标，履职效益较好。202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年度石家庄市藁城区民族宗教事务局严格执行财经制度和管理规定，按时完成预算执行进度，严格控制、合理利用各项经费，鼓励合法合规的经费开支，按要求进行预算管理。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p>
    <w:p>
      <w:pPr>
        <w:keepNext w:val="0"/>
        <w:keepLines w:val="0"/>
        <w:pageBreakBefore w:val="0"/>
        <w:widowControl w:val="0"/>
        <w:numPr>
          <w:ilvl w:val="0"/>
          <w:numId w:val="4"/>
        </w:numPr>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1、加强政策学习，提高思想认识。组织单位工作人员认真学习《预算法》等相关法规，增强财务人员的预算意识，提高预算管理水平。加强财政资金管理，保证各项工作顺利开展，确保工作任务优质高效完成。</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了解资金使用是否达到了预期目标，资金管理是否规范，资金使用是否有效，检验资金支出效率和效果，分析存在问题及原因，及时总结经验，改进管理措施，不断增强和落实绩效管理责任，完善工作机制，有效提高资金管理水平和使用效益。</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3、通过整体支出绩效自评，制定了部门绩效管理办法及项目工作实施方案，建立了长效机制；促进单位规范使用项目资金。</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5"/>
        <w:tblW w:w="865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86"/>
        <w:gridCol w:w="2010"/>
        <w:gridCol w:w="2640"/>
        <w:gridCol w:w="22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1786" w:type="dxa"/>
          </w:tcPr>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姓名</w:t>
            </w:r>
          </w:p>
        </w:tc>
        <w:tc>
          <w:tcPr>
            <w:tcW w:w="2010" w:type="dxa"/>
          </w:tcPr>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工作单位</w:t>
            </w:r>
          </w:p>
        </w:tc>
        <w:tc>
          <w:tcPr>
            <w:tcW w:w="2640" w:type="dxa"/>
          </w:tcPr>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职务</w:t>
            </w:r>
          </w:p>
        </w:tc>
        <w:tc>
          <w:tcPr>
            <w:tcW w:w="2221" w:type="dxa"/>
          </w:tcPr>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trPr>
        <w:tc>
          <w:tcPr>
            <w:tcW w:w="1786" w:type="dxa"/>
          </w:tcPr>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孙景茹</w:t>
            </w:r>
          </w:p>
        </w:tc>
        <w:tc>
          <w:tcPr>
            <w:tcW w:w="2010" w:type="dxa"/>
          </w:tcPr>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民宗局</w:t>
            </w:r>
          </w:p>
        </w:tc>
        <w:tc>
          <w:tcPr>
            <w:tcW w:w="2640" w:type="dxa"/>
          </w:tcPr>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局长</w:t>
            </w:r>
          </w:p>
        </w:tc>
        <w:tc>
          <w:tcPr>
            <w:tcW w:w="2221" w:type="dxa"/>
          </w:tcPr>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4" w:hRule="atLeast"/>
        </w:trPr>
        <w:tc>
          <w:tcPr>
            <w:tcW w:w="1786" w:type="dxa"/>
          </w:tcPr>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张扬</w:t>
            </w:r>
          </w:p>
        </w:tc>
        <w:tc>
          <w:tcPr>
            <w:tcW w:w="2010" w:type="dxa"/>
          </w:tcPr>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民宗局</w:t>
            </w:r>
          </w:p>
        </w:tc>
        <w:tc>
          <w:tcPr>
            <w:tcW w:w="2640" w:type="dxa"/>
          </w:tcPr>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党组成员、副局长</w:t>
            </w:r>
          </w:p>
        </w:tc>
        <w:tc>
          <w:tcPr>
            <w:tcW w:w="2221" w:type="dxa"/>
          </w:tcPr>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786" w:type="dxa"/>
          </w:tcPr>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刘建军</w:t>
            </w:r>
          </w:p>
        </w:tc>
        <w:tc>
          <w:tcPr>
            <w:tcW w:w="2010" w:type="dxa"/>
          </w:tcPr>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民宗局</w:t>
            </w:r>
          </w:p>
        </w:tc>
        <w:tc>
          <w:tcPr>
            <w:tcW w:w="2640" w:type="dxa"/>
          </w:tcPr>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办公室主任</w:t>
            </w:r>
          </w:p>
        </w:tc>
        <w:tc>
          <w:tcPr>
            <w:tcW w:w="2221" w:type="dxa"/>
          </w:tcPr>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9" w:hRule="atLeast"/>
        </w:trPr>
        <w:tc>
          <w:tcPr>
            <w:tcW w:w="1786" w:type="dxa"/>
          </w:tcPr>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贺亚娜</w:t>
            </w:r>
          </w:p>
        </w:tc>
        <w:tc>
          <w:tcPr>
            <w:tcW w:w="2010" w:type="dxa"/>
          </w:tcPr>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民宗局</w:t>
            </w:r>
          </w:p>
        </w:tc>
        <w:tc>
          <w:tcPr>
            <w:tcW w:w="2640" w:type="dxa"/>
          </w:tcPr>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财务</w:t>
            </w:r>
          </w:p>
        </w:tc>
        <w:tc>
          <w:tcPr>
            <w:tcW w:w="2221" w:type="dxa"/>
          </w:tcPr>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p>
        </w:tc>
      </w:tr>
    </w:tbl>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altName w:val="方正舒体"/>
    <w:panose1 w:val="03000509000000000000"/>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方正舒体">
    <w:panose1 w:val="02010601030101010101"/>
    <w:charset w:val="86"/>
    <w:family w:val="auto"/>
    <w:pitch w:val="default"/>
    <w:sig w:usb0="00000003"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DBEABC44"/>
    <w:multiLevelType w:val="singleLevel"/>
    <w:tmpl w:val="DBEABC44"/>
    <w:lvl w:ilvl="0" w:tentative="0">
      <w:start w:val="1"/>
      <w:numFmt w:val="chineseCounting"/>
      <w:suff w:val="nothing"/>
      <w:lvlText w:val="（%1）"/>
      <w:lvlJc w:val="left"/>
      <w:rPr>
        <w:rFonts w:hint="eastAsia"/>
      </w:rPr>
    </w:lvl>
  </w:abstractNum>
  <w:abstractNum w:abstractNumId="2">
    <w:nsid w:val="330718AF"/>
    <w:multiLevelType w:val="singleLevel"/>
    <w:tmpl w:val="330718AF"/>
    <w:lvl w:ilvl="0" w:tentative="0">
      <w:start w:val="5"/>
      <w:numFmt w:val="chineseCounting"/>
      <w:suff w:val="nothing"/>
      <w:lvlText w:val="%1、"/>
      <w:lvlJc w:val="left"/>
      <w:rPr>
        <w:rFonts w:hint="eastAsia"/>
      </w:rPr>
    </w:lvl>
  </w:abstractNum>
  <w:abstractNum w:abstractNumId="3">
    <w:nsid w:val="7E0DD502"/>
    <w:multiLevelType w:val="singleLevel"/>
    <w:tmpl w:val="7E0DD502"/>
    <w:lvl w:ilvl="0" w:tentative="0">
      <w:start w:val="2"/>
      <w:numFmt w:val="chineseCounting"/>
      <w:suff w:val="nothing"/>
      <w:lvlText w:val="（%1）"/>
      <w:lvlJc w:val="left"/>
      <w:rPr>
        <w:rFonts w:hint="eastAsia"/>
      </w:r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Q3OTRkZDY5ODBkYWI2NWMxYmI0ZTM2MGNjYjUzMWY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6F351D"/>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A58E7"/>
    <w:rsid w:val="00DE50A2"/>
    <w:rsid w:val="00DF6FF4"/>
    <w:rsid w:val="00E03726"/>
    <w:rsid w:val="00E17D5D"/>
    <w:rsid w:val="00E61BFC"/>
    <w:rsid w:val="00E841B7"/>
    <w:rsid w:val="00ED5E84"/>
    <w:rsid w:val="00EF16A3"/>
    <w:rsid w:val="00F57E52"/>
    <w:rsid w:val="00FB4297"/>
    <w:rsid w:val="055B525F"/>
    <w:rsid w:val="055C132D"/>
    <w:rsid w:val="13B61930"/>
    <w:rsid w:val="1A3B21A2"/>
    <w:rsid w:val="1BAF1154"/>
    <w:rsid w:val="1C655171"/>
    <w:rsid w:val="20276775"/>
    <w:rsid w:val="26B75F6B"/>
    <w:rsid w:val="2A042D0F"/>
    <w:rsid w:val="2F2C2A40"/>
    <w:rsid w:val="344704E1"/>
    <w:rsid w:val="39744C0B"/>
    <w:rsid w:val="3AEF6FE7"/>
    <w:rsid w:val="441F3676"/>
    <w:rsid w:val="493B718D"/>
    <w:rsid w:val="501B54CC"/>
    <w:rsid w:val="51CE25CF"/>
    <w:rsid w:val="53A42ADD"/>
    <w:rsid w:val="5434470A"/>
    <w:rsid w:val="563B01B4"/>
    <w:rsid w:val="56604927"/>
    <w:rsid w:val="590F0BE0"/>
    <w:rsid w:val="5C4A315B"/>
    <w:rsid w:val="5D361833"/>
    <w:rsid w:val="661D3074"/>
    <w:rsid w:val="6B1C1E0E"/>
    <w:rsid w:val="6BDE7164"/>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rFonts w:asciiTheme="minorHAnsi" w:hAnsiTheme="minorHAnsi" w:eastAsiaTheme="minorEastAsia" w:cstheme="minorBidi"/>
      <w:b/>
      <w:bCs/>
      <w:kern w:val="44"/>
      <w:sz w:val="44"/>
      <w:szCs w:val="44"/>
    </w:rPr>
  </w:style>
  <w:style w:type="character" w:default="1" w:styleId="7">
    <w:name w:val="Default Paragraph Font"/>
    <w:unhideWhenUsed/>
    <w:qFormat/>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3">
    <w:name w:val="footer"/>
    <w:basedOn w:val="1"/>
    <w:link w:val="9"/>
    <w:autoRedefine/>
    <w:unhideWhenUsed/>
    <w:qFormat/>
    <w:uiPriority w:val="99"/>
    <w:pPr>
      <w:tabs>
        <w:tab w:val="center" w:pos="4153"/>
        <w:tab w:val="right" w:pos="8306"/>
      </w:tabs>
      <w:snapToGrid w:val="0"/>
      <w:jc w:val="left"/>
    </w:pPr>
    <w:rPr>
      <w:sz w:val="18"/>
      <w:szCs w:val="18"/>
    </w:rPr>
  </w:style>
  <w:style w:type="paragraph" w:styleId="4">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autoRedefine/>
    <w:qFormat/>
    <w:uiPriority w:val="0"/>
    <w:rPr>
      <w:rFonts w:asciiTheme="minorHAnsi" w:hAnsiTheme="minorHAnsi" w:eastAsiaTheme="minorEastAsia" w:cstheme="minorBidi"/>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8">
    <w:name w:val="页眉 Char"/>
    <w:basedOn w:val="7"/>
    <w:link w:val="4"/>
    <w:qFormat/>
    <w:uiPriority w:val="99"/>
    <w:rPr>
      <w:sz w:val="18"/>
      <w:szCs w:val="18"/>
    </w:rPr>
  </w:style>
  <w:style w:type="character" w:customStyle="1" w:styleId="9">
    <w:name w:val="页脚 Char"/>
    <w:basedOn w:val="7"/>
    <w:link w:val="3"/>
    <w:autoRedefine/>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9</Pages>
  <Words>3815</Words>
  <Characters>3953</Characters>
  <Lines>3</Lines>
  <Paragraphs>1</Paragraphs>
  <TotalTime>0</TotalTime>
  <ScaleCrop>false</ScaleCrop>
  <LinksUpToDate>false</LinksUpToDate>
  <CharactersWithSpaces>3968</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,赵</cp:lastModifiedBy>
  <cp:lastPrinted>2021-02-24T05:43:00Z</cp:lastPrinted>
  <dcterms:modified xsi:type="dcterms:W3CDTF">2024-08-20T01:49:19Z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9F712623E0464F5D9D41A95D390458D0_13</vt:lpwstr>
  </property>
</Properties>
</file>