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办理</w:t>
      </w:r>
      <w:r>
        <w:rPr>
          <w:rFonts w:hint="eastAsia" w:ascii="仿宋_GB2312" w:hAnsi="仿宋_GB2312" w:eastAsia="仿宋_GB2312" w:cs="仿宋_GB2312"/>
          <w:sz w:val="32"/>
          <w:szCs w:val="32"/>
        </w:rPr>
        <w:t>休学流程：学生如因伤病或本人不可抗拒的原因，一学期内缺课累计超过总课时数的三分之一仍不能上学的，由其父母或其他法定监护人提出书面休学申请，需要准备的材料有：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《河北省中小学生休学、复学申请表》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县级及以上医疗单位开具的诊断证明（盖章）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病例本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医药费票据。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以上材料由学校通过电子学籍系统报主管教育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行政部门登记后做休学处理。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9B1E63"/>
    <w:rsid w:val="244D61B3"/>
    <w:rsid w:val="4A0A433B"/>
    <w:rsid w:val="5360377C"/>
    <w:rsid w:val="60F13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2024-08-13T09:14:00Z</dcterms:created>
  <dc:creator>Administrator</dc:creator>
  <cp:lastModifiedBy>Administrator</cp:lastModifiedBy>
  <dcterms:modified xsi:type="dcterms:W3CDTF">2024-08-15T09:02:47Z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