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435石家庄市藁城区医疗保障局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11400.00</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11400.86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11400.00</w:t>
            </w:r>
          </w:p>
        </w:tc>
        <w:tc>
          <w:tcPr>
            <w:tcW w:w="1971" w:type="dxa"/>
            <w:vAlign w:val="center"/>
          </w:tcPr>
          <w:p>
            <w:pPr>
              <w:pStyle w:val="15"/>
            </w:pPr>
            <w:r>
              <w:t>本年支出合计</w:t>
            </w:r>
          </w:p>
        </w:tc>
        <w:tc>
          <w:tcPr>
            <w:tcW w:w="1971" w:type="dxa"/>
            <w:vAlign w:val="center"/>
          </w:tcPr>
          <w:p>
            <w:pPr>
              <w:pStyle w:val="16"/>
            </w:pPr>
            <w:r>
              <w:t>11400.86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0.86</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11400.86</w:t>
            </w:r>
          </w:p>
        </w:tc>
        <w:tc>
          <w:tcPr>
            <w:tcW w:w="1971" w:type="dxa"/>
            <w:vAlign w:val="center"/>
          </w:tcPr>
          <w:p>
            <w:pPr>
              <w:pStyle w:val="15"/>
            </w:pPr>
            <w:r>
              <w:t>支出总计</w:t>
            </w:r>
          </w:p>
        </w:tc>
        <w:tc>
          <w:tcPr>
            <w:tcW w:w="1971" w:type="dxa"/>
            <w:vAlign w:val="center"/>
          </w:tcPr>
          <w:p>
            <w:pPr>
              <w:pStyle w:val="16"/>
            </w:pPr>
            <w:r>
              <w:t>11400.86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435石家庄市藁城区医疗保障局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11400.86</w:t>
            </w:r>
          </w:p>
        </w:tc>
        <w:tc>
          <w:tcPr>
            <w:tcW w:w="758" w:type="dxa"/>
            <w:vAlign w:val="center"/>
          </w:tcPr>
          <w:p>
            <w:pPr>
              <w:pStyle w:val="16"/>
            </w:pPr>
            <w:r>
              <w:t>11400.00</w:t>
            </w:r>
          </w:p>
        </w:tc>
        <w:tc>
          <w:tcPr>
            <w:tcW w:w="758" w:type="dxa"/>
            <w:vAlign w:val="center"/>
          </w:tcPr>
          <w:p>
            <w:pPr>
              <w:pStyle w:val="16"/>
            </w:pPr>
            <w:r>
              <w:t>11400.00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11400.86</w:t>
            </w:r>
          </w:p>
        </w:tc>
        <w:tc>
          <w:tcPr>
            <w:tcW w:w="758" w:type="dxa"/>
            <w:vAlign w:val="center"/>
          </w:tcPr>
          <w:p>
            <w:pPr>
              <w:pStyle w:val="12"/>
            </w:pPr>
            <w:r>
              <w:t>11400.00</w:t>
            </w:r>
          </w:p>
        </w:tc>
        <w:tc>
          <w:tcPr>
            <w:tcW w:w="758" w:type="dxa"/>
            <w:vAlign w:val="center"/>
          </w:tcPr>
          <w:p>
            <w:pPr>
              <w:pStyle w:val="12"/>
            </w:pPr>
            <w:r>
              <w:t>11400.00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21012</w:t>
            </w:r>
          </w:p>
        </w:tc>
        <w:tc>
          <w:tcPr>
            <w:tcW w:w="758" w:type="dxa"/>
            <w:vAlign w:val="center"/>
          </w:tcPr>
          <w:p>
            <w:pPr>
              <w:pStyle w:val="13"/>
            </w:pPr>
            <w:r>
              <w:t>财政对基本医疗保险基金的补助</w:t>
            </w:r>
          </w:p>
        </w:tc>
        <w:tc>
          <w:tcPr>
            <w:tcW w:w="758" w:type="dxa"/>
            <w:vAlign w:val="center"/>
          </w:tcPr>
          <w:p>
            <w:pPr>
              <w:pStyle w:val="12"/>
            </w:pPr>
            <w:r>
              <w:t>8375.00</w:t>
            </w:r>
          </w:p>
        </w:tc>
        <w:tc>
          <w:tcPr>
            <w:tcW w:w="758" w:type="dxa"/>
            <w:vAlign w:val="center"/>
          </w:tcPr>
          <w:p>
            <w:pPr>
              <w:pStyle w:val="12"/>
            </w:pPr>
            <w:r>
              <w:t>8375.00</w:t>
            </w:r>
          </w:p>
        </w:tc>
        <w:tc>
          <w:tcPr>
            <w:tcW w:w="758" w:type="dxa"/>
            <w:vAlign w:val="center"/>
          </w:tcPr>
          <w:p>
            <w:pPr>
              <w:pStyle w:val="12"/>
            </w:pPr>
            <w:r>
              <w:t>8375.00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2101202</w:t>
            </w:r>
          </w:p>
        </w:tc>
        <w:tc>
          <w:tcPr>
            <w:tcW w:w="758" w:type="dxa"/>
            <w:vAlign w:val="center"/>
          </w:tcPr>
          <w:p>
            <w:pPr>
              <w:pStyle w:val="13"/>
            </w:pPr>
            <w:r>
              <w:t>财政对城乡居民基本医疗保险基金的补助</w:t>
            </w:r>
          </w:p>
        </w:tc>
        <w:tc>
          <w:tcPr>
            <w:tcW w:w="758" w:type="dxa"/>
            <w:vAlign w:val="center"/>
          </w:tcPr>
          <w:p>
            <w:pPr>
              <w:pStyle w:val="12"/>
            </w:pPr>
            <w:r>
              <w:t>8375.00</w:t>
            </w:r>
          </w:p>
        </w:tc>
        <w:tc>
          <w:tcPr>
            <w:tcW w:w="758" w:type="dxa"/>
            <w:vAlign w:val="center"/>
          </w:tcPr>
          <w:p>
            <w:pPr>
              <w:pStyle w:val="12"/>
            </w:pPr>
            <w:r>
              <w:t>8375.00</w:t>
            </w:r>
          </w:p>
        </w:tc>
        <w:tc>
          <w:tcPr>
            <w:tcW w:w="758" w:type="dxa"/>
            <w:vAlign w:val="center"/>
          </w:tcPr>
          <w:p>
            <w:pPr>
              <w:pStyle w:val="12"/>
            </w:pPr>
            <w:r>
              <w:t>8375.00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21013</w:t>
            </w:r>
          </w:p>
        </w:tc>
        <w:tc>
          <w:tcPr>
            <w:tcW w:w="758" w:type="dxa"/>
            <w:vAlign w:val="center"/>
          </w:tcPr>
          <w:p>
            <w:pPr>
              <w:pStyle w:val="13"/>
            </w:pPr>
            <w:r>
              <w:t>医疗救助</w:t>
            </w:r>
          </w:p>
        </w:tc>
        <w:tc>
          <w:tcPr>
            <w:tcW w:w="758" w:type="dxa"/>
            <w:vAlign w:val="center"/>
          </w:tcPr>
          <w:p>
            <w:pPr>
              <w:pStyle w:val="12"/>
            </w:pPr>
            <w:r>
              <w:t>1324.00</w:t>
            </w:r>
          </w:p>
        </w:tc>
        <w:tc>
          <w:tcPr>
            <w:tcW w:w="758" w:type="dxa"/>
            <w:vAlign w:val="center"/>
          </w:tcPr>
          <w:p>
            <w:pPr>
              <w:pStyle w:val="12"/>
            </w:pPr>
            <w:r>
              <w:t>1324.00</w:t>
            </w:r>
          </w:p>
        </w:tc>
        <w:tc>
          <w:tcPr>
            <w:tcW w:w="758" w:type="dxa"/>
            <w:vAlign w:val="center"/>
          </w:tcPr>
          <w:p>
            <w:pPr>
              <w:pStyle w:val="12"/>
            </w:pPr>
            <w:r>
              <w:t>1324.00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2101301</w:t>
            </w:r>
          </w:p>
        </w:tc>
        <w:tc>
          <w:tcPr>
            <w:tcW w:w="758" w:type="dxa"/>
            <w:vAlign w:val="center"/>
          </w:tcPr>
          <w:p>
            <w:pPr>
              <w:pStyle w:val="13"/>
            </w:pPr>
            <w:r>
              <w:t>城乡医疗救助</w:t>
            </w:r>
          </w:p>
        </w:tc>
        <w:tc>
          <w:tcPr>
            <w:tcW w:w="758" w:type="dxa"/>
            <w:vAlign w:val="center"/>
          </w:tcPr>
          <w:p>
            <w:pPr>
              <w:pStyle w:val="12"/>
            </w:pPr>
            <w:r>
              <w:t>1324.00</w:t>
            </w:r>
          </w:p>
        </w:tc>
        <w:tc>
          <w:tcPr>
            <w:tcW w:w="758" w:type="dxa"/>
            <w:vAlign w:val="center"/>
          </w:tcPr>
          <w:p>
            <w:pPr>
              <w:pStyle w:val="12"/>
            </w:pPr>
            <w:r>
              <w:t>1324.00</w:t>
            </w:r>
          </w:p>
        </w:tc>
        <w:tc>
          <w:tcPr>
            <w:tcW w:w="758" w:type="dxa"/>
            <w:vAlign w:val="center"/>
          </w:tcPr>
          <w:p>
            <w:pPr>
              <w:pStyle w:val="12"/>
            </w:pPr>
            <w:r>
              <w:t>1324.00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21015</w:t>
            </w:r>
          </w:p>
        </w:tc>
        <w:tc>
          <w:tcPr>
            <w:tcW w:w="758" w:type="dxa"/>
            <w:vAlign w:val="center"/>
          </w:tcPr>
          <w:p>
            <w:pPr>
              <w:pStyle w:val="13"/>
            </w:pPr>
            <w:r>
              <w:t>医疗保障管理事务</w:t>
            </w:r>
          </w:p>
        </w:tc>
        <w:tc>
          <w:tcPr>
            <w:tcW w:w="758" w:type="dxa"/>
            <w:vAlign w:val="center"/>
          </w:tcPr>
          <w:p>
            <w:pPr>
              <w:pStyle w:val="12"/>
            </w:pPr>
            <w:r>
              <w:t>1701.86</w:t>
            </w:r>
          </w:p>
        </w:tc>
        <w:tc>
          <w:tcPr>
            <w:tcW w:w="758" w:type="dxa"/>
            <w:vAlign w:val="center"/>
          </w:tcPr>
          <w:p>
            <w:pPr>
              <w:pStyle w:val="12"/>
            </w:pPr>
            <w:r>
              <w:t>1701.00</w:t>
            </w:r>
          </w:p>
        </w:tc>
        <w:tc>
          <w:tcPr>
            <w:tcW w:w="758" w:type="dxa"/>
            <w:vAlign w:val="center"/>
          </w:tcPr>
          <w:p>
            <w:pPr>
              <w:pStyle w:val="12"/>
            </w:pPr>
            <w:r>
              <w:t>1701.00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2101501</w:t>
            </w:r>
          </w:p>
        </w:tc>
        <w:tc>
          <w:tcPr>
            <w:tcW w:w="758" w:type="dxa"/>
            <w:vAlign w:val="center"/>
          </w:tcPr>
          <w:p>
            <w:pPr>
              <w:pStyle w:val="13"/>
            </w:pPr>
            <w:r>
              <w:t>行政运行</w:t>
            </w:r>
          </w:p>
        </w:tc>
        <w:tc>
          <w:tcPr>
            <w:tcW w:w="758" w:type="dxa"/>
            <w:vAlign w:val="center"/>
          </w:tcPr>
          <w:p>
            <w:pPr>
              <w:pStyle w:val="12"/>
            </w:pPr>
            <w:r>
              <w:t>743.00</w:t>
            </w:r>
          </w:p>
        </w:tc>
        <w:tc>
          <w:tcPr>
            <w:tcW w:w="758" w:type="dxa"/>
            <w:vAlign w:val="center"/>
          </w:tcPr>
          <w:p>
            <w:pPr>
              <w:pStyle w:val="12"/>
            </w:pPr>
            <w:r>
              <w:t>743.00</w:t>
            </w:r>
          </w:p>
        </w:tc>
        <w:tc>
          <w:tcPr>
            <w:tcW w:w="758" w:type="dxa"/>
            <w:vAlign w:val="center"/>
          </w:tcPr>
          <w:p>
            <w:pPr>
              <w:pStyle w:val="12"/>
            </w:pPr>
            <w:r>
              <w:t>743.00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2101506</w:t>
            </w:r>
          </w:p>
        </w:tc>
        <w:tc>
          <w:tcPr>
            <w:tcW w:w="758" w:type="dxa"/>
            <w:vAlign w:val="center"/>
          </w:tcPr>
          <w:p>
            <w:pPr>
              <w:pStyle w:val="13"/>
            </w:pPr>
            <w:r>
              <w:t>医疗保障经办事务</w:t>
            </w:r>
          </w:p>
        </w:tc>
        <w:tc>
          <w:tcPr>
            <w:tcW w:w="758" w:type="dxa"/>
            <w:vAlign w:val="center"/>
          </w:tcPr>
          <w:p>
            <w:pPr>
              <w:pStyle w:val="12"/>
            </w:pPr>
            <w:r>
              <w:t>58.86</w:t>
            </w:r>
          </w:p>
        </w:tc>
        <w:tc>
          <w:tcPr>
            <w:tcW w:w="758" w:type="dxa"/>
            <w:vAlign w:val="center"/>
          </w:tcPr>
          <w:p>
            <w:pPr>
              <w:pStyle w:val="12"/>
            </w:pPr>
            <w:r>
              <w:t>58.00</w:t>
            </w:r>
          </w:p>
        </w:tc>
        <w:tc>
          <w:tcPr>
            <w:tcW w:w="758" w:type="dxa"/>
            <w:vAlign w:val="center"/>
          </w:tcPr>
          <w:p>
            <w:pPr>
              <w:pStyle w:val="12"/>
            </w:pPr>
            <w:r>
              <w:t>58.00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2101599</w:t>
            </w:r>
          </w:p>
        </w:tc>
        <w:tc>
          <w:tcPr>
            <w:tcW w:w="758" w:type="dxa"/>
            <w:vAlign w:val="center"/>
          </w:tcPr>
          <w:p>
            <w:pPr>
              <w:pStyle w:val="13"/>
            </w:pPr>
            <w:r>
              <w:t>其他医疗保障管理事务支出</w:t>
            </w:r>
          </w:p>
        </w:tc>
        <w:tc>
          <w:tcPr>
            <w:tcW w:w="758" w:type="dxa"/>
            <w:vAlign w:val="center"/>
          </w:tcPr>
          <w:p>
            <w:pPr>
              <w:pStyle w:val="12"/>
            </w:pPr>
            <w:r>
              <w:t>900.00</w:t>
            </w:r>
          </w:p>
        </w:tc>
        <w:tc>
          <w:tcPr>
            <w:tcW w:w="758" w:type="dxa"/>
            <w:vAlign w:val="center"/>
          </w:tcPr>
          <w:p>
            <w:pPr>
              <w:pStyle w:val="12"/>
            </w:pPr>
            <w:r>
              <w:t>900.00</w:t>
            </w:r>
          </w:p>
        </w:tc>
        <w:tc>
          <w:tcPr>
            <w:tcW w:w="758" w:type="dxa"/>
            <w:vAlign w:val="center"/>
          </w:tcPr>
          <w:p>
            <w:pPr>
              <w:pStyle w:val="12"/>
            </w:pPr>
            <w:r>
              <w:t>900.00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435石家庄市藁城区医疗保障局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11400.86</w:t>
            </w:r>
          </w:p>
        </w:tc>
        <w:tc>
          <w:tcPr>
            <w:tcW w:w="1095" w:type="dxa"/>
            <w:vAlign w:val="center"/>
          </w:tcPr>
          <w:p>
            <w:pPr>
              <w:pStyle w:val="16"/>
            </w:pPr>
            <w:r>
              <w:t>743.00</w:t>
            </w:r>
          </w:p>
        </w:tc>
        <w:tc>
          <w:tcPr>
            <w:tcW w:w="1095" w:type="dxa"/>
            <w:vAlign w:val="center"/>
          </w:tcPr>
          <w:p>
            <w:pPr>
              <w:pStyle w:val="16"/>
            </w:pPr>
            <w:r>
              <w:t>10657.86</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11400.86</w:t>
            </w:r>
          </w:p>
        </w:tc>
        <w:tc>
          <w:tcPr>
            <w:tcW w:w="1095" w:type="dxa"/>
            <w:vAlign w:val="center"/>
          </w:tcPr>
          <w:p>
            <w:pPr>
              <w:pStyle w:val="12"/>
            </w:pPr>
            <w:r>
              <w:t>743.00</w:t>
            </w:r>
          </w:p>
        </w:tc>
        <w:tc>
          <w:tcPr>
            <w:tcW w:w="1095" w:type="dxa"/>
            <w:vAlign w:val="center"/>
          </w:tcPr>
          <w:p>
            <w:pPr>
              <w:pStyle w:val="12"/>
            </w:pPr>
            <w:r>
              <w:t>10657.86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21012</w:t>
            </w:r>
          </w:p>
        </w:tc>
        <w:tc>
          <w:tcPr>
            <w:tcW w:w="1095" w:type="dxa"/>
            <w:vAlign w:val="center"/>
          </w:tcPr>
          <w:p>
            <w:pPr>
              <w:pStyle w:val="13"/>
            </w:pPr>
            <w:r>
              <w:t>财政对基本医疗保险基金的补助</w:t>
            </w:r>
          </w:p>
        </w:tc>
        <w:tc>
          <w:tcPr>
            <w:tcW w:w="1095" w:type="dxa"/>
            <w:vAlign w:val="center"/>
          </w:tcPr>
          <w:p>
            <w:pPr>
              <w:pStyle w:val="12"/>
            </w:pPr>
            <w:r>
              <w:t>8375.00</w:t>
            </w:r>
          </w:p>
        </w:tc>
        <w:tc>
          <w:tcPr>
            <w:tcW w:w="1095" w:type="dxa"/>
            <w:vAlign w:val="center"/>
          </w:tcPr>
          <w:p>
            <w:pPr>
              <w:pStyle w:val="12"/>
            </w:pPr>
          </w:p>
        </w:tc>
        <w:tc>
          <w:tcPr>
            <w:tcW w:w="1095" w:type="dxa"/>
            <w:vAlign w:val="center"/>
          </w:tcPr>
          <w:p>
            <w:pPr>
              <w:pStyle w:val="12"/>
            </w:pPr>
            <w:r>
              <w:t>8375.00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2101202</w:t>
            </w:r>
          </w:p>
        </w:tc>
        <w:tc>
          <w:tcPr>
            <w:tcW w:w="1095" w:type="dxa"/>
            <w:vAlign w:val="center"/>
          </w:tcPr>
          <w:p>
            <w:pPr>
              <w:pStyle w:val="13"/>
            </w:pPr>
            <w:r>
              <w:t>财政对城乡居民基本医疗保险基金的补助</w:t>
            </w:r>
          </w:p>
        </w:tc>
        <w:tc>
          <w:tcPr>
            <w:tcW w:w="1095" w:type="dxa"/>
            <w:vAlign w:val="center"/>
          </w:tcPr>
          <w:p>
            <w:pPr>
              <w:pStyle w:val="12"/>
            </w:pPr>
            <w:r>
              <w:t>8375.00</w:t>
            </w:r>
          </w:p>
        </w:tc>
        <w:tc>
          <w:tcPr>
            <w:tcW w:w="1095" w:type="dxa"/>
            <w:vAlign w:val="center"/>
          </w:tcPr>
          <w:p>
            <w:pPr>
              <w:pStyle w:val="12"/>
            </w:pPr>
          </w:p>
        </w:tc>
        <w:tc>
          <w:tcPr>
            <w:tcW w:w="1095" w:type="dxa"/>
            <w:vAlign w:val="center"/>
          </w:tcPr>
          <w:p>
            <w:pPr>
              <w:pStyle w:val="12"/>
            </w:pPr>
            <w:r>
              <w:t>8375.00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21013</w:t>
            </w:r>
          </w:p>
        </w:tc>
        <w:tc>
          <w:tcPr>
            <w:tcW w:w="1095" w:type="dxa"/>
            <w:vAlign w:val="center"/>
          </w:tcPr>
          <w:p>
            <w:pPr>
              <w:pStyle w:val="13"/>
            </w:pPr>
            <w:r>
              <w:t>医疗救助</w:t>
            </w:r>
          </w:p>
        </w:tc>
        <w:tc>
          <w:tcPr>
            <w:tcW w:w="1095" w:type="dxa"/>
            <w:vAlign w:val="center"/>
          </w:tcPr>
          <w:p>
            <w:pPr>
              <w:pStyle w:val="12"/>
            </w:pPr>
            <w:r>
              <w:t>1324.00</w:t>
            </w:r>
          </w:p>
        </w:tc>
        <w:tc>
          <w:tcPr>
            <w:tcW w:w="1095" w:type="dxa"/>
            <w:vAlign w:val="center"/>
          </w:tcPr>
          <w:p>
            <w:pPr>
              <w:pStyle w:val="12"/>
            </w:pPr>
          </w:p>
        </w:tc>
        <w:tc>
          <w:tcPr>
            <w:tcW w:w="1095" w:type="dxa"/>
            <w:vAlign w:val="center"/>
          </w:tcPr>
          <w:p>
            <w:pPr>
              <w:pStyle w:val="12"/>
            </w:pPr>
            <w:r>
              <w:t>1324.00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2101301</w:t>
            </w:r>
          </w:p>
        </w:tc>
        <w:tc>
          <w:tcPr>
            <w:tcW w:w="1095" w:type="dxa"/>
            <w:vAlign w:val="center"/>
          </w:tcPr>
          <w:p>
            <w:pPr>
              <w:pStyle w:val="13"/>
            </w:pPr>
            <w:r>
              <w:t>城乡医疗救助</w:t>
            </w:r>
          </w:p>
        </w:tc>
        <w:tc>
          <w:tcPr>
            <w:tcW w:w="1095" w:type="dxa"/>
            <w:vAlign w:val="center"/>
          </w:tcPr>
          <w:p>
            <w:pPr>
              <w:pStyle w:val="12"/>
            </w:pPr>
            <w:r>
              <w:t>1324.00</w:t>
            </w:r>
          </w:p>
        </w:tc>
        <w:tc>
          <w:tcPr>
            <w:tcW w:w="1095" w:type="dxa"/>
            <w:vAlign w:val="center"/>
          </w:tcPr>
          <w:p>
            <w:pPr>
              <w:pStyle w:val="12"/>
            </w:pPr>
          </w:p>
        </w:tc>
        <w:tc>
          <w:tcPr>
            <w:tcW w:w="1095" w:type="dxa"/>
            <w:vAlign w:val="center"/>
          </w:tcPr>
          <w:p>
            <w:pPr>
              <w:pStyle w:val="12"/>
            </w:pPr>
            <w:r>
              <w:t>1324.00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21015</w:t>
            </w:r>
          </w:p>
        </w:tc>
        <w:tc>
          <w:tcPr>
            <w:tcW w:w="1095" w:type="dxa"/>
            <w:vAlign w:val="center"/>
          </w:tcPr>
          <w:p>
            <w:pPr>
              <w:pStyle w:val="13"/>
            </w:pPr>
            <w:r>
              <w:t>医疗保障管理事务</w:t>
            </w:r>
          </w:p>
        </w:tc>
        <w:tc>
          <w:tcPr>
            <w:tcW w:w="1095" w:type="dxa"/>
            <w:vAlign w:val="center"/>
          </w:tcPr>
          <w:p>
            <w:pPr>
              <w:pStyle w:val="12"/>
            </w:pPr>
            <w:r>
              <w:t>1701.86</w:t>
            </w:r>
          </w:p>
        </w:tc>
        <w:tc>
          <w:tcPr>
            <w:tcW w:w="1095" w:type="dxa"/>
            <w:vAlign w:val="center"/>
          </w:tcPr>
          <w:p>
            <w:pPr>
              <w:pStyle w:val="12"/>
            </w:pPr>
            <w:r>
              <w:t>743.00</w:t>
            </w:r>
          </w:p>
        </w:tc>
        <w:tc>
          <w:tcPr>
            <w:tcW w:w="1095" w:type="dxa"/>
            <w:vAlign w:val="center"/>
          </w:tcPr>
          <w:p>
            <w:pPr>
              <w:pStyle w:val="12"/>
            </w:pPr>
            <w:r>
              <w:t>958.86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2101501</w:t>
            </w:r>
          </w:p>
        </w:tc>
        <w:tc>
          <w:tcPr>
            <w:tcW w:w="1095" w:type="dxa"/>
            <w:vAlign w:val="center"/>
          </w:tcPr>
          <w:p>
            <w:pPr>
              <w:pStyle w:val="13"/>
            </w:pPr>
            <w:r>
              <w:t>行政运行</w:t>
            </w:r>
          </w:p>
        </w:tc>
        <w:tc>
          <w:tcPr>
            <w:tcW w:w="1095" w:type="dxa"/>
            <w:vAlign w:val="center"/>
          </w:tcPr>
          <w:p>
            <w:pPr>
              <w:pStyle w:val="12"/>
            </w:pPr>
            <w:r>
              <w:t>743.00</w:t>
            </w:r>
          </w:p>
        </w:tc>
        <w:tc>
          <w:tcPr>
            <w:tcW w:w="1095" w:type="dxa"/>
            <w:vAlign w:val="center"/>
          </w:tcPr>
          <w:p>
            <w:pPr>
              <w:pStyle w:val="12"/>
            </w:pPr>
            <w:r>
              <w:t>743.00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2101506</w:t>
            </w:r>
          </w:p>
        </w:tc>
        <w:tc>
          <w:tcPr>
            <w:tcW w:w="1095" w:type="dxa"/>
            <w:vAlign w:val="center"/>
          </w:tcPr>
          <w:p>
            <w:pPr>
              <w:pStyle w:val="13"/>
            </w:pPr>
            <w:r>
              <w:t>医疗保障经办事务</w:t>
            </w:r>
          </w:p>
        </w:tc>
        <w:tc>
          <w:tcPr>
            <w:tcW w:w="1095" w:type="dxa"/>
            <w:vAlign w:val="center"/>
          </w:tcPr>
          <w:p>
            <w:pPr>
              <w:pStyle w:val="12"/>
            </w:pPr>
            <w:r>
              <w:t>58.86</w:t>
            </w:r>
          </w:p>
        </w:tc>
        <w:tc>
          <w:tcPr>
            <w:tcW w:w="1095" w:type="dxa"/>
            <w:vAlign w:val="center"/>
          </w:tcPr>
          <w:p>
            <w:pPr>
              <w:pStyle w:val="12"/>
            </w:pPr>
          </w:p>
        </w:tc>
        <w:tc>
          <w:tcPr>
            <w:tcW w:w="1095" w:type="dxa"/>
            <w:vAlign w:val="center"/>
          </w:tcPr>
          <w:p>
            <w:pPr>
              <w:pStyle w:val="12"/>
            </w:pPr>
            <w:r>
              <w:t>58.86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2101599</w:t>
            </w:r>
          </w:p>
        </w:tc>
        <w:tc>
          <w:tcPr>
            <w:tcW w:w="1095" w:type="dxa"/>
            <w:vAlign w:val="center"/>
          </w:tcPr>
          <w:p>
            <w:pPr>
              <w:pStyle w:val="13"/>
            </w:pPr>
            <w:r>
              <w:t>其他医疗保障管理事务支出</w:t>
            </w:r>
          </w:p>
        </w:tc>
        <w:tc>
          <w:tcPr>
            <w:tcW w:w="1095" w:type="dxa"/>
            <w:vAlign w:val="center"/>
          </w:tcPr>
          <w:p>
            <w:pPr>
              <w:pStyle w:val="12"/>
            </w:pPr>
            <w:r>
              <w:t>900.00</w:t>
            </w:r>
          </w:p>
        </w:tc>
        <w:tc>
          <w:tcPr>
            <w:tcW w:w="1095" w:type="dxa"/>
            <w:vAlign w:val="center"/>
          </w:tcPr>
          <w:p>
            <w:pPr>
              <w:pStyle w:val="12"/>
            </w:pPr>
          </w:p>
        </w:tc>
        <w:tc>
          <w:tcPr>
            <w:tcW w:w="1095" w:type="dxa"/>
            <w:vAlign w:val="center"/>
          </w:tcPr>
          <w:p>
            <w:pPr>
              <w:pStyle w:val="12"/>
            </w:pPr>
            <w:r>
              <w:t>900.00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435石家庄市藁城区医疗保障局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11400.00</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11400.86</w:t>
            </w:r>
          </w:p>
        </w:tc>
        <w:tc>
          <w:tcPr>
            <w:tcW w:w="1232" w:type="dxa"/>
            <w:vAlign w:val="center"/>
          </w:tcPr>
          <w:p>
            <w:pPr>
              <w:pStyle w:val="12"/>
            </w:pPr>
            <w:r>
              <w:t>11400.86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11400.00</w:t>
            </w:r>
          </w:p>
        </w:tc>
        <w:tc>
          <w:tcPr>
            <w:tcW w:w="1232" w:type="dxa"/>
            <w:vAlign w:val="center"/>
          </w:tcPr>
          <w:p>
            <w:pPr>
              <w:pStyle w:val="15"/>
            </w:pPr>
            <w:r>
              <w:t>本年支出合计</w:t>
            </w:r>
          </w:p>
        </w:tc>
        <w:tc>
          <w:tcPr>
            <w:tcW w:w="1232" w:type="dxa"/>
            <w:vAlign w:val="center"/>
          </w:tcPr>
          <w:p>
            <w:pPr>
              <w:pStyle w:val="16"/>
            </w:pPr>
            <w:r>
              <w:t>11400.86</w:t>
            </w:r>
          </w:p>
        </w:tc>
        <w:tc>
          <w:tcPr>
            <w:tcW w:w="1232" w:type="dxa"/>
            <w:vAlign w:val="center"/>
          </w:tcPr>
          <w:p>
            <w:pPr>
              <w:pStyle w:val="16"/>
            </w:pPr>
            <w:r>
              <w:t>11400.86</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0.86</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r>
              <w:t>0.86</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11400.86</w:t>
            </w:r>
          </w:p>
        </w:tc>
        <w:tc>
          <w:tcPr>
            <w:tcW w:w="1232" w:type="dxa"/>
            <w:vAlign w:val="center"/>
          </w:tcPr>
          <w:p>
            <w:pPr>
              <w:pStyle w:val="15"/>
            </w:pPr>
            <w:r>
              <w:t>支出总计</w:t>
            </w:r>
          </w:p>
        </w:tc>
        <w:tc>
          <w:tcPr>
            <w:tcW w:w="1232" w:type="dxa"/>
            <w:vAlign w:val="center"/>
          </w:tcPr>
          <w:p>
            <w:pPr>
              <w:pStyle w:val="16"/>
            </w:pPr>
            <w:r>
              <w:t>11400.86</w:t>
            </w:r>
          </w:p>
        </w:tc>
        <w:tc>
          <w:tcPr>
            <w:tcW w:w="1232" w:type="dxa"/>
            <w:vAlign w:val="center"/>
          </w:tcPr>
          <w:p>
            <w:pPr>
              <w:pStyle w:val="16"/>
            </w:pPr>
            <w:r>
              <w:t>11400.86</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435石家庄市藁城区医疗保障局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11400.86</w:t>
            </w:r>
          </w:p>
        </w:tc>
        <w:tc>
          <w:tcPr>
            <w:tcW w:w="1643" w:type="dxa"/>
            <w:vAlign w:val="center"/>
          </w:tcPr>
          <w:p>
            <w:pPr>
              <w:pStyle w:val="16"/>
            </w:pPr>
            <w:r>
              <w:t>743.00</w:t>
            </w:r>
          </w:p>
        </w:tc>
        <w:tc>
          <w:tcPr>
            <w:tcW w:w="1643" w:type="dxa"/>
            <w:vAlign w:val="center"/>
          </w:tcPr>
          <w:p>
            <w:pPr>
              <w:pStyle w:val="16"/>
            </w:pPr>
            <w:r>
              <w:t>10657.86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11400.86</w:t>
            </w:r>
          </w:p>
        </w:tc>
        <w:tc>
          <w:tcPr>
            <w:tcW w:w="1643" w:type="dxa"/>
            <w:vAlign w:val="center"/>
          </w:tcPr>
          <w:p>
            <w:pPr>
              <w:pStyle w:val="12"/>
            </w:pPr>
            <w:r>
              <w:t>743.00</w:t>
            </w:r>
          </w:p>
        </w:tc>
        <w:tc>
          <w:tcPr>
            <w:tcW w:w="1643" w:type="dxa"/>
            <w:vAlign w:val="center"/>
          </w:tcPr>
          <w:p>
            <w:pPr>
              <w:pStyle w:val="12"/>
            </w:pPr>
            <w:r>
              <w:t>10657.86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21012</w:t>
            </w:r>
          </w:p>
        </w:tc>
        <w:tc>
          <w:tcPr>
            <w:tcW w:w="1643" w:type="dxa"/>
            <w:vAlign w:val="center"/>
          </w:tcPr>
          <w:p>
            <w:pPr>
              <w:pStyle w:val="13"/>
            </w:pPr>
            <w:r>
              <w:t>财政对基本医疗保险基金的补助</w:t>
            </w:r>
          </w:p>
        </w:tc>
        <w:tc>
          <w:tcPr>
            <w:tcW w:w="1643" w:type="dxa"/>
            <w:vAlign w:val="center"/>
          </w:tcPr>
          <w:p>
            <w:pPr>
              <w:pStyle w:val="12"/>
            </w:pPr>
            <w:r>
              <w:t>8375.00</w:t>
            </w:r>
          </w:p>
        </w:tc>
        <w:tc>
          <w:tcPr>
            <w:tcW w:w="1643" w:type="dxa"/>
            <w:vAlign w:val="center"/>
          </w:tcPr>
          <w:p>
            <w:pPr>
              <w:pStyle w:val="12"/>
            </w:pPr>
          </w:p>
        </w:tc>
        <w:tc>
          <w:tcPr>
            <w:tcW w:w="1643" w:type="dxa"/>
            <w:vAlign w:val="center"/>
          </w:tcPr>
          <w:p>
            <w:pPr>
              <w:pStyle w:val="12"/>
            </w:pPr>
            <w:r>
              <w:t>8375.00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2101202</w:t>
            </w:r>
          </w:p>
        </w:tc>
        <w:tc>
          <w:tcPr>
            <w:tcW w:w="1643" w:type="dxa"/>
            <w:vAlign w:val="center"/>
          </w:tcPr>
          <w:p>
            <w:pPr>
              <w:pStyle w:val="13"/>
            </w:pPr>
            <w:r>
              <w:t>财政对城乡居民基本医疗保险基金的补助</w:t>
            </w:r>
          </w:p>
        </w:tc>
        <w:tc>
          <w:tcPr>
            <w:tcW w:w="1643" w:type="dxa"/>
            <w:vAlign w:val="center"/>
          </w:tcPr>
          <w:p>
            <w:pPr>
              <w:pStyle w:val="12"/>
            </w:pPr>
            <w:r>
              <w:t>8375.00</w:t>
            </w:r>
          </w:p>
        </w:tc>
        <w:tc>
          <w:tcPr>
            <w:tcW w:w="1643" w:type="dxa"/>
            <w:vAlign w:val="center"/>
          </w:tcPr>
          <w:p>
            <w:pPr>
              <w:pStyle w:val="12"/>
            </w:pPr>
          </w:p>
        </w:tc>
        <w:tc>
          <w:tcPr>
            <w:tcW w:w="1643" w:type="dxa"/>
            <w:vAlign w:val="center"/>
          </w:tcPr>
          <w:p>
            <w:pPr>
              <w:pStyle w:val="12"/>
            </w:pPr>
            <w:r>
              <w:t>8375.00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21013</w:t>
            </w:r>
          </w:p>
        </w:tc>
        <w:tc>
          <w:tcPr>
            <w:tcW w:w="1643" w:type="dxa"/>
            <w:vAlign w:val="center"/>
          </w:tcPr>
          <w:p>
            <w:pPr>
              <w:pStyle w:val="13"/>
            </w:pPr>
            <w:r>
              <w:t>医疗救助</w:t>
            </w:r>
          </w:p>
        </w:tc>
        <w:tc>
          <w:tcPr>
            <w:tcW w:w="1643" w:type="dxa"/>
            <w:vAlign w:val="center"/>
          </w:tcPr>
          <w:p>
            <w:pPr>
              <w:pStyle w:val="12"/>
            </w:pPr>
            <w:r>
              <w:t>1324.00</w:t>
            </w:r>
          </w:p>
        </w:tc>
        <w:tc>
          <w:tcPr>
            <w:tcW w:w="1643" w:type="dxa"/>
            <w:vAlign w:val="center"/>
          </w:tcPr>
          <w:p>
            <w:pPr>
              <w:pStyle w:val="12"/>
            </w:pPr>
          </w:p>
        </w:tc>
        <w:tc>
          <w:tcPr>
            <w:tcW w:w="1643" w:type="dxa"/>
            <w:vAlign w:val="center"/>
          </w:tcPr>
          <w:p>
            <w:pPr>
              <w:pStyle w:val="12"/>
            </w:pPr>
            <w:r>
              <w:t>1324.00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2101301</w:t>
            </w:r>
          </w:p>
        </w:tc>
        <w:tc>
          <w:tcPr>
            <w:tcW w:w="1643" w:type="dxa"/>
            <w:vAlign w:val="center"/>
          </w:tcPr>
          <w:p>
            <w:pPr>
              <w:pStyle w:val="13"/>
            </w:pPr>
            <w:r>
              <w:t>城乡医疗救助</w:t>
            </w:r>
          </w:p>
        </w:tc>
        <w:tc>
          <w:tcPr>
            <w:tcW w:w="1643" w:type="dxa"/>
            <w:vAlign w:val="center"/>
          </w:tcPr>
          <w:p>
            <w:pPr>
              <w:pStyle w:val="12"/>
            </w:pPr>
            <w:r>
              <w:t>1324.00</w:t>
            </w:r>
          </w:p>
        </w:tc>
        <w:tc>
          <w:tcPr>
            <w:tcW w:w="1643" w:type="dxa"/>
            <w:vAlign w:val="center"/>
          </w:tcPr>
          <w:p>
            <w:pPr>
              <w:pStyle w:val="12"/>
            </w:pPr>
          </w:p>
        </w:tc>
        <w:tc>
          <w:tcPr>
            <w:tcW w:w="1643" w:type="dxa"/>
            <w:vAlign w:val="center"/>
          </w:tcPr>
          <w:p>
            <w:pPr>
              <w:pStyle w:val="12"/>
            </w:pPr>
            <w:r>
              <w:t>1324.00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21015</w:t>
            </w:r>
          </w:p>
        </w:tc>
        <w:tc>
          <w:tcPr>
            <w:tcW w:w="1643" w:type="dxa"/>
            <w:vAlign w:val="center"/>
          </w:tcPr>
          <w:p>
            <w:pPr>
              <w:pStyle w:val="13"/>
            </w:pPr>
            <w:r>
              <w:t>医疗保障管理事务</w:t>
            </w:r>
          </w:p>
        </w:tc>
        <w:tc>
          <w:tcPr>
            <w:tcW w:w="1643" w:type="dxa"/>
            <w:vAlign w:val="center"/>
          </w:tcPr>
          <w:p>
            <w:pPr>
              <w:pStyle w:val="12"/>
            </w:pPr>
            <w:r>
              <w:t>1701.86</w:t>
            </w:r>
          </w:p>
        </w:tc>
        <w:tc>
          <w:tcPr>
            <w:tcW w:w="1643" w:type="dxa"/>
            <w:vAlign w:val="center"/>
          </w:tcPr>
          <w:p>
            <w:pPr>
              <w:pStyle w:val="12"/>
            </w:pPr>
            <w:r>
              <w:t>743.00</w:t>
            </w:r>
          </w:p>
        </w:tc>
        <w:tc>
          <w:tcPr>
            <w:tcW w:w="1643" w:type="dxa"/>
            <w:vAlign w:val="center"/>
          </w:tcPr>
          <w:p>
            <w:pPr>
              <w:pStyle w:val="12"/>
            </w:pPr>
            <w:r>
              <w:t>958.86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2101501</w:t>
            </w:r>
          </w:p>
        </w:tc>
        <w:tc>
          <w:tcPr>
            <w:tcW w:w="1643" w:type="dxa"/>
            <w:vAlign w:val="center"/>
          </w:tcPr>
          <w:p>
            <w:pPr>
              <w:pStyle w:val="13"/>
            </w:pPr>
            <w:r>
              <w:t>行政运行</w:t>
            </w:r>
          </w:p>
        </w:tc>
        <w:tc>
          <w:tcPr>
            <w:tcW w:w="1643" w:type="dxa"/>
            <w:vAlign w:val="center"/>
          </w:tcPr>
          <w:p>
            <w:pPr>
              <w:pStyle w:val="12"/>
            </w:pPr>
            <w:r>
              <w:t>743.00</w:t>
            </w:r>
          </w:p>
        </w:tc>
        <w:tc>
          <w:tcPr>
            <w:tcW w:w="1643" w:type="dxa"/>
            <w:vAlign w:val="center"/>
          </w:tcPr>
          <w:p>
            <w:pPr>
              <w:pStyle w:val="12"/>
            </w:pPr>
            <w:r>
              <w:t>743.00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2101506</w:t>
            </w:r>
          </w:p>
        </w:tc>
        <w:tc>
          <w:tcPr>
            <w:tcW w:w="1643" w:type="dxa"/>
            <w:vAlign w:val="center"/>
          </w:tcPr>
          <w:p>
            <w:pPr>
              <w:pStyle w:val="13"/>
            </w:pPr>
            <w:r>
              <w:t>医疗保障经办事务</w:t>
            </w:r>
          </w:p>
        </w:tc>
        <w:tc>
          <w:tcPr>
            <w:tcW w:w="1643" w:type="dxa"/>
            <w:vAlign w:val="center"/>
          </w:tcPr>
          <w:p>
            <w:pPr>
              <w:pStyle w:val="12"/>
            </w:pPr>
            <w:r>
              <w:t>58.86</w:t>
            </w:r>
          </w:p>
        </w:tc>
        <w:tc>
          <w:tcPr>
            <w:tcW w:w="1643" w:type="dxa"/>
            <w:vAlign w:val="center"/>
          </w:tcPr>
          <w:p>
            <w:pPr>
              <w:pStyle w:val="12"/>
            </w:pPr>
          </w:p>
        </w:tc>
        <w:tc>
          <w:tcPr>
            <w:tcW w:w="1643" w:type="dxa"/>
            <w:vAlign w:val="center"/>
          </w:tcPr>
          <w:p>
            <w:pPr>
              <w:pStyle w:val="12"/>
            </w:pPr>
            <w:r>
              <w:t>58.86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2101599</w:t>
            </w:r>
          </w:p>
        </w:tc>
        <w:tc>
          <w:tcPr>
            <w:tcW w:w="1643" w:type="dxa"/>
            <w:vAlign w:val="center"/>
          </w:tcPr>
          <w:p>
            <w:pPr>
              <w:pStyle w:val="13"/>
            </w:pPr>
            <w:r>
              <w:t>其他医疗保障管理事务支出</w:t>
            </w:r>
          </w:p>
        </w:tc>
        <w:tc>
          <w:tcPr>
            <w:tcW w:w="1643" w:type="dxa"/>
            <w:vAlign w:val="center"/>
          </w:tcPr>
          <w:p>
            <w:pPr>
              <w:pStyle w:val="12"/>
            </w:pPr>
            <w:r>
              <w:t>900.00</w:t>
            </w:r>
          </w:p>
        </w:tc>
        <w:tc>
          <w:tcPr>
            <w:tcW w:w="1643" w:type="dxa"/>
            <w:vAlign w:val="center"/>
          </w:tcPr>
          <w:p>
            <w:pPr>
              <w:pStyle w:val="12"/>
            </w:pPr>
          </w:p>
        </w:tc>
        <w:tc>
          <w:tcPr>
            <w:tcW w:w="1643" w:type="dxa"/>
            <w:vAlign w:val="center"/>
          </w:tcPr>
          <w:p>
            <w:pPr>
              <w:pStyle w:val="12"/>
            </w:pPr>
            <w:r>
              <w:t>900.00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435石家庄市藁城区医疗保障局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743.00</w:t>
            </w:r>
          </w:p>
        </w:tc>
        <w:tc>
          <w:tcPr>
            <w:tcW w:w="1643" w:type="dxa"/>
            <w:vAlign w:val="center"/>
          </w:tcPr>
          <w:p>
            <w:pPr>
              <w:pStyle w:val="16"/>
            </w:pPr>
            <w:r>
              <w:t>701.05</w:t>
            </w:r>
          </w:p>
        </w:tc>
        <w:tc>
          <w:tcPr>
            <w:tcW w:w="1643" w:type="dxa"/>
            <w:vAlign w:val="center"/>
          </w:tcPr>
          <w:p>
            <w:pPr>
              <w:pStyle w:val="16"/>
            </w:pPr>
            <w:r>
              <w:t>41.95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682.60</w:t>
            </w:r>
          </w:p>
        </w:tc>
        <w:tc>
          <w:tcPr>
            <w:tcW w:w="1643" w:type="dxa"/>
            <w:vAlign w:val="center"/>
          </w:tcPr>
          <w:p>
            <w:pPr>
              <w:pStyle w:val="12"/>
            </w:pPr>
            <w:r>
              <w:t>682.60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171.39</w:t>
            </w:r>
          </w:p>
        </w:tc>
        <w:tc>
          <w:tcPr>
            <w:tcW w:w="1643" w:type="dxa"/>
            <w:vAlign w:val="center"/>
          </w:tcPr>
          <w:p>
            <w:pPr>
              <w:pStyle w:val="12"/>
            </w:pPr>
            <w:r>
              <w:t>171.39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113.60</w:t>
            </w:r>
          </w:p>
        </w:tc>
        <w:tc>
          <w:tcPr>
            <w:tcW w:w="1643" w:type="dxa"/>
            <w:vAlign w:val="center"/>
          </w:tcPr>
          <w:p>
            <w:pPr>
              <w:pStyle w:val="12"/>
            </w:pPr>
            <w:r>
              <w:t>113.60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36.55</w:t>
            </w:r>
          </w:p>
        </w:tc>
        <w:tc>
          <w:tcPr>
            <w:tcW w:w="1643" w:type="dxa"/>
            <w:vAlign w:val="center"/>
          </w:tcPr>
          <w:p>
            <w:pPr>
              <w:pStyle w:val="12"/>
            </w:pPr>
            <w:r>
              <w:t>36.55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149.39</w:t>
            </w:r>
          </w:p>
        </w:tc>
        <w:tc>
          <w:tcPr>
            <w:tcW w:w="1643" w:type="dxa"/>
            <w:vAlign w:val="center"/>
          </w:tcPr>
          <w:p>
            <w:pPr>
              <w:pStyle w:val="12"/>
            </w:pPr>
            <w:r>
              <w:t>149.39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77.03</w:t>
            </w:r>
          </w:p>
        </w:tc>
        <w:tc>
          <w:tcPr>
            <w:tcW w:w="1643" w:type="dxa"/>
            <w:vAlign w:val="center"/>
          </w:tcPr>
          <w:p>
            <w:pPr>
              <w:pStyle w:val="12"/>
            </w:pPr>
            <w:r>
              <w:t>77.03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26.96</w:t>
            </w:r>
          </w:p>
        </w:tc>
        <w:tc>
          <w:tcPr>
            <w:tcW w:w="1643" w:type="dxa"/>
            <w:vAlign w:val="center"/>
          </w:tcPr>
          <w:p>
            <w:pPr>
              <w:pStyle w:val="12"/>
            </w:pPr>
            <w:r>
              <w:t>26.96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20.86</w:t>
            </w:r>
          </w:p>
        </w:tc>
        <w:tc>
          <w:tcPr>
            <w:tcW w:w="1643" w:type="dxa"/>
            <w:vAlign w:val="center"/>
          </w:tcPr>
          <w:p>
            <w:pPr>
              <w:pStyle w:val="12"/>
            </w:pPr>
            <w:r>
              <w:t>20.86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27.97</w:t>
            </w:r>
          </w:p>
        </w:tc>
        <w:tc>
          <w:tcPr>
            <w:tcW w:w="1643" w:type="dxa"/>
            <w:vAlign w:val="center"/>
          </w:tcPr>
          <w:p>
            <w:pPr>
              <w:pStyle w:val="12"/>
            </w:pPr>
            <w:r>
              <w:t>27.97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58.84</w:t>
            </w:r>
          </w:p>
        </w:tc>
        <w:tc>
          <w:tcPr>
            <w:tcW w:w="1643" w:type="dxa"/>
            <w:vAlign w:val="center"/>
          </w:tcPr>
          <w:p>
            <w:pPr>
              <w:pStyle w:val="12"/>
            </w:pPr>
            <w:r>
              <w:t>58.84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39.95</w:t>
            </w:r>
          </w:p>
        </w:tc>
        <w:tc>
          <w:tcPr>
            <w:tcW w:w="1643" w:type="dxa"/>
            <w:vAlign w:val="center"/>
          </w:tcPr>
          <w:p>
            <w:pPr>
              <w:pStyle w:val="12"/>
            </w:pPr>
          </w:p>
        </w:tc>
        <w:tc>
          <w:tcPr>
            <w:tcW w:w="1643" w:type="dxa"/>
            <w:vAlign w:val="center"/>
          </w:tcPr>
          <w:p>
            <w:pPr>
              <w:pStyle w:val="12"/>
            </w:pPr>
            <w:r>
              <w:t>39.95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4.00</w:t>
            </w:r>
          </w:p>
        </w:tc>
        <w:tc>
          <w:tcPr>
            <w:tcW w:w="1643" w:type="dxa"/>
            <w:vAlign w:val="center"/>
          </w:tcPr>
          <w:p>
            <w:pPr>
              <w:pStyle w:val="12"/>
            </w:pPr>
          </w:p>
        </w:tc>
        <w:tc>
          <w:tcPr>
            <w:tcW w:w="1643"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30205</w:t>
            </w:r>
          </w:p>
        </w:tc>
        <w:tc>
          <w:tcPr>
            <w:tcW w:w="1643" w:type="dxa"/>
            <w:vAlign w:val="center"/>
          </w:tcPr>
          <w:p>
            <w:pPr>
              <w:pStyle w:val="13"/>
            </w:pPr>
            <w:r>
              <w:t>水费</w:t>
            </w:r>
          </w:p>
        </w:tc>
        <w:tc>
          <w:tcPr>
            <w:tcW w:w="1643" w:type="dxa"/>
            <w:vAlign w:val="center"/>
          </w:tcPr>
          <w:p>
            <w:pPr>
              <w:pStyle w:val="12"/>
            </w:pPr>
            <w:r>
              <w:t>1.20</w:t>
            </w:r>
          </w:p>
        </w:tc>
        <w:tc>
          <w:tcPr>
            <w:tcW w:w="1643" w:type="dxa"/>
            <w:vAlign w:val="center"/>
          </w:tcPr>
          <w:p>
            <w:pPr>
              <w:pStyle w:val="12"/>
            </w:pPr>
          </w:p>
        </w:tc>
        <w:tc>
          <w:tcPr>
            <w:tcW w:w="1643"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30206</w:t>
            </w:r>
          </w:p>
        </w:tc>
        <w:tc>
          <w:tcPr>
            <w:tcW w:w="1643" w:type="dxa"/>
            <w:vAlign w:val="center"/>
          </w:tcPr>
          <w:p>
            <w:pPr>
              <w:pStyle w:val="13"/>
            </w:pPr>
            <w:r>
              <w:t>电费</w:t>
            </w:r>
          </w:p>
        </w:tc>
        <w:tc>
          <w:tcPr>
            <w:tcW w:w="1643" w:type="dxa"/>
            <w:vAlign w:val="center"/>
          </w:tcPr>
          <w:p>
            <w:pPr>
              <w:pStyle w:val="12"/>
            </w:pPr>
            <w:r>
              <w:t>4.40</w:t>
            </w:r>
          </w:p>
        </w:tc>
        <w:tc>
          <w:tcPr>
            <w:tcW w:w="1643" w:type="dxa"/>
            <w:vAlign w:val="center"/>
          </w:tcPr>
          <w:p>
            <w:pPr>
              <w:pStyle w:val="12"/>
            </w:pPr>
          </w:p>
        </w:tc>
        <w:tc>
          <w:tcPr>
            <w:tcW w:w="1643"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6.63</w:t>
            </w:r>
          </w:p>
        </w:tc>
        <w:tc>
          <w:tcPr>
            <w:tcW w:w="1643" w:type="dxa"/>
            <w:vAlign w:val="center"/>
          </w:tcPr>
          <w:p>
            <w:pPr>
              <w:pStyle w:val="12"/>
            </w:pPr>
          </w:p>
        </w:tc>
        <w:tc>
          <w:tcPr>
            <w:tcW w:w="1643" w:type="dxa"/>
            <w:vAlign w:val="center"/>
          </w:tcPr>
          <w:p>
            <w:pPr>
              <w:pStyle w:val="12"/>
            </w:pPr>
            <w:r>
              <w:t>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30211</w:t>
            </w:r>
          </w:p>
        </w:tc>
        <w:tc>
          <w:tcPr>
            <w:tcW w:w="1643" w:type="dxa"/>
            <w:vAlign w:val="center"/>
          </w:tcPr>
          <w:p>
            <w:pPr>
              <w:pStyle w:val="13"/>
            </w:pPr>
            <w:r>
              <w:t>差旅费</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30213</w:t>
            </w:r>
          </w:p>
        </w:tc>
        <w:tc>
          <w:tcPr>
            <w:tcW w:w="1643" w:type="dxa"/>
            <w:vAlign w:val="center"/>
          </w:tcPr>
          <w:p>
            <w:pPr>
              <w:pStyle w:val="13"/>
            </w:pPr>
            <w:r>
              <w:t>维修(护)费</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4.70</w:t>
            </w:r>
          </w:p>
        </w:tc>
        <w:tc>
          <w:tcPr>
            <w:tcW w:w="1643" w:type="dxa"/>
            <w:vAlign w:val="center"/>
          </w:tcPr>
          <w:p>
            <w:pPr>
              <w:pStyle w:val="12"/>
            </w:pPr>
          </w:p>
        </w:tc>
        <w:tc>
          <w:tcPr>
            <w:tcW w:w="1643" w:type="dxa"/>
            <w:vAlign w:val="center"/>
          </w:tcPr>
          <w:p>
            <w:pPr>
              <w:pStyle w:val="12"/>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4.29</w:t>
            </w:r>
          </w:p>
        </w:tc>
        <w:tc>
          <w:tcPr>
            <w:tcW w:w="1643" w:type="dxa"/>
            <w:vAlign w:val="center"/>
          </w:tcPr>
          <w:p>
            <w:pPr>
              <w:pStyle w:val="12"/>
            </w:pPr>
          </w:p>
        </w:tc>
        <w:tc>
          <w:tcPr>
            <w:tcW w:w="1643" w:type="dxa"/>
            <w:vAlign w:val="center"/>
          </w:tcPr>
          <w:p>
            <w:pPr>
              <w:pStyle w:val="12"/>
            </w:pPr>
            <w: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2.20</w:t>
            </w:r>
          </w:p>
        </w:tc>
        <w:tc>
          <w:tcPr>
            <w:tcW w:w="1643" w:type="dxa"/>
            <w:vAlign w:val="center"/>
          </w:tcPr>
          <w:p>
            <w:pPr>
              <w:pStyle w:val="12"/>
            </w:pPr>
          </w:p>
        </w:tc>
        <w:tc>
          <w:tcPr>
            <w:tcW w:w="1643"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7.98</w:t>
            </w:r>
          </w:p>
        </w:tc>
        <w:tc>
          <w:tcPr>
            <w:tcW w:w="1643" w:type="dxa"/>
            <w:vAlign w:val="center"/>
          </w:tcPr>
          <w:p>
            <w:pPr>
              <w:pStyle w:val="12"/>
            </w:pPr>
          </w:p>
        </w:tc>
        <w:tc>
          <w:tcPr>
            <w:tcW w:w="1643" w:type="dxa"/>
            <w:vAlign w:val="center"/>
          </w:tcPr>
          <w:p>
            <w:pPr>
              <w:pStyle w:val="12"/>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0.55</w:t>
            </w:r>
          </w:p>
        </w:tc>
        <w:tc>
          <w:tcPr>
            <w:tcW w:w="1643" w:type="dxa"/>
            <w:vAlign w:val="center"/>
          </w:tcPr>
          <w:p>
            <w:pPr>
              <w:pStyle w:val="12"/>
            </w:pPr>
          </w:p>
        </w:tc>
        <w:tc>
          <w:tcPr>
            <w:tcW w:w="1643" w:type="dxa"/>
            <w:vAlign w:val="center"/>
          </w:tcPr>
          <w:p>
            <w:pPr>
              <w:pStyle w:val="12"/>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18.45</w:t>
            </w:r>
          </w:p>
        </w:tc>
        <w:tc>
          <w:tcPr>
            <w:tcW w:w="1643" w:type="dxa"/>
            <w:vAlign w:val="center"/>
          </w:tcPr>
          <w:p>
            <w:pPr>
              <w:pStyle w:val="12"/>
            </w:pPr>
            <w:r>
              <w:t>18.45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18.44</w:t>
            </w:r>
          </w:p>
        </w:tc>
        <w:tc>
          <w:tcPr>
            <w:tcW w:w="1643" w:type="dxa"/>
            <w:vAlign w:val="center"/>
          </w:tcPr>
          <w:p>
            <w:pPr>
              <w:pStyle w:val="12"/>
            </w:pPr>
            <w:r>
              <w:t>18.44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30309</w:t>
            </w:r>
          </w:p>
        </w:tc>
        <w:tc>
          <w:tcPr>
            <w:tcW w:w="1643" w:type="dxa"/>
            <w:vAlign w:val="center"/>
          </w:tcPr>
          <w:p>
            <w:pPr>
              <w:pStyle w:val="13"/>
            </w:pPr>
            <w:r>
              <w:t>奖励金</w:t>
            </w:r>
          </w:p>
        </w:tc>
        <w:tc>
          <w:tcPr>
            <w:tcW w:w="1643" w:type="dxa"/>
            <w:vAlign w:val="center"/>
          </w:tcPr>
          <w:p>
            <w:pPr>
              <w:pStyle w:val="12"/>
            </w:pPr>
            <w:r>
              <w:t>0.01</w:t>
            </w:r>
          </w:p>
        </w:tc>
        <w:tc>
          <w:tcPr>
            <w:tcW w:w="1643" w:type="dxa"/>
            <w:vAlign w:val="center"/>
          </w:tcPr>
          <w:p>
            <w:pPr>
              <w:pStyle w:val="12"/>
            </w:pPr>
            <w:r>
              <w:t>0.01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27</w:t>
            </w:r>
          </w:p>
        </w:tc>
        <w:tc>
          <w:tcPr>
            <w:tcW w:w="1643" w:type="dxa"/>
            <w:vAlign w:val="center"/>
          </w:tcPr>
          <w:p>
            <w:pPr>
              <w:pStyle w:val="13"/>
            </w:pPr>
            <w:r>
              <w:t>310</w:t>
            </w:r>
          </w:p>
        </w:tc>
        <w:tc>
          <w:tcPr>
            <w:tcW w:w="1643" w:type="dxa"/>
            <w:vAlign w:val="center"/>
          </w:tcPr>
          <w:p>
            <w:pPr>
              <w:pStyle w:val="13"/>
            </w:pPr>
            <w:r>
              <w:t>资本性支出</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28</w:t>
            </w:r>
          </w:p>
        </w:tc>
        <w:tc>
          <w:tcPr>
            <w:tcW w:w="1643" w:type="dxa"/>
            <w:vAlign w:val="center"/>
          </w:tcPr>
          <w:p>
            <w:pPr>
              <w:pStyle w:val="13"/>
            </w:pPr>
            <w:r>
              <w:t>31002</w:t>
            </w:r>
          </w:p>
        </w:tc>
        <w:tc>
          <w:tcPr>
            <w:tcW w:w="1643" w:type="dxa"/>
            <w:vAlign w:val="center"/>
          </w:tcPr>
          <w:p>
            <w:pPr>
              <w:pStyle w:val="13"/>
            </w:pPr>
            <w:r>
              <w:t>办公设备购置</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435石家庄市藁城区医疗保障局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435石家庄市藁城区医疗保障局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435石家庄市藁城区医疗保障局</w:t>
            </w:r>
          </w:p>
        </w:tc>
        <w:tc>
          <w:tcPr>
            <w:tcW w:w="1643"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rPr>
                <w:rFonts w:hint="default" w:eastAsia="方正书宋_GBK"/>
                <w:lang w:val="en-US" w:eastAsia="zh-CN"/>
              </w:rPr>
            </w:pPr>
            <w:r>
              <w:rPr>
                <w:rFonts w:hint="eastAsia"/>
                <w:lang w:val="en-US" w:eastAsia="zh-CN"/>
              </w:rPr>
              <w:t>2.20</w:t>
            </w:r>
          </w:p>
        </w:tc>
        <w:tc>
          <w:tcPr>
            <w:tcW w:w="1643" w:type="dxa"/>
            <w:vAlign w:val="center"/>
          </w:tcPr>
          <w:p>
            <w:pPr>
              <w:pStyle w:val="16"/>
              <w:rPr>
                <w:rFonts w:hint="default" w:eastAsia="方正书宋_GBK"/>
                <w:lang w:val="en-US" w:eastAsia="zh-CN"/>
              </w:rPr>
            </w:pPr>
            <w:r>
              <w:rPr>
                <w:rFonts w:hint="eastAsia"/>
                <w:lang w:val="en-US" w:eastAsia="zh-CN"/>
              </w:rPr>
              <w:t>2.20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rPr>
                <w:rFonts w:hint="default" w:eastAsia="方正书宋_GBK"/>
                <w:lang w:val="en-US" w:eastAsia="zh-CN"/>
              </w:rPr>
            </w:pPr>
            <w:r>
              <w:rPr>
                <w:rFonts w:hint="eastAsia"/>
                <w:lang w:val="en-US" w:eastAsia="zh-CN"/>
              </w:rPr>
              <w:t>2.20</w:t>
            </w:r>
          </w:p>
        </w:tc>
        <w:tc>
          <w:tcPr>
            <w:tcW w:w="1643" w:type="dxa"/>
            <w:vAlign w:val="center"/>
          </w:tcPr>
          <w:p>
            <w:pPr>
              <w:pStyle w:val="12"/>
              <w:rPr>
                <w:rFonts w:hint="default" w:eastAsia="方正书宋_GBK"/>
                <w:lang w:val="en-US" w:eastAsia="zh-CN"/>
              </w:rPr>
            </w:pPr>
            <w:r>
              <w:rPr>
                <w:rFonts w:hint="eastAsia"/>
                <w:lang w:val="en-US" w:eastAsia="zh-CN"/>
              </w:rPr>
              <w:t>2.20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rPr>
                <w:rFonts w:hint="default" w:eastAsia="方正书宋_GBK"/>
                <w:lang w:val="en-US" w:eastAsia="zh-CN"/>
              </w:rPr>
            </w:pPr>
            <w:r>
              <w:rPr>
                <w:rFonts w:hint="eastAsia"/>
                <w:lang w:val="en-US" w:eastAsia="zh-CN"/>
              </w:rPr>
              <w:t>2.20</w:t>
            </w:r>
          </w:p>
        </w:tc>
        <w:tc>
          <w:tcPr>
            <w:tcW w:w="1643" w:type="dxa"/>
            <w:vAlign w:val="center"/>
          </w:tcPr>
          <w:p>
            <w:pPr>
              <w:pStyle w:val="12"/>
              <w:rPr>
                <w:rFonts w:hint="default" w:eastAsia="方正书宋_GBK"/>
                <w:lang w:val="en-US" w:eastAsia="zh-CN"/>
              </w:rPr>
            </w:pPr>
            <w:r>
              <w:rPr>
                <w:rFonts w:hint="eastAsia"/>
                <w:lang w:val="en-US" w:eastAsia="zh-CN"/>
              </w:rPr>
              <w:t>2.20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2.20</w:t>
            </w:r>
          </w:p>
        </w:tc>
        <w:tc>
          <w:tcPr>
            <w:tcW w:w="1643" w:type="dxa"/>
            <w:vAlign w:val="center"/>
          </w:tcPr>
          <w:p>
            <w:pPr>
              <w:pStyle w:val="12"/>
            </w:pPr>
            <w:r>
              <w:t>2.20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石家庄市藁城区医疗保障局2024年部门预算信息公开情况说明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石家庄市藁城区医疗保障局2024年部门预算信息公开情况说明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按照《中华人民共和国预算法》、《地方预决算公开操作规程》和《关于进一步推进预算公开工作的实施意见》规定，现将石家庄市藁城区医疗保障局2024年部门预算公开如下：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(一)贯彻落实省市城镇职工和城乡居民医疗保险、生育保险、长期护理保险、医疗救助等医疗保障法规、政府规章以及政策、制度、规划和标准。</w:t>
      </w:r>
    </w:p>
    <w:p>
      <w:pPr>
        <w:pStyle w:val="26"/>
      </w:pPr>
      <w:r>
        <w:t>(二)贯彻落实省市医疗保障基金监督管理办法、医疗保障基金安全防控机制，做好医疗保障基金支付方式改革。</w:t>
      </w:r>
    </w:p>
    <w:p>
      <w:pPr>
        <w:pStyle w:val="26"/>
      </w:pPr>
      <w:r>
        <w:t>(三)贯彻执行省市城镇职工、城乡居民参保筹资和保障待遇政策，执行好城乡医疗保障政策标准。</w:t>
      </w:r>
    </w:p>
    <w:p>
      <w:pPr>
        <w:pStyle w:val="26"/>
      </w:pPr>
      <w:r>
        <w:t>(四)贯彻执行城乡统一的药品、医用药材、医疗服务项目、医疗服务设施等医保支付标准。</w:t>
      </w:r>
    </w:p>
    <w:p>
      <w:pPr>
        <w:pStyle w:val="26"/>
      </w:pPr>
      <w:r>
        <w:t>(五)贯彻执行药品、医用耗材价格和医疗服务项目、医疗服务设施收费等政策。依法管理药品、医用耗材、医疗服务价格政策执行情况。</w:t>
      </w:r>
    </w:p>
    <w:p>
      <w:pPr>
        <w:pStyle w:val="26"/>
      </w:pPr>
      <w:r>
        <w:t>(六)贯彻执行定点医药机构协议和支付管理办法。执行好医疗保障信用评价体系和信息披露制度，监督管理定点医药机构的医疗服务行为、医疗费用和医药价格，依法查处医疗保障领域违法违规行为。</w:t>
      </w:r>
    </w:p>
    <w:p>
      <w:pPr>
        <w:pStyle w:val="26"/>
      </w:pPr>
      <w:r>
        <w:t>(七)负责医疗保障经办管理、公共服务体系和信息化建设。执行好异地就医管理、费用结算政策和医疗保障关系转移接续制度。</w:t>
      </w:r>
    </w:p>
    <w:p>
      <w:pPr>
        <w:pStyle w:val="26"/>
      </w:pPr>
      <w:r>
        <w:t>(八)完成区委、区政府交办的其他任务。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石家庄市藁城区医疗保障局本级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p>
    <w:p>
      <w:pPr>
        <w:pStyle w:val="19"/>
      </w:pPr>
      <w:r>
        <w:t>1、收入说明</w:t>
      </w:r>
    </w:p>
    <w:p>
      <w:pPr>
        <w:pStyle w:val="19"/>
      </w:pPr>
      <w:r>
        <w:t>2024年预算收入</w:t>
      </w:r>
      <w:r>
        <w:rPr>
          <w:rFonts w:hint="eastAsia"/>
          <w:lang w:val="en-US" w:eastAsia="zh-CN"/>
        </w:rPr>
        <w:t>11400</w:t>
      </w:r>
      <w:r>
        <w:t>万元，其中：一般公共预算收入</w:t>
      </w:r>
      <w:r>
        <w:rPr>
          <w:rFonts w:hint="eastAsia"/>
          <w:lang w:val="en-US" w:eastAsia="zh-CN"/>
        </w:rPr>
        <w:t>11400</w:t>
      </w:r>
      <w:r>
        <w:t>万元，基金预算收入0万元，财政专户核拨收入0万元，其他来源收入0万元。</w:t>
      </w:r>
    </w:p>
    <w:p>
      <w:pPr>
        <w:pStyle w:val="19"/>
      </w:pPr>
      <w:r>
        <w:t>2、支出说明</w:t>
      </w:r>
    </w:p>
    <w:p>
      <w:pPr>
        <w:pStyle w:val="19"/>
      </w:pPr>
      <w:r>
        <w:t>2024年部门支出预算为</w:t>
      </w:r>
      <w:r>
        <w:rPr>
          <w:rFonts w:hint="eastAsia"/>
          <w:lang w:val="en-US" w:eastAsia="zh-CN"/>
        </w:rPr>
        <w:t>11400.86</w:t>
      </w:r>
      <w:r>
        <w:t>万元，其中基本支出7</w:t>
      </w:r>
      <w:r>
        <w:rPr>
          <w:rFonts w:hint="eastAsia"/>
          <w:lang w:val="en-US" w:eastAsia="zh-CN"/>
        </w:rPr>
        <w:t>43</w:t>
      </w:r>
      <w:r>
        <w:t>万元，包括人员经费</w:t>
      </w:r>
      <w:r>
        <w:rPr>
          <w:rFonts w:hint="eastAsia"/>
          <w:lang w:val="en-US" w:eastAsia="zh-CN"/>
        </w:rPr>
        <w:t>701.05</w:t>
      </w:r>
      <w:r>
        <w:t>万元和日常公用经费41.95万元；项目支出</w:t>
      </w:r>
      <w:r>
        <w:rPr>
          <w:rFonts w:hint="eastAsia"/>
        </w:rPr>
        <w:t>10657.86</w:t>
      </w:r>
      <w:r>
        <w:t>万元，主要为职工及城乡居民医疗管理经费</w:t>
      </w:r>
      <w:r>
        <w:rPr>
          <w:rFonts w:hint="eastAsia"/>
          <w:lang w:val="en-US" w:eastAsia="zh-CN"/>
        </w:rPr>
        <w:t>15</w:t>
      </w:r>
      <w:r>
        <w:t>万元；离休、老工人、1-6级伤残军人医疗费900万元，城乡医疗救助1324万元，城乡居民医疗保险本级配套资金8375万元</w:t>
      </w:r>
      <w:r>
        <w:rPr>
          <w:rFonts w:hint="eastAsia"/>
          <w:lang w:eastAsia="zh-CN"/>
        </w:rPr>
        <w:t>；</w:t>
      </w:r>
      <w:r>
        <w:rPr>
          <w:rFonts w:hint="eastAsia"/>
          <w:lang w:val="en-US" w:eastAsia="zh-CN"/>
        </w:rPr>
        <w:t>能力提升43.86万元</w:t>
      </w:r>
      <w:r>
        <w:t>；其他支出0万元。</w:t>
      </w:r>
    </w:p>
    <w:p>
      <w:pPr>
        <w:pStyle w:val="19"/>
      </w:pPr>
      <w:r>
        <w:t>3、比上年增减情况</w:t>
      </w:r>
    </w:p>
    <w:p>
      <w:pPr>
        <w:pStyle w:val="19"/>
      </w:pPr>
      <w:r>
        <w:t>2024年部门预算收支安排</w:t>
      </w:r>
      <w:r>
        <w:rPr>
          <w:rFonts w:hint="eastAsia"/>
          <w:lang w:val="en-US" w:eastAsia="zh-CN"/>
        </w:rPr>
        <w:t>11400.86</w:t>
      </w:r>
      <w:r>
        <w:t>万元，较202</w:t>
      </w:r>
      <w:r>
        <w:rPr>
          <w:rFonts w:hint="eastAsia"/>
          <w:lang w:val="en-US" w:eastAsia="zh-CN"/>
        </w:rPr>
        <w:t>3</w:t>
      </w:r>
      <w:r>
        <w:t>年减少</w:t>
      </w:r>
      <w:r>
        <w:rPr>
          <w:rFonts w:hint="eastAsia"/>
          <w:lang w:val="en-US" w:eastAsia="zh-CN"/>
        </w:rPr>
        <w:t>137.12</w:t>
      </w:r>
      <w:r>
        <w:t>万元，其中：基本支出增加</w:t>
      </w:r>
      <w:r>
        <w:rPr>
          <w:rFonts w:hint="eastAsia"/>
          <w:lang w:val="en-US" w:eastAsia="zh-CN"/>
        </w:rPr>
        <w:t>38.02</w:t>
      </w:r>
      <w:r>
        <w:t>元，主要是人员增加，相应增加人员经费和日常公用经费；项目支出减少</w:t>
      </w:r>
      <w:r>
        <w:rPr>
          <w:rFonts w:hint="eastAsia"/>
          <w:lang w:val="en-US" w:eastAsia="zh-CN"/>
        </w:rPr>
        <w:t>175.14</w:t>
      </w:r>
      <w:r>
        <w:t>万元，主要是城乡居民参保人数减少，对应参保配套资金项目预算减少；其他支出无增减变化。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bookmarkStart w:id="20" w:name="_GoBack"/>
      <w:bookmarkEnd w:id="20"/>
    </w:p>
    <w:p>
      <w:pPr>
        <w:pStyle w:val="20"/>
      </w:pPr>
      <w:r>
        <w:t>2023年，我部门机关运行经费共计安排</w:t>
      </w:r>
      <w:r>
        <w:rPr>
          <w:rFonts w:hint="eastAsia"/>
          <w:lang w:val="en-US" w:eastAsia="zh-CN"/>
        </w:rPr>
        <w:t>41.95</w:t>
      </w:r>
      <w:r>
        <w:t>万元，主要用于保证机关正常运转的办公及印刷费、邮电费、差旅费、福利费、设备购置费、办公用房水电费、日常维修费、公务车运行维护费等支出。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2023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省市城镇职工和城乡居民医疗保险、生育保险、医疗救助等医疗保障政策。落实《医疗保障基金使用监督管理条例》、医疗保障基金安全防控机制，做好医疗保障基金支付方式改革。执行城镇职工、城乡居民参保筹资和保障待遇政策，执行好城乡医疗保障政策标准。执行城乡统一的药品、医用药材、医疗服务项目、医疗服务设施等医保支付标准。执行药品、医用耗材价格和医疗服务项目、医疗服务设施收费等政策。依法管理药品、医用耗材、医疗服务价格政策执行情况。执行定点医药机构协议和支付管理办法。执行好医疗保障信用评价体系和信息披露制度，监督管理定点医药机构的医疗服务行为、医疗费用和医药价格，依法查处医疗保障领域违法违规行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（一）推动全民参保计划</w:t>
      </w:r>
    </w:p>
    <w:p>
      <w:pPr>
        <w:pStyle w:val="23"/>
      </w:pPr>
      <w:r>
        <w:t>绩效目标：扎实做好基本医疗保险的全民参保工作，配合好税务部门做好征缴工作，做到应参尽参、应保尽保。</w:t>
      </w:r>
    </w:p>
    <w:p>
      <w:pPr>
        <w:pStyle w:val="23"/>
      </w:pPr>
      <w:r>
        <w:t>绩效指标：参保率在95%以上。</w:t>
      </w:r>
    </w:p>
    <w:p>
      <w:pPr>
        <w:pStyle w:val="23"/>
      </w:pPr>
      <w:r>
        <w:t>（二）落实医保待遇 ，保障参保权益</w:t>
      </w:r>
    </w:p>
    <w:p>
      <w:pPr>
        <w:pStyle w:val="23"/>
      </w:pPr>
      <w:r>
        <w:t>绩效目标：落实职工医疗保险门诊共济保障机制实施细则，落实城乡居民基本医疗保险实施办法。</w:t>
      </w:r>
    </w:p>
    <w:p>
      <w:pPr>
        <w:pStyle w:val="23"/>
      </w:pPr>
      <w:r>
        <w:t>绩效指标：政策落实率达到100%。异地就医结算率达到95%以，增强群众幸福感。</w:t>
      </w:r>
    </w:p>
    <w:p>
      <w:pPr>
        <w:pStyle w:val="23"/>
      </w:pPr>
      <w:r>
        <w:t>（三）健全医疗救助制度</w:t>
      </w:r>
    </w:p>
    <w:p>
      <w:pPr>
        <w:pStyle w:val="23"/>
      </w:pPr>
      <w:r>
        <w:t>绩效目标：进一步健全重大疾病医疗保险和救助制度，深入做好精准扶贫工作，发挥好医保三重保障制度的重要作用，做好一站式直接结算服务。</w:t>
      </w:r>
    </w:p>
    <w:p>
      <w:pPr>
        <w:pStyle w:val="23"/>
      </w:pPr>
      <w:r>
        <w:t>绩效指标：医疗救助资助率100%，一站式结算率100%。</w:t>
      </w:r>
    </w:p>
    <w:p>
      <w:pPr>
        <w:pStyle w:val="23"/>
      </w:pPr>
      <w:r>
        <w:t>（四）加强基金监管</w:t>
      </w:r>
    </w:p>
    <w:p>
      <w:pPr>
        <w:pStyle w:val="23"/>
      </w:pPr>
      <w:r>
        <w:t>绩效目标：打击欺诈骗保高压态势，加大基金监管力度。做好对“两定点”医药机构的管理，维护好基金安全。切实增强做好医保基金监管工作的责任感与紧迫感，确保全面排查整治取得实效，建立完善“不敢骗”“不能骗”“不想骗”的监管长效机制。</w:t>
      </w:r>
    </w:p>
    <w:p>
      <w:pPr>
        <w:pStyle w:val="23"/>
      </w:pPr>
      <w:r>
        <w:t>绩效指标：定点机构检查次数全年不少于2次。按监督条例对至少1所医疗机构进行行政处罚。</w:t>
      </w:r>
    </w:p>
    <w:p>
      <w:pPr>
        <w:pStyle w:val="23"/>
      </w:pPr>
      <w:r>
        <w:t>（五）加强医保信息化强度</w:t>
      </w:r>
    </w:p>
    <w:p>
      <w:pPr>
        <w:pStyle w:val="23"/>
      </w:pPr>
      <w:r>
        <w:t>绩效目标：慢性病、特殊病种网上认定继续规范，电子社保卡激活量有所提高，保证医保信息系统正常运行。</w:t>
      </w:r>
    </w:p>
    <w:p>
      <w:pPr>
        <w:pStyle w:val="23"/>
      </w:pPr>
      <w:r>
        <w:t>绩效指标：中心及各乡镇医保信息系统正常运行时不低于345天。</w:t>
      </w:r>
    </w:p>
    <w:p>
      <w:pPr>
        <w:pStyle w:val="23"/>
      </w:pPr>
      <w:r>
        <w:t>（六）开展标准化建设，让服务更便民</w:t>
      </w:r>
    </w:p>
    <w:p>
      <w:pPr>
        <w:pStyle w:val="23"/>
      </w:pPr>
      <w:r>
        <w:t>绩效目标：对与办事群众息息相关的办公场所进行标准化建设。</w:t>
      </w:r>
    </w:p>
    <w:p>
      <w:pPr>
        <w:pStyle w:val="23"/>
      </w:pPr>
      <w:r>
        <w:t>绩效指标：对与办事群众接触较多的</w:t>
      </w:r>
      <w:r>
        <w:rPr>
          <w:rFonts w:hint="eastAsia"/>
          <w:lang w:val="en-US" w:eastAsia="zh-CN"/>
        </w:rPr>
        <w:t>医审科</w:t>
      </w:r>
      <w:r>
        <w:t>、征收科、</w:t>
      </w:r>
      <w:r>
        <w:rPr>
          <w:rFonts w:hint="eastAsia"/>
          <w:lang w:val="en-US" w:eastAsia="zh-CN"/>
        </w:rPr>
        <w:t>医保大厅</w:t>
      </w:r>
      <w:r>
        <w:t>等科室开展标准化建设，为办事群众提供更好的服务条件，让群众办事更舒心、更满意。</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加强支出管理。提高政治站位，加强党的领导。巩固拓展党史学习教育成果，推动医疗保障高质量发展。强化使命担当，落实主体责任。始终坚持以人民为中心的发展思想，全面落实主体责任，切实担负起参保人员基本医疗、大病报销、医疗救助的职责使命，奋力推动省、市关于医疗保障各项决策部署落地落实。</w:t>
      </w:r>
    </w:p>
    <w:p>
      <w:pPr>
        <w:pStyle w:val="24"/>
      </w:pPr>
      <w:r>
        <w:t>紧盯重点难点，提速工作进度。将2024年工作谋划列入全年工作要点，拉出目标清单，细化责任分工，明确时间节点，重点工作月调度，重要工作周调度，全力抓重点攻难点、抓创新出亮点，集中优势资源、集中精干队伍，全力提速工作进度，确保全年重点工作见效落</w:t>
      </w:r>
    </w:p>
    <w:p>
      <w:pPr>
        <w:pStyle w:val="24"/>
      </w:pPr>
      <w:r>
        <w:t>坚持底线思维，科学防控风险。针对当前存在骗取医保基金等方面存在的风险隐患，逐一研究制定行之有效的防范措施，开展打击欺诈骗保行为，防范化解突出问题，逐项消除风险隐患，全力维护医保基金安全。</w:t>
      </w:r>
    </w:p>
    <w:p>
      <w:pPr>
        <w:pStyle w:val="24"/>
      </w:pPr>
      <w:r>
        <w:t>加强宣传培训，加强人员培训，提高本部门职工业务素质；加强调研，提出优化财政资金配置、提高资金使用效益的意见意见；加大宣传力度，强化预算绩效管理意识，促进预算绩效管理水平进一步提升。</w:t>
      </w:r>
    </w:p>
    <w:p>
      <w:pPr>
        <w:pStyle w:val="24"/>
      </w:pPr>
      <w:r>
        <w:t>加强绩效运行监控，按要求开展绩效运行监控，发现问题及时采取措施，确保绩效目标如期保质实现。</w:t>
      </w:r>
    </w:p>
    <w:p>
      <w:pPr>
        <w:pStyle w:val="24"/>
        <w:sectPr>
          <w:pgSz w:w="16840" w:h="11900" w:orient="landscape"/>
          <w:pgMar w:top="1361" w:right="1020" w:bottom="1361" w:left="1020" w:header="720" w:footer="720" w:gutter="0"/>
        </w:sectPr>
      </w:pPr>
      <w:r>
        <w:t>加强宣传培训调研，加强人员培训，提高医保人员业务素质；加强调研，提出优化财政资金配置、提高资金使用效益的意见意见；加大宣传力度，强化预算绩效管理意识，促进预算绩效管理水平进一步提升。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Times New Roman" w:hAnsi="Times New Roman" w:eastAsia="方正仿宋_GBK" w:cs="Times New Roman"/>
          <w:sz w:val="28"/>
          <w:szCs w:val="24"/>
          <w:lang w:val="en-US" w:eastAsia="uk-UA" w:bidi="ar-SA"/>
        </w:rPr>
      </w:pPr>
    </w:p>
    <w:p>
      <w:pPr>
        <w:tabs>
          <w:tab w:val="left" w:pos="1134"/>
        </w:tabs>
        <w:bidi w:val="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sectPr>
      </w:pPr>
      <w:r>
        <w:rPr>
          <w:rFonts w:hint="eastAsia" w:ascii="Times New Roman" w:hAnsi="Times New Roman" w:eastAsia="方正仿宋_GBK" w:cs="Times New Roman"/>
          <w:sz w:val="28"/>
          <w:szCs w:val="24"/>
          <w:lang w:val="en-US" w:eastAsia="zh-CN" w:bidi="ar-SA"/>
        </w:rPr>
        <w:tab/>
      </w:r>
      <w:r>
        <w:rPr>
          <w:rFonts w:hint="eastAsia" w:ascii="Times New Roman" w:hAnsi="Times New Roman" w:eastAsia="方正仿宋_GBK" w:cs="Times New Roman"/>
          <w:sz w:val="28"/>
          <w:szCs w:val="24"/>
          <w:lang w:val="en-US" w:eastAsia="zh-CN" w:bidi="ar-SA"/>
        </w:rPr>
        <w:t>我部门2024年无专项资金。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1、城乡居民医疗保险本级配套资金绩效目标表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13010924P00000211027M</w:t>
            </w:r>
          </w:p>
        </w:tc>
        <w:tc>
          <w:tcPr>
            <w:tcW w:w="2114" w:type="dxa"/>
            <w:vAlign w:val="center"/>
          </w:tcPr>
          <w:p>
            <w:pPr>
              <w:pStyle w:val="11"/>
            </w:pPr>
            <w:r>
              <w:t>项目名称</w:t>
            </w:r>
          </w:p>
        </w:tc>
        <w:tc>
          <w:tcPr>
            <w:tcW w:w="6342" w:type="dxa"/>
            <w:gridSpan w:val="3"/>
            <w:vAlign w:val="center"/>
          </w:tcPr>
          <w:p>
            <w:pPr>
              <w:pStyle w:val="13"/>
            </w:pPr>
            <w:r>
              <w:t>城乡居民医疗保险本级配套资金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8375.00</w:t>
            </w:r>
          </w:p>
        </w:tc>
        <w:tc>
          <w:tcPr>
            <w:tcW w:w="2114" w:type="dxa"/>
            <w:vAlign w:val="center"/>
          </w:tcPr>
          <w:p>
            <w:pPr>
              <w:pStyle w:val="11"/>
            </w:pPr>
            <w:r>
              <w:t>其中：财政    资金</w:t>
            </w:r>
          </w:p>
        </w:tc>
        <w:tc>
          <w:tcPr>
            <w:tcW w:w="2114" w:type="dxa"/>
            <w:vAlign w:val="center"/>
          </w:tcPr>
          <w:p>
            <w:pPr>
              <w:pStyle w:val="13"/>
            </w:pPr>
            <w:r>
              <w:t>8375.00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用于城乡居民医保本级配套资金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1.按时把配套资金上交石家庄财政专户，按城乡居民参保人数足额配套。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基本医疗保险参保人数</w:t>
            </w:r>
          </w:p>
        </w:tc>
        <w:tc>
          <w:tcPr>
            <w:tcW w:w="4228" w:type="dxa"/>
            <w:vAlign w:val="center"/>
          </w:tcPr>
          <w:p>
            <w:pPr>
              <w:pStyle w:val="13"/>
            </w:pPr>
            <w:r>
              <w:t>基本医疗保险参保人数</w:t>
            </w:r>
          </w:p>
        </w:tc>
        <w:tc>
          <w:tcPr>
            <w:tcW w:w="2114" w:type="dxa"/>
            <w:vAlign w:val="center"/>
          </w:tcPr>
          <w:p>
            <w:pPr>
              <w:pStyle w:val="13"/>
            </w:pPr>
            <w:r>
              <w:t>≥58万人</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参保率、发放率</w:t>
            </w:r>
          </w:p>
        </w:tc>
        <w:tc>
          <w:tcPr>
            <w:tcW w:w="4228" w:type="dxa"/>
            <w:vAlign w:val="center"/>
          </w:tcPr>
          <w:p>
            <w:pPr>
              <w:pStyle w:val="13"/>
            </w:pPr>
            <w:r>
              <w:t>参保人数占按常住人口统计应参保人数的比率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支付及时率</w:t>
            </w:r>
          </w:p>
        </w:tc>
        <w:tc>
          <w:tcPr>
            <w:tcW w:w="4228" w:type="dxa"/>
            <w:vAlign w:val="center"/>
          </w:tcPr>
          <w:p>
            <w:pPr>
              <w:pStyle w:val="13"/>
            </w:pPr>
            <w:r>
              <w:t>医疗费用按政策及时结算情况</w:t>
            </w:r>
          </w:p>
        </w:tc>
        <w:tc>
          <w:tcPr>
            <w:tcW w:w="2114" w:type="dxa"/>
            <w:vAlign w:val="center"/>
          </w:tcPr>
          <w:p>
            <w:pPr>
              <w:pStyle w:val="13"/>
            </w:pPr>
            <w:r>
              <w:t>&gt;95%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预算控制数</w:t>
            </w:r>
          </w:p>
        </w:tc>
        <w:tc>
          <w:tcPr>
            <w:tcW w:w="4228" w:type="dxa"/>
            <w:vAlign w:val="center"/>
          </w:tcPr>
          <w:p>
            <w:pPr>
              <w:pStyle w:val="13"/>
            </w:pPr>
            <w:r>
              <w:t>城乡居民医疗保险补助金额按规定金额补助</w:t>
            </w:r>
          </w:p>
        </w:tc>
        <w:tc>
          <w:tcPr>
            <w:tcW w:w="2114" w:type="dxa"/>
            <w:vAlign w:val="center"/>
          </w:tcPr>
          <w:p>
            <w:pPr>
              <w:pStyle w:val="13"/>
            </w:pPr>
            <w:r>
              <w:t>134元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受众政策了解程度</w:t>
            </w:r>
          </w:p>
        </w:tc>
        <w:tc>
          <w:tcPr>
            <w:tcW w:w="4228" w:type="dxa"/>
            <w:vAlign w:val="center"/>
          </w:tcPr>
          <w:p>
            <w:pPr>
              <w:pStyle w:val="13"/>
            </w:pPr>
            <w:r>
              <w:t>受众政策了解程度</w:t>
            </w:r>
          </w:p>
        </w:tc>
        <w:tc>
          <w:tcPr>
            <w:tcW w:w="2114" w:type="dxa"/>
            <w:vAlign w:val="center"/>
          </w:tcPr>
          <w:p>
            <w:pPr>
              <w:pStyle w:val="13"/>
            </w:pPr>
            <w:r>
              <w:t>有所提高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完善政策机制</w:t>
            </w:r>
          </w:p>
        </w:tc>
        <w:tc>
          <w:tcPr>
            <w:tcW w:w="4228" w:type="dxa"/>
            <w:vAlign w:val="center"/>
          </w:tcPr>
          <w:p>
            <w:pPr>
              <w:pStyle w:val="13"/>
            </w:pPr>
            <w:r>
              <w:t>完善政策机制</w:t>
            </w:r>
          </w:p>
        </w:tc>
        <w:tc>
          <w:tcPr>
            <w:tcW w:w="2114" w:type="dxa"/>
            <w:vAlign w:val="center"/>
          </w:tcPr>
          <w:p>
            <w:pPr>
              <w:pStyle w:val="13"/>
            </w:pPr>
            <w:r>
              <w:t>有效完善</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 xml:space="preserve">满意程度 </w:t>
            </w:r>
          </w:p>
        </w:tc>
        <w:tc>
          <w:tcPr>
            <w:tcW w:w="4228" w:type="dxa"/>
            <w:vAlign w:val="center"/>
          </w:tcPr>
          <w:p>
            <w:pPr>
              <w:pStyle w:val="13"/>
            </w:pPr>
            <w:r>
              <w:t>参保对象对居民医保政策、医保经办和服务的满意度</w:t>
            </w:r>
          </w:p>
        </w:tc>
        <w:tc>
          <w:tcPr>
            <w:tcW w:w="2114" w:type="dxa"/>
            <w:vAlign w:val="center"/>
          </w:tcPr>
          <w:p>
            <w:pPr>
              <w:pStyle w:val="13"/>
            </w:pPr>
            <w:r>
              <w:t>≥85%</w:t>
            </w:r>
          </w:p>
        </w:tc>
        <w:tc>
          <w:tcPr>
            <w:tcW w:w="2114"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2、城乡医疗救助绩效目标表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13010924P000002110289</w:t>
            </w:r>
          </w:p>
        </w:tc>
        <w:tc>
          <w:tcPr>
            <w:tcW w:w="2114" w:type="dxa"/>
            <w:vAlign w:val="center"/>
          </w:tcPr>
          <w:p>
            <w:pPr>
              <w:pStyle w:val="11"/>
            </w:pPr>
            <w:r>
              <w:t>项目名称</w:t>
            </w:r>
          </w:p>
        </w:tc>
        <w:tc>
          <w:tcPr>
            <w:tcW w:w="6342" w:type="dxa"/>
            <w:gridSpan w:val="3"/>
            <w:vAlign w:val="center"/>
          </w:tcPr>
          <w:p>
            <w:pPr>
              <w:pStyle w:val="13"/>
            </w:pPr>
            <w:r>
              <w:t>城乡医疗救助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1324.00</w:t>
            </w:r>
          </w:p>
        </w:tc>
        <w:tc>
          <w:tcPr>
            <w:tcW w:w="2114" w:type="dxa"/>
            <w:vAlign w:val="center"/>
          </w:tcPr>
          <w:p>
            <w:pPr>
              <w:pStyle w:val="11"/>
            </w:pPr>
            <w:r>
              <w:t>其中：财政    资金</w:t>
            </w:r>
          </w:p>
        </w:tc>
        <w:tc>
          <w:tcPr>
            <w:tcW w:w="2114" w:type="dxa"/>
            <w:vAlign w:val="center"/>
          </w:tcPr>
          <w:p>
            <w:pPr>
              <w:pStyle w:val="13"/>
            </w:pPr>
            <w:r>
              <w:t>1324.00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用于城乡居民医疗救治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1.应享受医疗救助人员应保尽保，应救尽救编密织牢医疗保障网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资金到位率</w:t>
            </w:r>
          </w:p>
        </w:tc>
        <w:tc>
          <w:tcPr>
            <w:tcW w:w="4228" w:type="dxa"/>
            <w:vAlign w:val="center"/>
          </w:tcPr>
          <w:p>
            <w:pPr>
              <w:pStyle w:val="13"/>
            </w:pPr>
            <w:r>
              <w:t>资金到位率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覆盖率</w:t>
            </w:r>
          </w:p>
        </w:tc>
        <w:tc>
          <w:tcPr>
            <w:tcW w:w="4228" w:type="dxa"/>
            <w:vAlign w:val="center"/>
          </w:tcPr>
          <w:p>
            <w:pPr>
              <w:pStyle w:val="13"/>
            </w:pPr>
            <w:r>
              <w:t>符合资助条件的农村低收入人口资助参保政策覆盖率</w:t>
            </w:r>
          </w:p>
        </w:tc>
        <w:tc>
          <w:tcPr>
            <w:tcW w:w="2114" w:type="dxa"/>
            <w:vAlign w:val="center"/>
          </w:tcPr>
          <w:p>
            <w:pPr>
              <w:pStyle w:val="13"/>
            </w:pPr>
            <w:r>
              <w:t>≥99%</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及时率</w:t>
            </w:r>
          </w:p>
        </w:tc>
        <w:tc>
          <w:tcPr>
            <w:tcW w:w="4228" w:type="dxa"/>
            <w:vAlign w:val="center"/>
          </w:tcPr>
          <w:p>
            <w:pPr>
              <w:pStyle w:val="13"/>
            </w:pPr>
            <w:r>
              <w:t>一站式及时结算，参保人员可在就诊医院一站式结算，出院时直接在医院的结算窗口办理完所有报销手续</w:t>
            </w:r>
          </w:p>
        </w:tc>
        <w:tc>
          <w:tcPr>
            <w:tcW w:w="2114" w:type="dxa"/>
            <w:vAlign w:val="center"/>
          </w:tcPr>
          <w:p>
            <w:pPr>
              <w:pStyle w:val="13"/>
            </w:pPr>
            <w:r>
              <w:t>较往年增加</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项目预算控制数</w:t>
            </w:r>
          </w:p>
        </w:tc>
        <w:tc>
          <w:tcPr>
            <w:tcW w:w="4228" w:type="dxa"/>
            <w:vAlign w:val="center"/>
          </w:tcPr>
          <w:p>
            <w:pPr>
              <w:pStyle w:val="13"/>
            </w:pPr>
            <w:r>
              <w:t>项目预算控制数</w:t>
            </w:r>
          </w:p>
        </w:tc>
        <w:tc>
          <w:tcPr>
            <w:tcW w:w="2114" w:type="dxa"/>
            <w:vAlign w:val="center"/>
          </w:tcPr>
          <w:p>
            <w:pPr>
              <w:pStyle w:val="13"/>
            </w:pPr>
            <w:r>
              <w:t>≤1324万元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覆盖范围扩大效果</w:t>
            </w:r>
          </w:p>
        </w:tc>
        <w:tc>
          <w:tcPr>
            <w:tcW w:w="4228" w:type="dxa"/>
            <w:vAlign w:val="center"/>
          </w:tcPr>
          <w:p>
            <w:pPr>
              <w:pStyle w:val="13"/>
            </w:pPr>
            <w:r>
              <w:t>医疗救助对象覆盖范围</w:t>
            </w:r>
          </w:p>
        </w:tc>
        <w:tc>
          <w:tcPr>
            <w:tcW w:w="2114" w:type="dxa"/>
            <w:vAlign w:val="center"/>
          </w:tcPr>
          <w:p>
            <w:pPr>
              <w:pStyle w:val="13"/>
            </w:pPr>
            <w:r>
              <w:t>稳步拓展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建立健全长效机制</w:t>
            </w:r>
          </w:p>
        </w:tc>
        <w:tc>
          <w:tcPr>
            <w:tcW w:w="4228" w:type="dxa"/>
            <w:vAlign w:val="center"/>
          </w:tcPr>
          <w:p>
            <w:pPr>
              <w:pStyle w:val="13"/>
            </w:pPr>
            <w:r>
              <w:t>医疗救助与其他社会救助制度的衔接，对健全社会救助体系，提高社会救助水平的影响</w:t>
            </w:r>
          </w:p>
        </w:tc>
        <w:tc>
          <w:tcPr>
            <w:tcW w:w="2114" w:type="dxa"/>
            <w:vAlign w:val="center"/>
          </w:tcPr>
          <w:p>
            <w:pPr>
              <w:pStyle w:val="13"/>
            </w:pPr>
            <w:r>
              <w:t>成效明显</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 xml:space="preserve">满意程度 </w:t>
            </w:r>
          </w:p>
        </w:tc>
        <w:tc>
          <w:tcPr>
            <w:tcW w:w="4228" w:type="dxa"/>
            <w:vAlign w:val="center"/>
          </w:tcPr>
          <w:p>
            <w:pPr>
              <w:pStyle w:val="13"/>
            </w:pPr>
            <w:r>
              <w:t xml:space="preserve">满意程度 </w:t>
            </w:r>
          </w:p>
        </w:tc>
        <w:tc>
          <w:tcPr>
            <w:tcW w:w="2114" w:type="dxa"/>
            <w:vAlign w:val="center"/>
          </w:tcPr>
          <w:p>
            <w:pPr>
              <w:pStyle w:val="13"/>
            </w:pPr>
            <w:r>
              <w:t>≥85%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3、冀财社[2022]218号关于提前下达2023年中央财政医疗服务与保障能力提升补助资金预算的通知绩效目标表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13010923P00000110396R</w:t>
            </w:r>
          </w:p>
        </w:tc>
        <w:tc>
          <w:tcPr>
            <w:tcW w:w="2114" w:type="dxa"/>
            <w:vAlign w:val="center"/>
          </w:tcPr>
          <w:p>
            <w:pPr>
              <w:pStyle w:val="11"/>
            </w:pPr>
            <w:r>
              <w:t>项目名称</w:t>
            </w:r>
          </w:p>
        </w:tc>
        <w:tc>
          <w:tcPr>
            <w:tcW w:w="6342" w:type="dxa"/>
            <w:gridSpan w:val="3"/>
            <w:vAlign w:val="center"/>
          </w:tcPr>
          <w:p>
            <w:pPr>
              <w:pStyle w:val="13"/>
            </w:pPr>
            <w:r>
              <w:t>冀财社[2022]218号关于提前下达2023年中央财政医疗服务与保障能力提升补助资金预算的通知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0.10</w:t>
            </w:r>
          </w:p>
        </w:tc>
        <w:tc>
          <w:tcPr>
            <w:tcW w:w="2114" w:type="dxa"/>
            <w:vAlign w:val="center"/>
          </w:tcPr>
          <w:p>
            <w:pPr>
              <w:pStyle w:val="11"/>
            </w:pPr>
            <w:r>
              <w:t>其中：财政    资金</w:t>
            </w:r>
          </w:p>
        </w:tc>
        <w:tc>
          <w:tcPr>
            <w:tcW w:w="2114" w:type="dxa"/>
            <w:vAlign w:val="center"/>
          </w:tcPr>
          <w:p>
            <w:pPr>
              <w:pStyle w:val="13"/>
            </w:pPr>
            <w:r>
              <w:t>0.10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用于提高医保服务能力，打击欺诈骗保，提高基金监管力度不，加强信息化建设。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w:t>
            </w:r>
          </w:p>
        </w:tc>
        <w:tc>
          <w:tcPr>
            <w:tcW w:w="2114" w:type="dxa"/>
            <w:vAlign w:val="center"/>
          </w:tcPr>
          <w:p>
            <w:pPr>
              <w:pStyle w:val="14"/>
            </w:pPr>
            <w:r>
              <w:t>30%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1.国家统一医保信息平台正常运行</w:t>
            </w:r>
          </w:p>
          <w:p>
            <w:pPr>
              <w:pStyle w:val="13"/>
            </w:pPr>
            <w:r>
              <w:t>2.定点医药机构监督检查覆盖</w:t>
            </w:r>
          </w:p>
          <w:p>
            <w:pPr>
              <w:pStyle w:val="13"/>
            </w:pPr>
            <w:r>
              <w:t>3.推行DRG/DIP医保支付方式改革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会议次数</w:t>
            </w:r>
          </w:p>
        </w:tc>
        <w:tc>
          <w:tcPr>
            <w:tcW w:w="4228" w:type="dxa"/>
            <w:vAlign w:val="center"/>
          </w:tcPr>
          <w:p>
            <w:pPr>
              <w:pStyle w:val="13"/>
            </w:pPr>
            <w:r>
              <w:t>参加医保工作政府信息公开市级工作会议或培训</w:t>
            </w:r>
          </w:p>
        </w:tc>
        <w:tc>
          <w:tcPr>
            <w:tcW w:w="2114" w:type="dxa"/>
            <w:vAlign w:val="center"/>
          </w:tcPr>
          <w:p>
            <w:pPr>
              <w:pStyle w:val="13"/>
            </w:pPr>
            <w:r>
              <w:t>≥1次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系统正常运行率</w:t>
            </w:r>
          </w:p>
        </w:tc>
        <w:tc>
          <w:tcPr>
            <w:tcW w:w="4228" w:type="dxa"/>
            <w:vAlign w:val="center"/>
          </w:tcPr>
          <w:p>
            <w:pPr>
              <w:pStyle w:val="13"/>
            </w:pPr>
            <w:r>
              <w:t>医保信息系统正常运行率</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工作任务完成及时率</w:t>
            </w:r>
          </w:p>
        </w:tc>
        <w:tc>
          <w:tcPr>
            <w:tcW w:w="4228" w:type="dxa"/>
            <w:vAlign w:val="center"/>
          </w:tcPr>
          <w:p>
            <w:pPr>
              <w:pStyle w:val="13"/>
            </w:pPr>
            <w:r>
              <w:t>启动DPG/DIP实际付费工作</w:t>
            </w:r>
          </w:p>
        </w:tc>
        <w:tc>
          <w:tcPr>
            <w:tcW w:w="2114" w:type="dxa"/>
            <w:vAlign w:val="center"/>
          </w:tcPr>
          <w:p>
            <w:pPr>
              <w:pStyle w:val="13"/>
            </w:pPr>
            <w:r>
              <w:t>不晚于12月底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w:t>
            </w:r>
          </w:p>
        </w:tc>
        <w:tc>
          <w:tcPr>
            <w:tcW w:w="4228" w:type="dxa"/>
            <w:vAlign w:val="center"/>
          </w:tcPr>
          <w:p>
            <w:pPr>
              <w:pStyle w:val="13"/>
            </w:pPr>
            <w:r>
              <w:t>购买设备支出节俭率</w:t>
            </w:r>
          </w:p>
        </w:tc>
        <w:tc>
          <w:tcPr>
            <w:tcW w:w="2114" w:type="dxa"/>
            <w:vAlign w:val="center"/>
          </w:tcPr>
          <w:p>
            <w:pPr>
              <w:pStyle w:val="13"/>
            </w:pPr>
            <w:r>
              <w:t>≥5%</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受众政策了解程度</w:t>
            </w:r>
          </w:p>
        </w:tc>
        <w:tc>
          <w:tcPr>
            <w:tcW w:w="4228" w:type="dxa"/>
            <w:vAlign w:val="center"/>
          </w:tcPr>
          <w:p>
            <w:pPr>
              <w:pStyle w:val="13"/>
            </w:pPr>
            <w:r>
              <w:t>参保群众政策知晓率</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参保人员对医保服务的满意度</w:t>
            </w:r>
          </w:p>
        </w:tc>
        <w:tc>
          <w:tcPr>
            <w:tcW w:w="2114" w:type="dxa"/>
            <w:vAlign w:val="center"/>
          </w:tcPr>
          <w:p>
            <w:pPr>
              <w:pStyle w:val="13"/>
            </w:pPr>
            <w:r>
              <w:t>≥85%</w:t>
            </w:r>
          </w:p>
        </w:tc>
        <w:tc>
          <w:tcPr>
            <w:tcW w:w="2114"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4、冀财社{2023}208号提前下达2024年中央财政医疗服务与保障补助资金绩效目标表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13010924P000001103169</w:t>
            </w:r>
          </w:p>
        </w:tc>
        <w:tc>
          <w:tcPr>
            <w:tcW w:w="2114" w:type="dxa"/>
            <w:vAlign w:val="center"/>
          </w:tcPr>
          <w:p>
            <w:pPr>
              <w:pStyle w:val="11"/>
            </w:pPr>
            <w:r>
              <w:t>项目名称</w:t>
            </w:r>
          </w:p>
        </w:tc>
        <w:tc>
          <w:tcPr>
            <w:tcW w:w="6342" w:type="dxa"/>
            <w:gridSpan w:val="3"/>
            <w:vAlign w:val="center"/>
          </w:tcPr>
          <w:p>
            <w:pPr>
              <w:pStyle w:val="13"/>
            </w:pPr>
            <w:r>
              <w:t>冀财社{2023}208号提前下达2024年中央财政医疗服务与保障补助资金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43.00</w:t>
            </w:r>
          </w:p>
        </w:tc>
        <w:tc>
          <w:tcPr>
            <w:tcW w:w="2114" w:type="dxa"/>
            <w:vAlign w:val="center"/>
          </w:tcPr>
          <w:p>
            <w:pPr>
              <w:pStyle w:val="11"/>
            </w:pPr>
            <w:r>
              <w:t>其中：财政    资金</w:t>
            </w:r>
          </w:p>
        </w:tc>
        <w:tc>
          <w:tcPr>
            <w:tcW w:w="2114" w:type="dxa"/>
            <w:vAlign w:val="center"/>
          </w:tcPr>
          <w:p>
            <w:pPr>
              <w:pStyle w:val="13"/>
            </w:pPr>
            <w:r>
              <w:t>43.00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用于补助资金支出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1.落实国家医疗救助政策，保证医疗救助人员应保尽保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监督检查次数</w:t>
            </w:r>
          </w:p>
        </w:tc>
        <w:tc>
          <w:tcPr>
            <w:tcW w:w="4228" w:type="dxa"/>
            <w:vAlign w:val="center"/>
          </w:tcPr>
          <w:p>
            <w:pPr>
              <w:pStyle w:val="13"/>
            </w:pPr>
            <w:r>
              <w:t>监督检查次数</w:t>
            </w:r>
          </w:p>
        </w:tc>
        <w:tc>
          <w:tcPr>
            <w:tcW w:w="2114" w:type="dxa"/>
            <w:vAlign w:val="center"/>
          </w:tcPr>
          <w:p>
            <w:pPr>
              <w:pStyle w:val="13"/>
            </w:pPr>
            <w:r>
              <w:t>≥2次</w:t>
            </w:r>
          </w:p>
        </w:tc>
        <w:tc>
          <w:tcPr>
            <w:tcW w:w="2114" w:type="dxa"/>
            <w:vAlign w:val="center"/>
          </w:tcPr>
          <w:p>
            <w:pPr>
              <w:pStyle w:val="13"/>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监督检查覆盖率</w:t>
            </w:r>
          </w:p>
        </w:tc>
        <w:tc>
          <w:tcPr>
            <w:tcW w:w="4228" w:type="dxa"/>
            <w:vAlign w:val="center"/>
          </w:tcPr>
          <w:p>
            <w:pPr>
              <w:pStyle w:val="13"/>
            </w:pPr>
            <w:r>
              <w:t>监督检查覆盖率</w:t>
            </w:r>
          </w:p>
        </w:tc>
        <w:tc>
          <w:tcPr>
            <w:tcW w:w="2114" w:type="dxa"/>
            <w:vAlign w:val="center"/>
          </w:tcPr>
          <w:p>
            <w:pPr>
              <w:pStyle w:val="13"/>
            </w:pPr>
            <w:r>
              <w:t>≥100%</w:t>
            </w:r>
          </w:p>
        </w:tc>
        <w:tc>
          <w:tcPr>
            <w:tcW w:w="2114" w:type="dxa"/>
            <w:vAlign w:val="center"/>
          </w:tcPr>
          <w:p>
            <w:pPr>
              <w:pStyle w:val="13"/>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网络运行</w:t>
            </w:r>
          </w:p>
        </w:tc>
        <w:tc>
          <w:tcPr>
            <w:tcW w:w="4228" w:type="dxa"/>
            <w:vAlign w:val="center"/>
          </w:tcPr>
          <w:p>
            <w:pPr>
              <w:pStyle w:val="13"/>
            </w:pPr>
            <w:r>
              <w:t>中心及各乡镇医保信息系统正常运行时间</w:t>
            </w:r>
          </w:p>
        </w:tc>
        <w:tc>
          <w:tcPr>
            <w:tcW w:w="2114" w:type="dxa"/>
            <w:vAlign w:val="center"/>
          </w:tcPr>
          <w:p>
            <w:pPr>
              <w:pStyle w:val="13"/>
            </w:pPr>
            <w:r>
              <w:t>≥345天</w:t>
            </w:r>
          </w:p>
        </w:tc>
        <w:tc>
          <w:tcPr>
            <w:tcW w:w="2114" w:type="dxa"/>
            <w:vAlign w:val="center"/>
          </w:tcPr>
          <w:p>
            <w:pPr>
              <w:pStyle w:val="13"/>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印刷材料三方比价，节约成本</w:t>
            </w:r>
          </w:p>
        </w:tc>
        <w:tc>
          <w:tcPr>
            <w:tcW w:w="2114" w:type="dxa"/>
            <w:vAlign w:val="center"/>
          </w:tcPr>
          <w:p>
            <w:pPr>
              <w:pStyle w:val="13"/>
            </w:pPr>
            <w:r>
              <w:t>≤5%</w:t>
            </w:r>
          </w:p>
        </w:tc>
        <w:tc>
          <w:tcPr>
            <w:tcW w:w="2114" w:type="dxa"/>
            <w:vAlign w:val="center"/>
          </w:tcPr>
          <w:p>
            <w:pPr>
              <w:pStyle w:val="13"/>
            </w:pPr>
            <w:r>
              <w:t>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提高效率</w:t>
            </w:r>
          </w:p>
        </w:tc>
        <w:tc>
          <w:tcPr>
            <w:tcW w:w="4228" w:type="dxa"/>
            <w:vAlign w:val="center"/>
          </w:tcPr>
          <w:p>
            <w:pPr>
              <w:pStyle w:val="13"/>
            </w:pPr>
            <w:r>
              <w:t>提高效率</w:t>
            </w:r>
          </w:p>
        </w:tc>
        <w:tc>
          <w:tcPr>
            <w:tcW w:w="2114" w:type="dxa"/>
            <w:vAlign w:val="center"/>
          </w:tcPr>
          <w:p>
            <w:pPr>
              <w:pStyle w:val="13"/>
            </w:pPr>
            <w:r>
              <w:t>≥25%</w:t>
            </w:r>
          </w:p>
        </w:tc>
        <w:tc>
          <w:tcPr>
            <w:tcW w:w="2114" w:type="dxa"/>
            <w:vAlign w:val="center"/>
          </w:tcPr>
          <w:p>
            <w:pPr>
              <w:pStyle w:val="13"/>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保障正常办公</w:t>
            </w:r>
          </w:p>
        </w:tc>
        <w:tc>
          <w:tcPr>
            <w:tcW w:w="4228" w:type="dxa"/>
            <w:vAlign w:val="center"/>
          </w:tcPr>
          <w:p>
            <w:pPr>
              <w:pStyle w:val="13"/>
            </w:pPr>
            <w:r>
              <w:t>保障正常办公</w:t>
            </w:r>
          </w:p>
        </w:tc>
        <w:tc>
          <w:tcPr>
            <w:tcW w:w="2114" w:type="dxa"/>
            <w:vAlign w:val="center"/>
          </w:tcPr>
          <w:p>
            <w:pPr>
              <w:pStyle w:val="13"/>
            </w:pPr>
            <w:r>
              <w:t>≥98%</w:t>
            </w:r>
          </w:p>
        </w:tc>
        <w:tc>
          <w:tcPr>
            <w:tcW w:w="2114" w:type="dxa"/>
            <w:vAlign w:val="center"/>
          </w:tcPr>
          <w:p>
            <w:pPr>
              <w:pStyle w:val="13"/>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环保节能</w:t>
            </w:r>
          </w:p>
        </w:tc>
        <w:tc>
          <w:tcPr>
            <w:tcW w:w="4228" w:type="dxa"/>
            <w:vAlign w:val="center"/>
          </w:tcPr>
          <w:p>
            <w:pPr>
              <w:pStyle w:val="13"/>
            </w:pPr>
            <w:r>
              <w:t>环保节能</w:t>
            </w:r>
          </w:p>
        </w:tc>
        <w:tc>
          <w:tcPr>
            <w:tcW w:w="2114" w:type="dxa"/>
            <w:vAlign w:val="center"/>
          </w:tcPr>
          <w:p>
            <w:pPr>
              <w:pStyle w:val="13"/>
            </w:pPr>
            <w:r>
              <w:t>≥25%</w:t>
            </w:r>
          </w:p>
        </w:tc>
        <w:tc>
          <w:tcPr>
            <w:tcW w:w="2114" w:type="dxa"/>
            <w:vAlign w:val="center"/>
          </w:tcPr>
          <w:p>
            <w:pPr>
              <w:pStyle w:val="13"/>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业务办理率</w:t>
            </w:r>
          </w:p>
        </w:tc>
        <w:tc>
          <w:tcPr>
            <w:tcW w:w="4228" w:type="dxa"/>
            <w:vAlign w:val="center"/>
          </w:tcPr>
          <w:p>
            <w:pPr>
              <w:pStyle w:val="13"/>
            </w:pPr>
            <w:r>
              <w:t>业务办理率</w:t>
            </w:r>
          </w:p>
        </w:tc>
        <w:tc>
          <w:tcPr>
            <w:tcW w:w="2114" w:type="dxa"/>
            <w:vAlign w:val="center"/>
          </w:tcPr>
          <w:p>
            <w:pPr>
              <w:pStyle w:val="13"/>
            </w:pPr>
            <w:r>
              <w:t>≥98%</w:t>
            </w:r>
          </w:p>
        </w:tc>
        <w:tc>
          <w:tcPr>
            <w:tcW w:w="2114"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 xml:space="preserve">满意程度 </w:t>
            </w:r>
          </w:p>
        </w:tc>
        <w:tc>
          <w:tcPr>
            <w:tcW w:w="4228" w:type="dxa"/>
            <w:vAlign w:val="center"/>
          </w:tcPr>
          <w:p>
            <w:pPr>
              <w:pStyle w:val="13"/>
            </w:pPr>
            <w:r>
              <w:t>服务对象满意度</w:t>
            </w:r>
          </w:p>
        </w:tc>
        <w:tc>
          <w:tcPr>
            <w:tcW w:w="2114" w:type="dxa"/>
            <w:vAlign w:val="center"/>
          </w:tcPr>
          <w:p>
            <w:pPr>
              <w:pStyle w:val="13"/>
            </w:pPr>
            <w:r>
              <w:t>≥98%</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5、冀财社【2023】91号河北省财政厅河北省医保局关于下达2023年中央财政医疗服务与保障能力提升补助资金预算的通知绩效目标表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13010923P00003810123N</w:t>
            </w:r>
          </w:p>
        </w:tc>
        <w:tc>
          <w:tcPr>
            <w:tcW w:w="2114" w:type="dxa"/>
            <w:vAlign w:val="center"/>
          </w:tcPr>
          <w:p>
            <w:pPr>
              <w:pStyle w:val="11"/>
            </w:pPr>
            <w:r>
              <w:t>项目名称</w:t>
            </w:r>
          </w:p>
        </w:tc>
        <w:tc>
          <w:tcPr>
            <w:tcW w:w="6342" w:type="dxa"/>
            <w:gridSpan w:val="3"/>
            <w:vAlign w:val="center"/>
          </w:tcPr>
          <w:p>
            <w:pPr>
              <w:pStyle w:val="13"/>
            </w:pPr>
            <w:r>
              <w:t>冀财社【2023】91号河北省财政厅河北省医保局关于下达2023年中央财政医疗服务与保障能力提升补助资金预算的通知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0.76</w:t>
            </w:r>
          </w:p>
        </w:tc>
        <w:tc>
          <w:tcPr>
            <w:tcW w:w="2114" w:type="dxa"/>
            <w:vAlign w:val="center"/>
          </w:tcPr>
          <w:p>
            <w:pPr>
              <w:pStyle w:val="11"/>
            </w:pPr>
            <w:r>
              <w:t>其中：财政    资金</w:t>
            </w:r>
          </w:p>
        </w:tc>
        <w:tc>
          <w:tcPr>
            <w:tcW w:w="2114" w:type="dxa"/>
            <w:vAlign w:val="center"/>
          </w:tcPr>
          <w:p>
            <w:pPr>
              <w:pStyle w:val="13"/>
            </w:pPr>
            <w:r>
              <w:t>0.76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用于医疗保障经办服务能力提升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50%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1.国家统一医保信息平台正常运行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定点医药机构监督检查次数</w:t>
            </w:r>
          </w:p>
        </w:tc>
        <w:tc>
          <w:tcPr>
            <w:tcW w:w="4228" w:type="dxa"/>
            <w:vAlign w:val="center"/>
          </w:tcPr>
          <w:p>
            <w:pPr>
              <w:pStyle w:val="13"/>
            </w:pPr>
            <w:r>
              <w:t>定点医药机构监督检查次数</w:t>
            </w:r>
          </w:p>
        </w:tc>
        <w:tc>
          <w:tcPr>
            <w:tcW w:w="2114" w:type="dxa"/>
            <w:vAlign w:val="center"/>
          </w:tcPr>
          <w:p>
            <w:pPr>
              <w:pStyle w:val="13"/>
            </w:pPr>
            <w:r>
              <w:t>≥2次</w:t>
            </w: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医保信息系统正常运行率</w:t>
            </w:r>
          </w:p>
        </w:tc>
        <w:tc>
          <w:tcPr>
            <w:tcW w:w="4228" w:type="dxa"/>
            <w:vAlign w:val="center"/>
          </w:tcPr>
          <w:p>
            <w:pPr>
              <w:pStyle w:val="13"/>
            </w:pPr>
            <w:r>
              <w:t>医保信息系统正常运行率</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网络运行</w:t>
            </w:r>
          </w:p>
        </w:tc>
        <w:tc>
          <w:tcPr>
            <w:tcW w:w="4228" w:type="dxa"/>
            <w:vAlign w:val="center"/>
          </w:tcPr>
          <w:p>
            <w:pPr>
              <w:pStyle w:val="13"/>
            </w:pPr>
            <w:r>
              <w:t>医保电子凭证运行时间</w:t>
            </w:r>
          </w:p>
          <w:p>
            <w:pPr>
              <w:pStyle w:val="13"/>
            </w:pPr>
          </w:p>
        </w:tc>
        <w:tc>
          <w:tcPr>
            <w:tcW w:w="2114" w:type="dxa"/>
            <w:vAlign w:val="center"/>
          </w:tcPr>
          <w:p>
            <w:pPr>
              <w:pStyle w:val="13"/>
            </w:pPr>
            <w:r>
              <w:t>12月</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预算数</w:t>
            </w:r>
          </w:p>
        </w:tc>
        <w:tc>
          <w:tcPr>
            <w:tcW w:w="4228" w:type="dxa"/>
            <w:vAlign w:val="center"/>
          </w:tcPr>
          <w:p>
            <w:pPr>
              <w:pStyle w:val="13"/>
            </w:pPr>
            <w:r>
              <w:t>预算数</w:t>
            </w:r>
          </w:p>
        </w:tc>
        <w:tc>
          <w:tcPr>
            <w:tcW w:w="2114" w:type="dxa"/>
            <w:vAlign w:val="center"/>
          </w:tcPr>
          <w:p>
            <w:pPr>
              <w:pStyle w:val="13"/>
            </w:pPr>
            <w:r>
              <w:t>≤16万元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受众政策了解程度</w:t>
            </w:r>
          </w:p>
        </w:tc>
        <w:tc>
          <w:tcPr>
            <w:tcW w:w="4228" w:type="dxa"/>
            <w:vAlign w:val="center"/>
          </w:tcPr>
          <w:p>
            <w:pPr>
              <w:pStyle w:val="13"/>
            </w:pPr>
            <w:r>
              <w:t>参保群众政策知晓率</w:t>
            </w:r>
          </w:p>
        </w:tc>
        <w:tc>
          <w:tcPr>
            <w:tcW w:w="2114" w:type="dxa"/>
            <w:vAlign w:val="center"/>
          </w:tcPr>
          <w:p>
            <w:pPr>
              <w:pStyle w:val="13"/>
            </w:pPr>
            <w:r>
              <w:t>≥90%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 xml:space="preserve">满意程度 </w:t>
            </w:r>
          </w:p>
        </w:tc>
        <w:tc>
          <w:tcPr>
            <w:tcW w:w="4228" w:type="dxa"/>
            <w:vAlign w:val="center"/>
          </w:tcPr>
          <w:p>
            <w:pPr>
              <w:pStyle w:val="13"/>
            </w:pPr>
            <w:r>
              <w:t>参保人员对医保服务的满意度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6、离休、老工人、1-6级伤残军人医疗费绩效目标表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13010924P00000211193K</w:t>
            </w:r>
          </w:p>
        </w:tc>
        <w:tc>
          <w:tcPr>
            <w:tcW w:w="2114" w:type="dxa"/>
            <w:vAlign w:val="center"/>
          </w:tcPr>
          <w:p>
            <w:pPr>
              <w:pStyle w:val="11"/>
            </w:pPr>
            <w:r>
              <w:t>项目名称</w:t>
            </w:r>
          </w:p>
        </w:tc>
        <w:tc>
          <w:tcPr>
            <w:tcW w:w="6342" w:type="dxa"/>
            <w:gridSpan w:val="3"/>
            <w:vAlign w:val="center"/>
          </w:tcPr>
          <w:p>
            <w:pPr>
              <w:pStyle w:val="13"/>
            </w:pPr>
            <w:r>
              <w:t>离休、老工人、1-6级伤残军人医疗费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900.00</w:t>
            </w:r>
          </w:p>
        </w:tc>
        <w:tc>
          <w:tcPr>
            <w:tcW w:w="2114" w:type="dxa"/>
            <w:vAlign w:val="center"/>
          </w:tcPr>
          <w:p>
            <w:pPr>
              <w:pStyle w:val="11"/>
            </w:pPr>
            <w:r>
              <w:t>其中：财政    资金</w:t>
            </w:r>
          </w:p>
        </w:tc>
        <w:tc>
          <w:tcPr>
            <w:tcW w:w="2114" w:type="dxa"/>
            <w:vAlign w:val="center"/>
          </w:tcPr>
          <w:p>
            <w:pPr>
              <w:pStyle w:val="13"/>
            </w:pPr>
            <w:r>
              <w:t>900.00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预算资金900万元，用于离休、中华人民共和国成立前老工人、1-6级伤残军人报销药费。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1.应享受人员足额享受待遇。</w:t>
            </w:r>
          </w:p>
          <w:p>
            <w:pPr>
              <w:pStyle w:val="13"/>
            </w:pPr>
            <w:r>
              <w:t>2.按时拨付待遇款。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发放补助人数</w:t>
            </w:r>
          </w:p>
        </w:tc>
        <w:tc>
          <w:tcPr>
            <w:tcW w:w="4228" w:type="dxa"/>
            <w:vAlign w:val="center"/>
          </w:tcPr>
          <w:p>
            <w:pPr>
              <w:pStyle w:val="13"/>
            </w:pPr>
            <w:r>
              <w:t>离休、中华人民共和国成立前老工人、1-6级伤残军人享受待遇人次数</w:t>
            </w:r>
          </w:p>
        </w:tc>
        <w:tc>
          <w:tcPr>
            <w:tcW w:w="2114" w:type="dxa"/>
            <w:vAlign w:val="center"/>
          </w:tcPr>
          <w:p>
            <w:pPr>
              <w:pStyle w:val="13"/>
            </w:pPr>
            <w:r>
              <w:t>≥600人次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资金按时支付</w:t>
            </w:r>
          </w:p>
        </w:tc>
        <w:tc>
          <w:tcPr>
            <w:tcW w:w="4228" w:type="dxa"/>
            <w:vAlign w:val="center"/>
          </w:tcPr>
          <w:p>
            <w:pPr>
              <w:pStyle w:val="13"/>
            </w:pPr>
            <w:r>
              <w:t>医疗费用按政策及时结算情况</w:t>
            </w:r>
          </w:p>
        </w:tc>
        <w:tc>
          <w:tcPr>
            <w:tcW w:w="2114" w:type="dxa"/>
            <w:vAlign w:val="center"/>
          </w:tcPr>
          <w:p>
            <w:pPr>
              <w:pStyle w:val="13"/>
            </w:pPr>
            <w:r>
              <w:t>&gt;95%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到位率</w:t>
            </w:r>
          </w:p>
        </w:tc>
        <w:tc>
          <w:tcPr>
            <w:tcW w:w="4228" w:type="dxa"/>
            <w:vAlign w:val="center"/>
          </w:tcPr>
          <w:p>
            <w:pPr>
              <w:pStyle w:val="13"/>
            </w:pPr>
            <w:r>
              <w:t>医疗费用报销到位时间</w:t>
            </w:r>
          </w:p>
        </w:tc>
        <w:tc>
          <w:tcPr>
            <w:tcW w:w="2114" w:type="dxa"/>
            <w:vAlign w:val="center"/>
          </w:tcPr>
          <w:p>
            <w:pPr>
              <w:pStyle w:val="13"/>
            </w:pPr>
            <w:r>
              <w:t>1年度</w:t>
            </w:r>
          </w:p>
        </w:tc>
        <w:tc>
          <w:tcPr>
            <w:tcW w:w="2114" w:type="dxa"/>
            <w:vAlign w:val="center"/>
          </w:tcPr>
          <w:p>
            <w:pPr>
              <w:pStyle w:val="13"/>
            </w:pPr>
            <w:r>
              <w:t>年度工作计划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按实际发放</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受众政策了解程度</w:t>
            </w:r>
          </w:p>
        </w:tc>
        <w:tc>
          <w:tcPr>
            <w:tcW w:w="4228" w:type="dxa"/>
            <w:vAlign w:val="center"/>
          </w:tcPr>
          <w:p>
            <w:pPr>
              <w:pStyle w:val="13"/>
            </w:pPr>
            <w:r>
              <w:t>受众政策了解程度</w:t>
            </w:r>
          </w:p>
        </w:tc>
        <w:tc>
          <w:tcPr>
            <w:tcW w:w="2114" w:type="dxa"/>
            <w:vAlign w:val="center"/>
          </w:tcPr>
          <w:p>
            <w:pPr>
              <w:pStyle w:val="13"/>
            </w:pPr>
            <w:r>
              <w:t>有所提高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增强服务保障能力。</w:t>
            </w:r>
          </w:p>
        </w:tc>
        <w:tc>
          <w:tcPr>
            <w:tcW w:w="4228" w:type="dxa"/>
            <w:vAlign w:val="center"/>
          </w:tcPr>
          <w:p>
            <w:pPr>
              <w:pStyle w:val="13"/>
            </w:pPr>
            <w:r>
              <w:t>完善医疗保障政策，确保待遇落实到位。</w:t>
            </w:r>
          </w:p>
        </w:tc>
        <w:tc>
          <w:tcPr>
            <w:tcW w:w="2114" w:type="dxa"/>
            <w:vAlign w:val="center"/>
          </w:tcPr>
          <w:p>
            <w:pPr>
              <w:pStyle w:val="13"/>
            </w:pPr>
            <w:r>
              <w:t>有效完善</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 xml:space="preserve">满意程度 </w:t>
            </w:r>
          </w:p>
        </w:tc>
        <w:tc>
          <w:tcPr>
            <w:tcW w:w="4228" w:type="dxa"/>
            <w:vAlign w:val="center"/>
          </w:tcPr>
          <w:p>
            <w:pPr>
              <w:pStyle w:val="13"/>
            </w:pPr>
            <w:r>
              <w:t xml:space="preserve">满意程度 </w:t>
            </w:r>
          </w:p>
        </w:tc>
        <w:tc>
          <w:tcPr>
            <w:tcW w:w="2114" w:type="dxa"/>
            <w:vAlign w:val="center"/>
          </w:tcPr>
          <w:p>
            <w:pPr>
              <w:pStyle w:val="13"/>
            </w:pPr>
            <w:r>
              <w:t>≥85%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7、职工及城乡居民医疗管理经费绩效目标表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13010924P00000211236G</w:t>
            </w:r>
          </w:p>
        </w:tc>
        <w:tc>
          <w:tcPr>
            <w:tcW w:w="2114" w:type="dxa"/>
            <w:vAlign w:val="center"/>
          </w:tcPr>
          <w:p>
            <w:pPr>
              <w:pStyle w:val="11"/>
            </w:pPr>
            <w:r>
              <w:t>项目名称</w:t>
            </w:r>
          </w:p>
        </w:tc>
        <w:tc>
          <w:tcPr>
            <w:tcW w:w="6342" w:type="dxa"/>
            <w:gridSpan w:val="3"/>
            <w:vAlign w:val="center"/>
          </w:tcPr>
          <w:p>
            <w:pPr>
              <w:pStyle w:val="13"/>
            </w:pPr>
            <w:r>
              <w:t>职工及城乡居民医疗管理经费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预算资金10.5万元，用于职工及城乡居民医疗管理专项资金项目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1.提升医保服务能力，改善服务场所环境。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印刷数量</w:t>
            </w:r>
          </w:p>
        </w:tc>
        <w:tc>
          <w:tcPr>
            <w:tcW w:w="4228" w:type="dxa"/>
            <w:vAlign w:val="center"/>
          </w:tcPr>
          <w:p>
            <w:pPr>
              <w:pStyle w:val="13"/>
            </w:pPr>
            <w:r>
              <w:t>宣传材料印刷数量</w:t>
            </w:r>
          </w:p>
        </w:tc>
        <w:tc>
          <w:tcPr>
            <w:tcW w:w="2114" w:type="dxa"/>
            <w:vAlign w:val="center"/>
          </w:tcPr>
          <w:p>
            <w:pPr>
              <w:pStyle w:val="13"/>
            </w:pPr>
            <w:r>
              <w:t>3万份</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覆盖率</w:t>
            </w:r>
          </w:p>
        </w:tc>
        <w:tc>
          <w:tcPr>
            <w:tcW w:w="4228" w:type="dxa"/>
            <w:vAlign w:val="center"/>
          </w:tcPr>
          <w:p>
            <w:pPr>
              <w:pStyle w:val="13"/>
            </w:pPr>
            <w:r>
              <w:t>居民参保、基金监管宣传覆盖率</w:t>
            </w:r>
          </w:p>
        </w:tc>
        <w:tc>
          <w:tcPr>
            <w:tcW w:w="2114" w:type="dxa"/>
            <w:vAlign w:val="center"/>
          </w:tcPr>
          <w:p>
            <w:pPr>
              <w:pStyle w:val="13"/>
            </w:pPr>
            <w:r>
              <w:t>100%</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及时性</w:t>
            </w:r>
          </w:p>
        </w:tc>
        <w:tc>
          <w:tcPr>
            <w:tcW w:w="4228" w:type="dxa"/>
            <w:vAlign w:val="center"/>
          </w:tcPr>
          <w:p>
            <w:pPr>
              <w:pStyle w:val="13"/>
            </w:pPr>
            <w:r>
              <w:t>维修维护时间</w:t>
            </w:r>
          </w:p>
        </w:tc>
        <w:tc>
          <w:tcPr>
            <w:tcW w:w="2114" w:type="dxa"/>
            <w:vAlign w:val="center"/>
          </w:tcPr>
          <w:p>
            <w:pPr>
              <w:pStyle w:val="13"/>
            </w:pPr>
            <w:r>
              <w:t>1年度</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资金成本</w:t>
            </w:r>
          </w:p>
        </w:tc>
        <w:tc>
          <w:tcPr>
            <w:tcW w:w="4228" w:type="dxa"/>
            <w:vAlign w:val="center"/>
          </w:tcPr>
          <w:p>
            <w:pPr>
              <w:pStyle w:val="13"/>
            </w:pPr>
            <w:r>
              <w:t>资金成本</w:t>
            </w:r>
          </w:p>
        </w:tc>
        <w:tc>
          <w:tcPr>
            <w:tcW w:w="2114" w:type="dxa"/>
            <w:vAlign w:val="center"/>
          </w:tcPr>
          <w:p>
            <w:pPr>
              <w:pStyle w:val="13"/>
            </w:pPr>
            <w:r>
              <w:t>据实测算</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保障服务能力</w:t>
            </w:r>
          </w:p>
        </w:tc>
        <w:tc>
          <w:tcPr>
            <w:tcW w:w="4228" w:type="dxa"/>
            <w:vAlign w:val="center"/>
          </w:tcPr>
          <w:p>
            <w:pPr>
              <w:pStyle w:val="13"/>
            </w:pPr>
            <w:r>
              <w:t>提高机关综合事务管理能力，确保各项工作顺利开展，机关运行正常</w:t>
            </w:r>
          </w:p>
        </w:tc>
        <w:tc>
          <w:tcPr>
            <w:tcW w:w="2114" w:type="dxa"/>
            <w:vAlign w:val="center"/>
          </w:tcPr>
          <w:p>
            <w:pPr>
              <w:pStyle w:val="13"/>
            </w:pPr>
            <w:r>
              <w:t>有所提高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提升行业管理水平</w:t>
            </w:r>
          </w:p>
        </w:tc>
        <w:tc>
          <w:tcPr>
            <w:tcW w:w="4228" w:type="dxa"/>
            <w:vAlign w:val="center"/>
          </w:tcPr>
          <w:p>
            <w:pPr>
              <w:pStyle w:val="13"/>
            </w:pPr>
            <w:r>
              <w:t>提高医疗保障经办管理水平，确保医疗保障待遇落到实处</w:t>
            </w:r>
          </w:p>
        </w:tc>
        <w:tc>
          <w:tcPr>
            <w:tcW w:w="2114" w:type="dxa"/>
            <w:vAlign w:val="center"/>
          </w:tcPr>
          <w:p>
            <w:pPr>
              <w:pStyle w:val="13"/>
            </w:pPr>
            <w:r>
              <w:t>有所提高</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 xml:space="preserve">满意程度 </w:t>
            </w:r>
          </w:p>
        </w:tc>
        <w:tc>
          <w:tcPr>
            <w:tcW w:w="4228" w:type="dxa"/>
            <w:vAlign w:val="center"/>
          </w:tcPr>
          <w:p>
            <w:pPr>
              <w:pStyle w:val="13"/>
            </w:pPr>
            <w:r>
              <w:t xml:space="preserve">满意程度 </w:t>
            </w:r>
          </w:p>
        </w:tc>
        <w:tc>
          <w:tcPr>
            <w:tcW w:w="2114" w:type="dxa"/>
            <w:vAlign w:val="center"/>
          </w:tcPr>
          <w:p>
            <w:pPr>
              <w:pStyle w:val="13"/>
            </w:pPr>
            <w:r>
              <w:t>≥85%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435石家庄市藁城区医疗保障局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石家庄市藁城区医疗保障局（含所属单位）上年末固定资产金额为12</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435石家庄市藁城区医疗保障局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rPr>
                <w:rFonts w:hint="default" w:eastAsia="方正书宋_GBK"/>
                <w:lang w:val="en-US" w:eastAsia="zh-CN"/>
              </w:rPr>
            </w:pPr>
            <w:r>
              <w:rPr>
                <w:rFonts w:hint="eastAsia"/>
                <w:lang w:val="en-US" w:eastAsia="zh-CN"/>
              </w:rPr>
              <w:t>12.26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9</w:t>
            </w:r>
          </w:p>
        </w:tc>
        <w:tc>
          <w:tcPr>
            <w:tcW w:w="4933" w:type="dxa"/>
            <w:vAlign w:val="center"/>
          </w:tcPr>
          <w:p>
            <w:pPr>
              <w:pStyle w:val="12"/>
              <w:rPr>
                <w:rFonts w:hint="default" w:eastAsia="方正书宋_GBK"/>
                <w:lang w:val="en-US" w:eastAsia="zh-CN"/>
              </w:rPr>
            </w:pPr>
            <w:r>
              <w:rPr>
                <w:rFonts w:hint="eastAsia"/>
                <w:lang w:val="en-US" w:eastAsia="zh-CN"/>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9</w:t>
            </w:r>
          </w:p>
        </w:tc>
        <w:tc>
          <w:tcPr>
            <w:tcW w:w="4933" w:type="dxa"/>
            <w:vAlign w:val="center"/>
          </w:tcPr>
          <w:p>
            <w:pPr>
              <w:pStyle w:val="12"/>
              <w:rPr>
                <w:rFonts w:hint="default" w:eastAsia="方正书宋_GBK"/>
                <w:lang w:val="en-US" w:eastAsia="zh-CN"/>
              </w:rPr>
            </w:pPr>
            <w:r>
              <w:rPr>
                <w:rFonts w:hint="eastAsia"/>
                <w:lang w:val="en-US" w:eastAsia="zh-CN"/>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rPr>
                <w:rFonts w:hint="default" w:eastAsia="方正书宋_GBK"/>
                <w:lang w:val="en-US" w:eastAsia="zh-CN"/>
              </w:rPr>
            </w:pPr>
            <w:r>
              <w:rPr>
                <w:rFonts w:hint="eastAsia"/>
                <w:lang w:val="en-US" w:eastAsia="zh-CN"/>
              </w:rP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2C7E3B"/>
    <w:multiLevelType w:val="singleLevel"/>
    <w:tmpl w:val="B72C7E3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E67507"/>
    <w:rsid w:val="16C13288"/>
    <w:rsid w:val="32F314E4"/>
    <w:rsid w:val="51A126D9"/>
    <w:rsid w:val="52731519"/>
    <w:rsid w:val="6D68211B"/>
    <w:rsid w:val="6D9A300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2024-02-29T10:51:13Z</dcterms:created>
  <dcterms:modified xsi:type="dcterms:W3CDTF">2024-02-29T02:51:13Z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2024-02-29T10:51:14Z</dcterms:created>
  <dcterms:modified xsi:type="dcterms:W3CDTF">2024-02-29T02:51:14Z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2024-02-29T10:51:14Z</dcterms:created>
  <dcterms:modified xsi:type="dcterms:W3CDTF">2024-02-29T02:51:14Z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2024-02-29T10:51:15Z</dcterms:created>
  <dcterms:modified xsi:type="dcterms:W3CDTF">2024-02-29T02:51:15Z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2024-02-29T10:51:10Z</dcterms:created>
  <dcterms:modified xsi:type="dcterms:W3CDTF">2024-02-29T02:51:10Z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2024-02-29T10:51:10Z</dcterms:created>
  <dcterms:modified xsi:type="dcterms:W3CDTF">2024-02-29T02:51:10Z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2024-02-29T10:51:11Z</dcterms:created>
  <dcterms:modified xsi:type="dcterms:W3CDTF">2024-02-29T02:51:11Z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2024-02-29T10:51:12Z</dcterms:created>
  <dcterms:modified xsi:type="dcterms:W3CDTF">2024-02-29T02:51:12Z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2024-02-29T10:51:09Z</dcterms:created>
  <dcterms:modified xsi:type="dcterms:W3CDTF">2024-02-29T02:51:09Z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2024-02-29T10:51:12Z</dcterms:created>
  <dcterms:modified xsi:type="dcterms:W3CDTF">2024-02-29T02:51:12Z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2024-02-29T10:51:13Z</dcterms:created>
  <dcterms:modified xsi:type="dcterms:W3CDTF">2024-02-29T02:51:13Z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bb868ad-af50-4404-82eb-d7b5349deef6}">
  <ds:schemaRefs/>
</ds:datastoreItem>
</file>

<file path=customXml/itemProps11.xml><?xml version="1.0" encoding="utf-8"?>
<ds:datastoreItem xmlns:ds="http://schemas.openxmlformats.org/officeDocument/2006/customXml" ds:itemID="{1bf9b838-85e9-4f29-9443-eceb2456d241}">
  <ds:schemaRefs/>
</ds:datastoreItem>
</file>

<file path=customXml/itemProps12.xml><?xml version="1.0" encoding="utf-8"?>
<ds:datastoreItem xmlns:ds="http://schemas.openxmlformats.org/officeDocument/2006/customXml" ds:itemID="{7a23a296-dca9-4f7e-975b-1c78d7cc80d3}">
  <ds:schemaRefs/>
</ds:datastoreItem>
</file>

<file path=customXml/itemProps13.xml><?xml version="1.0" encoding="utf-8"?>
<ds:datastoreItem xmlns:ds="http://schemas.openxmlformats.org/officeDocument/2006/customXml" ds:itemID="{61ea902d-886c-4180-8122-82d7780de51d}">
  <ds:schemaRefs/>
</ds:datastoreItem>
</file>

<file path=customXml/itemProps14.xml><?xml version="1.0" encoding="utf-8"?>
<ds:datastoreItem xmlns:ds="http://schemas.openxmlformats.org/officeDocument/2006/customXml" ds:itemID="{5329a51b-e9a1-4143-9b70-c574e71c559c}">
  <ds:schemaRefs/>
</ds:datastoreItem>
</file>

<file path=customXml/itemProps15.xml><?xml version="1.0" encoding="utf-8"?>
<ds:datastoreItem xmlns:ds="http://schemas.openxmlformats.org/officeDocument/2006/customXml" ds:itemID="{c35b08ea-60b5-4c52-bf32-b1038cd1717f}">
  <ds:schemaRefs/>
</ds:datastoreItem>
</file>

<file path=customXml/itemProps16.xml><?xml version="1.0" encoding="utf-8"?>
<ds:datastoreItem xmlns:ds="http://schemas.openxmlformats.org/officeDocument/2006/customXml" ds:itemID="{a5216457-a856-4d4e-be24-345ac3517182}">
  <ds:schemaRefs/>
</ds:datastoreItem>
</file>

<file path=customXml/itemProps17.xml><?xml version="1.0" encoding="utf-8"?>
<ds:datastoreItem xmlns:ds="http://schemas.openxmlformats.org/officeDocument/2006/customXml" ds:itemID="{6d06d877-c017-4a58-bb28-51034294feae}">
  <ds:schemaRefs/>
</ds:datastoreItem>
</file>

<file path=customXml/itemProps18.xml><?xml version="1.0" encoding="utf-8"?>
<ds:datastoreItem xmlns:ds="http://schemas.openxmlformats.org/officeDocument/2006/customXml" ds:itemID="{eb7fda38-ddbe-411e-a7dc-461e164ae057}">
  <ds:schemaRefs/>
</ds:datastoreItem>
</file>

<file path=customXml/itemProps19.xml><?xml version="1.0" encoding="utf-8"?>
<ds:datastoreItem xmlns:ds="http://schemas.openxmlformats.org/officeDocument/2006/customXml" ds:itemID="{91d89396-9287-4361-b4e5-624688fc6783}">
  <ds:schemaRefs/>
</ds:datastoreItem>
</file>

<file path=customXml/itemProps2.xml><?xml version="1.0" encoding="utf-8"?>
<ds:datastoreItem xmlns:ds="http://schemas.openxmlformats.org/officeDocument/2006/customXml" ds:itemID="{46322ed7-98eb-4235-b94e-2df73c9a4ccd}">
  <ds:schemaRefs/>
</ds:datastoreItem>
</file>

<file path=customXml/itemProps20.xml><?xml version="1.0" encoding="utf-8"?>
<ds:datastoreItem xmlns:ds="http://schemas.openxmlformats.org/officeDocument/2006/customXml" ds:itemID="{bd8b8d96-0d02-4ae6-b3c3-cc953f9cba09}">
  <ds:schemaRefs/>
</ds:datastoreItem>
</file>

<file path=customXml/itemProps21.xml><?xml version="1.0" encoding="utf-8"?>
<ds:datastoreItem xmlns:ds="http://schemas.openxmlformats.org/officeDocument/2006/customXml" ds:itemID="{4e0da91b-52df-4a8a-b844-2131845cfb29}">
  <ds:schemaRefs/>
</ds:datastoreItem>
</file>

<file path=customXml/itemProps22.xml><?xml version="1.0" encoding="utf-8"?>
<ds:datastoreItem xmlns:ds="http://schemas.openxmlformats.org/officeDocument/2006/customXml" ds:itemID="{4fb40c46-6ef5-4829-bb1f-c055c72d7ab0}">
  <ds:schemaRefs/>
</ds:datastoreItem>
</file>

<file path=customXml/itemProps23.xml><?xml version="1.0" encoding="utf-8"?>
<ds:datastoreItem xmlns:ds="http://schemas.openxmlformats.org/officeDocument/2006/customXml" ds:itemID="{f73df1b3-8f55-4375-a117-fa43d0d87de0}">
  <ds:schemaRefs/>
</ds:datastoreItem>
</file>

<file path=customXml/itemProps3.xml><?xml version="1.0" encoding="utf-8"?>
<ds:datastoreItem xmlns:ds="http://schemas.openxmlformats.org/officeDocument/2006/customXml" ds:itemID="{580be747-3cf6-4dab-b70c-2b1aa4ce5899}">
  <ds:schemaRefs/>
</ds:datastoreItem>
</file>

<file path=customXml/itemProps4.xml><?xml version="1.0" encoding="utf-8"?>
<ds:datastoreItem xmlns:ds="http://schemas.openxmlformats.org/officeDocument/2006/customXml" ds:itemID="{bd590501-7d9a-494a-a53d-a26a3f81b754}">
  <ds:schemaRefs/>
</ds:datastoreItem>
</file>

<file path=customXml/itemProps5.xml><?xml version="1.0" encoding="utf-8"?>
<ds:datastoreItem xmlns:ds="http://schemas.openxmlformats.org/officeDocument/2006/customXml" ds:itemID="{bbccd576-0aa4-451d-bdee-941c50264983}">
  <ds:schemaRefs/>
</ds:datastoreItem>
</file>

<file path=customXml/itemProps6.xml><?xml version="1.0" encoding="utf-8"?>
<ds:datastoreItem xmlns:ds="http://schemas.openxmlformats.org/officeDocument/2006/customXml" ds:itemID="{a2427fdf-346a-4064-b3bb-5624e9cefa86}">
  <ds:schemaRefs/>
</ds:datastoreItem>
</file>

<file path=customXml/itemProps7.xml><?xml version="1.0" encoding="utf-8"?>
<ds:datastoreItem xmlns:ds="http://schemas.openxmlformats.org/officeDocument/2006/customXml" ds:itemID="{faa8db74-771a-490f-89b8-43d15d6e9f5a}">
  <ds:schemaRefs/>
</ds:datastoreItem>
</file>

<file path=customXml/itemProps8.xml><?xml version="1.0" encoding="utf-8"?>
<ds:datastoreItem xmlns:ds="http://schemas.openxmlformats.org/officeDocument/2006/customXml" ds:itemID="{ddd5534d-fb75-4f7d-914f-a9af9a36d01e}">
  <ds:schemaRefs/>
</ds:datastoreItem>
</file>

<file path=customXml/itemProps9.xml><?xml version="1.0" encoding="utf-8"?>
<ds:datastoreItem xmlns:ds="http://schemas.openxmlformats.org/officeDocument/2006/customXml" ds:itemID="{6e9634dc-a8bc-416f-8306-dfae8c6f75c3}">
  <ds:schemaRefs/>
</ds:datastoreItem>
</file>

<file path=docProps/app.xml><?xml version="1.0" encoding="utf-8"?>
<Properties xmlns="http://schemas.openxmlformats.org/officeDocument/2006/extended-properties" xmlns:vt="http://schemas.openxmlformats.org/officeDocument/2006/docPropsVTypes">
  <TotalTime>12</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2024-02-29T10:51:00Z</dcterms:created>
  <dc:creator>Administrator</dc:creator>
  <cp:lastModifiedBy>晴朗</cp:lastModifiedBy>
  <dcterms:modified xsi:type="dcterms:W3CDTF">2024-08-12T02:01:21Z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