
<file path=[Content_Types].xml><?xml version="1.0" encoding="utf-8"?>
<Types xmlns="http://schemas.openxmlformats.org/package/2006/content-types">
  <Default Extension="xml" ContentType="application/xml"/>
  <Default Extension="xlsx" ContentType="application/vnd.openxmlformats-officedocument.spreadsheetml.sheet"/>
  <Default Extension="jpeg" ContentType="image/jpeg"/>
  <Default Extension="JPG" ContentType="image/.jpg"/>
  <Default Extension="bmp" ContentType="image/bmp"/>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olors1.xml" ContentType="application/vnd.ms-office.chartcolorstyle+xml"/>
  <Override PartName="/word/charts/colors2.xml" ContentType="application/vnd.ms-office.chartcolorstyle+xml"/>
  <Override PartName="/word/charts/colors3.xml" ContentType="application/vnd.ms-office.chartcolorstyle+xml"/>
  <Override PartName="/word/charts/style1.xml" ContentType="application/vnd.ms-office.chartstyle+xml"/>
  <Override PartName="/word/charts/style2.xml" ContentType="application/vnd.ms-office.chartstyle+xml"/>
  <Override PartName="/word/charts/style3.xml" ContentType="application/vnd.ms-office.chartstyle+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ackground w:color="FFFFFF"/>
  <w:body>
    <w:p w14:paraId="51EA38A3">
      <w:pPr>
        <w:rPr>
          <w:rFonts w:ascii="楷体_GB2312" w:hAnsi="楷体_GB2312" w:eastAsia="楷体_GB2312" w:cs="楷体_GB2312"/>
          <w:color w:val="000000"/>
          <w:kern w:val="0"/>
          <w:sz w:val="40"/>
          <w:szCs w:val="40"/>
        </w:rPr>
      </w:pPr>
      <w:r>
        <mc:AlternateContent>
          <mc:Choice Requires="wps">
            <w:drawing>
              <wp:anchor distT="0" distB="0" distL="114300" distR="114300" simplePos="0" relativeHeight="251666432" behindDoc="0" locked="0" layoutInCell="1" allowOverlap="1">
                <wp:simplePos x="0" y="0"/>
                <wp:positionH relativeFrom="column">
                  <wp:posOffset>1628775</wp:posOffset>
                </wp:positionH>
                <wp:positionV relativeFrom="paragraph">
                  <wp:posOffset>7872730</wp:posOffset>
                </wp:positionV>
                <wp:extent cx="2131695" cy="517525"/>
                <wp:effectExtent l="0" t="0" r="0" b="0"/>
                <wp:wrapNone/>
                <wp:docPr id="17" name="文本框 5"/>
                <wp:cNvGraphicFramePr/>
                <a:graphic xmlns:a="http://schemas.openxmlformats.org/drawingml/2006/main">
                  <a:graphicData uri="http://schemas.microsoft.com/office/word/2010/wordprocessingShape">
                    <wps:wsp>
                      <wps:cNvSpPr/>
                      <wps:spPr>
                        <a:xfrm>
                          <a:off x="0" y="0"/>
                          <a:ext cx="2131695" cy="517525"/>
                        </a:xfrm>
                        <a:prstGeom prst="rect">
                          <a:avLst/>
                        </a:prstGeom>
                        <a:noFill/>
                        <a:ln>
                          <a:noFill/>
                        </a:ln>
                      </wps:spPr>
                      <wps:txbx>
                        <w:txbxContent>
                          <w:p w14:paraId="26109496">
                            <w:pPr>
                              <w:jc w:val="center"/>
                              <w:rPr>
                                <w:rFonts w:ascii="楷体_GB2312" w:hAnsi="楷体_GB2312" w:eastAsia="楷体_GB2312" w:cs="楷体_GB2312"/>
                                <w:sz w:val="44"/>
                                <w:szCs w:val="52"/>
                              </w:rPr>
                            </w:pPr>
                            <w:r>
                              <w:rPr>
                                <w:rFonts w:hint="eastAsia" w:ascii="楷体_GB2312" w:hAnsi="楷体_GB2312" w:eastAsia="楷体_GB2312" w:cs="楷体_GB2312"/>
                                <w:sz w:val="44"/>
                                <w:szCs w:val="52"/>
                                <w:lang w:val="en-US" w:eastAsia="zh-CN"/>
                              </w:rPr>
                              <w:t>2021</w:t>
                            </w:r>
                            <w:r>
                              <w:rPr>
                                <w:rFonts w:hint="eastAsia" w:ascii="楷体_GB2312" w:hAnsi="楷体_GB2312" w:eastAsia="楷体_GB2312" w:cs="楷体_GB2312"/>
                                <w:sz w:val="44"/>
                                <w:szCs w:val="52"/>
                              </w:rPr>
                              <w:t>年</w:t>
                            </w:r>
                            <w:r>
                              <w:rPr>
                                <w:rFonts w:hint="eastAsia" w:ascii="楷体_GB2312" w:hAnsi="楷体_GB2312" w:eastAsia="楷体_GB2312" w:cs="楷体_GB2312"/>
                                <w:sz w:val="44"/>
                                <w:szCs w:val="52"/>
                                <w:lang w:val="en-US" w:eastAsia="zh-CN"/>
                              </w:rPr>
                              <w:t xml:space="preserve"> 10 </w:t>
                            </w:r>
                            <w:r>
                              <w:rPr>
                                <w:rFonts w:hint="eastAsia" w:ascii="楷体_GB2312" w:hAnsi="楷体_GB2312" w:eastAsia="楷体_GB2312" w:cs="楷体_GB2312"/>
                                <w:sz w:val="44"/>
                                <w:szCs w:val="52"/>
                              </w:rPr>
                              <w:t>月</w:t>
                            </w:r>
                          </w:p>
                        </w:txbxContent>
                      </wps:txbx>
                      <wps:bodyPr vert="horz" wrap="square" upright="0"/>
                    </wps:wsp>
                  </a:graphicData>
                </a:graphic>
              </wp:anchor>
            </w:drawing>
          </mc:Choice>
          <mc:Fallback>
            <w:pict>
              <v:rect id="文本框 5" o:spid="_x0000_s1026" o:spt="1" style="position:absolute;left:0pt;margin-left:128.25pt;margin-top:619.9pt;height:40.75pt;width:167.85pt;z-index:251666432;mso-width-relative:page;mso-height-relative:page;" filled="f" stroked="f" coordsize="21600,21600" o:gfxdata="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">
                <v:fill on="f" focussize="0,0"/>
                <v:stroke on="f"/>
                <v:imagedata o:title=""/>
                <o:lock v:ext="edit" aspectratio="f"/>
                <v:textbox>
                  <w:txbxContent>
                    <w:p w14:paraId="26109496">
                      <w:pPr>
                        <w:jc w:val="center"/>
                        <w:rPr>
                          <w:rFonts w:ascii="楷体_GB2312" w:hAnsi="楷体_GB2312" w:eastAsia="楷体_GB2312" w:cs="楷体_GB2312"/>
                          <w:sz w:val="44"/>
                          <w:szCs w:val="52"/>
                        </w:rPr>
                      </w:pPr>
                      <w:r>
                        <w:rPr>
                          <w:rFonts w:hint="eastAsia" w:ascii="楷体_GB2312" w:hAnsi="楷体_GB2312" w:eastAsia="楷体_GB2312" w:cs="楷体_GB2312"/>
                          <w:sz w:val="44"/>
                          <w:szCs w:val="52"/>
                          <w:lang w:val="en-US" w:eastAsia="zh-CN"/>
                        </w:rPr>
                        <w:t>2021</w:t>
                      </w:r>
                      <w:r>
                        <w:rPr>
                          <w:rFonts w:hint="eastAsia" w:ascii="楷体_GB2312" w:hAnsi="楷体_GB2312" w:eastAsia="楷体_GB2312" w:cs="楷体_GB2312"/>
                          <w:sz w:val="44"/>
                          <w:szCs w:val="52"/>
                        </w:rPr>
                        <w:t>年</w:t>
                      </w:r>
                      <w:r>
                        <w:rPr>
                          <w:rFonts w:hint="eastAsia" w:ascii="楷体_GB2312" w:hAnsi="楷体_GB2312" w:eastAsia="楷体_GB2312" w:cs="楷体_GB2312"/>
                          <w:sz w:val="44"/>
                          <w:szCs w:val="52"/>
                          <w:lang w:val="en-US" w:eastAsia="zh-CN"/>
                        </w:rPr>
                        <w:t xml:space="preserve"> 10 </w:t>
                      </w:r>
                      <w:r>
                        <w:rPr>
                          <w:rFonts w:hint="eastAsia" w:ascii="楷体_GB2312" w:hAnsi="楷体_GB2312" w:eastAsia="楷体_GB2312" w:cs="楷体_GB2312"/>
                          <w:sz w:val="44"/>
                          <w:szCs w:val="52"/>
                        </w:rPr>
                        <w:t>月</w:t>
                      </w:r>
                    </w:p>
                  </w:txbxContent>
                </v:textbox>
              </v:rect>
            </w:pict>
          </mc:Fallback>
        </mc:AlternateContent>
      </w:r>
      <w:r>
        <w:drawing>
          <wp:anchor distT="0" distB="0" distL="114300" distR="114300" simplePos="0" relativeHeight="251667456" behindDoc="1" locked="0" layoutInCell="1" allowOverlap="1">
            <wp:simplePos x="0" y="0"/>
            <wp:positionH relativeFrom="column">
              <wp:posOffset>-997585</wp:posOffset>
            </wp:positionH>
            <wp:positionV relativeFrom="paragraph">
              <wp:posOffset>-1360170</wp:posOffset>
            </wp:positionV>
            <wp:extent cx="7592060" cy="10739755"/>
            <wp:effectExtent l="0" t="0" r="8890" b="4445"/>
            <wp:wrapNone/>
            <wp:docPr id="18" name="图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图片 4"/>
                    <pic:cNvPicPr>
                      <a:picLocks noChangeAspect="1"/>
                    </pic:cNvPicPr>
                  </pic:nvPicPr>
                  <pic:blipFill>
                    <a:blip r:embed="rId13"/>
                    <a:stretch>
                      <a:fillRect/>
                    </a:stretch>
                  </pic:blipFill>
                  <pic:spPr>
                    <a:xfrm>
                      <a:off x="0" y="0"/>
                      <a:ext cx="7592060" cy="10739755"/>
                    </a:xfrm>
                    <a:prstGeom prst="rect">
                      <a:avLst/>
                    </a:prstGeom>
                    <a:noFill/>
                    <a:ln>
                      <a:noFill/>
                    </a:ln>
                  </pic:spPr>
                </pic:pic>
              </a:graphicData>
            </a:graphic>
          </wp:anchor>
        </w:drawing>
      </w:r>
      <w:r>
        <w:br w:type="page"/>
      </w:r>
    </w:p>
    <w:p w14:paraId="487DB256">
      <w:pPr>
        <w:jc w:val="center"/>
        <w:rPr>
          <w:rFonts w:hint="eastAsia" w:ascii="楷体_GB2312" w:hAnsi="楷体_GB2312" w:eastAsia="楷体_GB2312" w:cs="楷体_GB2312"/>
          <w:color w:val="000000" w:themeColor="text1"/>
          <w:kern w:val="0"/>
          <w:sz w:val="44"/>
          <w:szCs w:val="44"/>
          <w14:textFill>
            <w14:solidFill>
              <w14:schemeClr w14:val="tx1"/>
            </w14:solidFill>
          </w14:textFill>
        </w:rPr>
      </w:pPr>
    </w:p>
    <w:p w14:paraId="1E68959B">
      <w:pPr>
        <w:jc w:val="center"/>
        <w:rPr>
          <w:rFonts w:hint="eastAsia" w:ascii="黑体" w:hAnsi="黑体" w:eastAsia="黑体" w:cs="黑体"/>
          <w:sz w:val="72"/>
          <w:szCs w:val="72"/>
          <w:highlight w:val="yellow"/>
        </w:rPr>
      </w:pPr>
      <w:r>
        <w:rPr>
          <w:rFonts w:hint="eastAsia" w:ascii="黑体" w:hAnsi="黑体" w:eastAsia="黑体" w:cs="黑体"/>
          <w:color w:val="000000" w:themeColor="text1"/>
          <w:kern w:val="0"/>
          <w:sz w:val="72"/>
          <w:szCs w:val="72"/>
          <w14:textFill>
            <w14:solidFill>
              <w14:schemeClr w14:val="tx1"/>
            </w14:solidFill>
          </w14:textFill>
        </w:rPr>
        <w:t>中国共产党石家庄市藁城区委员会宣传部</w:t>
      </w:r>
    </w:p>
    <w:p w14:paraId="604202DC">
      <w:pPr>
        <w:rPr>
          <w:rFonts w:ascii="黑体" w:hAnsi="黑体" w:eastAsia="黑体" w:cs="黑体"/>
          <w:sz w:val="72"/>
          <w:szCs w:val="96"/>
        </w:rPr>
      </w:pPr>
      <w:r>
        <w:rPr>
          <w:rFonts w:hint="eastAsia" w:ascii="黑体" w:hAnsi="黑体" w:eastAsia="黑体" w:cs="黑体"/>
          <w:sz w:val="72"/>
          <w:szCs w:val="96"/>
        </w:rPr>
        <w:t>2020年度部门决算公开文本</w:t>
      </w:r>
    </w:p>
    <w:p w14:paraId="1E50B5E7">
      <w:pPr>
        <w:spacing w:line="360" w:lineRule="auto"/>
        <w:jc w:val="center"/>
        <w:rPr>
          <w:rFonts w:ascii="黑体" w:hAnsi="黑体" w:eastAsia="黑体" w:cs="黑体"/>
          <w:sz w:val="56"/>
          <w:szCs w:val="72"/>
        </w:rPr>
      </w:pPr>
    </w:p>
    <w:p w14:paraId="0C2E0C9F">
      <w:pPr>
        <w:spacing w:line="600" w:lineRule="auto"/>
        <w:jc w:val="center"/>
        <w:rPr>
          <w:rFonts w:ascii="黑体" w:hAnsi="黑体" w:eastAsia="黑体" w:cs="黑体"/>
          <w:sz w:val="56"/>
          <w:szCs w:val="72"/>
        </w:rPr>
      </w:pPr>
    </w:p>
    <w:p w14:paraId="73F04DE4">
      <w:pPr>
        <w:spacing w:line="600" w:lineRule="auto"/>
        <w:jc w:val="center"/>
        <w:rPr>
          <w:rFonts w:ascii="黑体" w:hAnsi="黑体" w:eastAsia="黑体" w:cs="黑体"/>
          <w:sz w:val="56"/>
          <w:szCs w:val="72"/>
        </w:rPr>
      </w:pPr>
    </w:p>
    <w:p w14:paraId="7061F54D">
      <w:pPr>
        <w:spacing w:line="600" w:lineRule="auto"/>
        <w:jc w:val="center"/>
        <w:rPr>
          <w:rFonts w:ascii="黑体" w:hAnsi="黑体" w:eastAsia="黑体" w:cs="黑体"/>
          <w:sz w:val="56"/>
          <w:szCs w:val="72"/>
        </w:rPr>
      </w:pPr>
    </w:p>
    <w:p w14:paraId="4D909490">
      <w:pPr>
        <w:spacing w:line="600" w:lineRule="auto"/>
        <w:jc w:val="center"/>
        <w:rPr>
          <w:rFonts w:ascii="黑体" w:hAnsi="黑体" w:eastAsia="黑体" w:cs="黑体"/>
          <w:sz w:val="56"/>
          <w:szCs w:val="72"/>
        </w:rPr>
      </w:pPr>
    </w:p>
    <w:p w14:paraId="230DB766">
      <w:pPr>
        <w:spacing w:line="480" w:lineRule="auto"/>
        <w:jc w:val="center"/>
        <w:rPr>
          <w:rFonts w:ascii="黑体" w:hAnsi="黑体" w:eastAsia="黑体" w:cs="黑体"/>
          <w:sz w:val="56"/>
          <w:szCs w:val="72"/>
        </w:rPr>
      </w:pPr>
    </w:p>
    <w:p w14:paraId="0B22C417">
      <w:pPr>
        <w:spacing w:line="480" w:lineRule="auto"/>
        <w:jc w:val="center"/>
        <w:rPr>
          <w:rFonts w:ascii="黑体" w:hAnsi="黑体" w:eastAsia="黑体" w:cs="黑体"/>
          <w:sz w:val="56"/>
          <w:szCs w:val="72"/>
        </w:rPr>
      </w:pPr>
    </w:p>
    <w:p w14:paraId="6FCC27DC">
      <w:pPr>
        <w:snapToGrid w:val="0"/>
        <w:jc w:val="both"/>
        <w:rPr>
          <w:rFonts w:ascii="楷体_GB2312" w:hAnsi="楷体_GB2312" w:eastAsia="楷体_GB2312" w:cs="楷体_GB2312"/>
          <w:color w:val="000000"/>
          <w:kern w:val="0"/>
          <w:sz w:val="40"/>
          <w:szCs w:val="40"/>
        </w:rPr>
      </w:pPr>
    </w:p>
    <w:p w14:paraId="547A3331">
      <w:pPr>
        <w:snapToGrid w:val="0"/>
        <w:jc w:val="both"/>
        <w:rPr>
          <w:rFonts w:ascii="楷体_GB2312" w:hAnsi="楷体_GB2312" w:eastAsia="楷体_GB2312" w:cs="楷体_GB2312"/>
          <w:color w:val="000000"/>
          <w:kern w:val="0"/>
          <w:sz w:val="40"/>
          <w:szCs w:val="40"/>
        </w:rPr>
      </w:pPr>
    </w:p>
    <w:p w14:paraId="46EC7CEE">
      <w:pPr>
        <w:snapToGrid w:val="0"/>
        <w:jc w:val="center"/>
        <w:rPr>
          <w:rFonts w:ascii="楷体_GB2312" w:hAnsi="楷体_GB2312" w:eastAsia="楷体_GB2312" w:cs="楷体_GB2312"/>
          <w:color w:val="000000"/>
          <w:kern w:val="0"/>
          <w:sz w:val="40"/>
          <w:szCs w:val="40"/>
        </w:rPr>
        <w:sectPr>
          <w:headerReference r:id="rId4" w:type="first"/>
          <w:footerReference r:id="rId5" w:type="first"/>
          <w:headerReference r:id="rId3" w:type="default"/>
          <w:pgSz w:w="11906" w:h="16838"/>
          <w:pgMar w:top="2098" w:right="1531" w:bottom="1984" w:left="1531" w:header="851" w:footer="992" w:gutter="0"/>
          <w:cols w:space="720" w:num="1"/>
          <w:titlePg/>
          <w:docGrid w:type="lines" w:linePitch="312" w:charSpace="0"/>
        </w:sectPr>
      </w:pPr>
      <w:r>
        <w:rPr>
          <w:rFonts w:hint="eastAsia" w:ascii="楷体_GB2312" w:hAnsi="楷体_GB2312" w:eastAsia="楷体_GB2312" w:cs="楷体_GB2312"/>
          <w:color w:val="000000"/>
          <w:kern w:val="0"/>
          <w:sz w:val="40"/>
          <w:szCs w:val="40"/>
          <w:lang w:val="en-US" w:eastAsia="zh-CN"/>
        </w:rPr>
        <w:t>2021</w:t>
      </w:r>
      <w:r>
        <w:rPr>
          <w:rFonts w:hint="eastAsia" w:ascii="楷体_GB2312" w:hAnsi="楷体_GB2312" w:eastAsia="楷体_GB2312" w:cs="楷体_GB2312"/>
          <w:color w:val="000000"/>
          <w:kern w:val="0"/>
          <w:sz w:val="40"/>
          <w:szCs w:val="40"/>
        </w:rPr>
        <w:t>年</w:t>
      </w:r>
      <w:r>
        <w:rPr>
          <w:rFonts w:hint="eastAsia" w:ascii="楷体_GB2312" w:hAnsi="楷体_GB2312" w:eastAsia="楷体_GB2312" w:cs="楷体_GB2312"/>
          <w:color w:val="000000"/>
          <w:kern w:val="0"/>
          <w:sz w:val="40"/>
          <w:szCs w:val="40"/>
          <w:lang w:val="en-US" w:eastAsia="zh-CN"/>
        </w:rPr>
        <w:t xml:space="preserve"> 10 </w:t>
      </w:r>
      <w:r>
        <w:rPr>
          <w:rFonts w:hint="eastAsia" w:ascii="楷体_GB2312" w:hAnsi="楷体_GB2312" w:eastAsia="楷体_GB2312" w:cs="楷体_GB2312"/>
          <w:color w:val="000000"/>
          <w:kern w:val="0"/>
          <w:sz w:val="40"/>
          <w:szCs w:val="40"/>
        </w:rPr>
        <w:t>月</w:t>
      </w:r>
    </w:p>
    <w:p w14:paraId="05341576">
      <w:pPr>
        <w:rPr>
          <w:rFonts w:ascii="黑体" w:hAnsi="Times New Roman" w:eastAsia="黑体" w:cs="Times New Roman"/>
          <w:sz w:val="48"/>
          <w:szCs w:val="48"/>
        </w:rPr>
      </w:pPr>
    </w:p>
    <w:p w14:paraId="2F3E82CB">
      <w:pPr>
        <w:tabs>
          <w:tab w:val="left" w:pos="2728"/>
        </w:tabs>
        <w:jc w:val="center"/>
        <w:rPr>
          <w:rFonts w:ascii="黑体" w:hAnsi="Times New Roman" w:eastAsia="黑体" w:cs="Times New Roman"/>
          <w:sz w:val="48"/>
          <w:szCs w:val="48"/>
        </w:rPr>
      </w:pPr>
      <w:r>
        <w:rPr>
          <w:rFonts w:hint="eastAsia" w:ascii="黑体" w:hAnsi="Times New Roman" w:eastAsia="黑体" w:cs="Times New Roman"/>
          <w:sz w:val="48"/>
          <w:szCs w:val="48"/>
        </w:rPr>
        <w:t>目    录</w:t>
      </w:r>
    </w:p>
    <w:p w14:paraId="6A335154">
      <w:pPr>
        <w:widowControl/>
        <w:spacing w:after="160" w:afterLines="0" w:line="580" w:lineRule="exact"/>
        <w:ind w:firstLine="640" w:firstLineChars="200"/>
        <w:rPr>
          <w:rFonts w:ascii="Times New Roman" w:hAnsi="Times New Roman" w:eastAsia="黑体" w:cs="Times New Roman"/>
          <w:sz w:val="32"/>
          <w:szCs w:val="32"/>
        </w:rPr>
      </w:pPr>
    </w:p>
    <w:p w14:paraId="6D813173">
      <w:pPr>
        <w:widowControl/>
        <w:spacing w:line="640" w:lineRule="exact"/>
        <w:ind w:firstLine="640" w:firstLineChars="200"/>
        <w:rPr>
          <w:rFonts w:ascii="Times New Roman" w:hAnsi="Times New Roman" w:eastAsia="仿宋_GB2312" w:cs="Times New Roman"/>
          <w:sz w:val="24"/>
          <w:szCs w:val="32"/>
        </w:rPr>
      </w:pPr>
      <w:r>
        <w:rPr>
          <w:rFonts w:ascii="Times New Roman" w:hAnsi="Times New Roman" w:eastAsia="黑体" w:cs="Times New Roman"/>
          <w:sz w:val="32"/>
          <w:szCs w:val="32"/>
        </w:rPr>
        <w:t>第一部分   部门概况</w:t>
      </w:r>
    </w:p>
    <w:p w14:paraId="66783151">
      <w:pPr>
        <w:widowControl/>
        <w:spacing w:line="64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一、部门</w:t>
      </w:r>
      <w:r>
        <w:rPr>
          <w:rFonts w:hint="eastAsia" w:ascii="Times New Roman" w:hAnsi="Times New Roman" w:eastAsia="仿宋_GB2312" w:cs="Times New Roman"/>
          <w:sz w:val="32"/>
          <w:szCs w:val="32"/>
        </w:rPr>
        <w:t>职责</w:t>
      </w:r>
    </w:p>
    <w:p w14:paraId="2C5FE90A">
      <w:pPr>
        <w:widowControl/>
        <w:spacing w:line="64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二、</w:t>
      </w:r>
      <w:r>
        <w:rPr>
          <w:rFonts w:hint="eastAsia" w:ascii="Times New Roman" w:hAnsi="Times New Roman" w:eastAsia="仿宋_GB2312" w:cs="Times New Roman"/>
          <w:sz w:val="32"/>
          <w:szCs w:val="32"/>
        </w:rPr>
        <w:t>机构设置</w:t>
      </w:r>
    </w:p>
    <w:p w14:paraId="5BBD5A1E">
      <w:pPr>
        <w:widowControl/>
        <w:spacing w:line="64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第二部分</w:t>
      </w:r>
      <w:r>
        <w:rPr>
          <w:rFonts w:hint="eastAsia" w:ascii="Times New Roman" w:hAnsi="Times New Roman" w:eastAsia="黑体" w:cs="Times New Roman"/>
          <w:sz w:val="32"/>
          <w:szCs w:val="32"/>
        </w:rPr>
        <w:t xml:space="preserve">   </w:t>
      </w:r>
      <w:r>
        <w:rPr>
          <w:rFonts w:ascii="Times New Roman" w:hAnsi="Times New Roman" w:eastAsia="黑体" w:cs="Times New Roman"/>
          <w:sz w:val="32"/>
          <w:szCs w:val="32"/>
        </w:rPr>
        <w:t>20</w:t>
      </w:r>
      <w:r>
        <w:rPr>
          <w:rFonts w:hint="eastAsia" w:ascii="Times New Roman" w:hAnsi="Times New Roman" w:eastAsia="黑体" w:cs="Times New Roman"/>
          <w:sz w:val="32"/>
          <w:szCs w:val="32"/>
        </w:rPr>
        <w:t>20</w:t>
      </w:r>
      <w:r>
        <w:rPr>
          <w:rFonts w:ascii="Times New Roman" w:hAnsi="Times New Roman" w:eastAsia="黑体" w:cs="Times New Roman"/>
          <w:sz w:val="32"/>
          <w:szCs w:val="32"/>
        </w:rPr>
        <w:t>年部门决算情况说明</w:t>
      </w:r>
    </w:p>
    <w:p w14:paraId="7258B89B">
      <w:pPr>
        <w:widowControl/>
        <w:spacing w:line="640" w:lineRule="exact"/>
        <w:ind w:left="630" w:leftChars="30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一、收入支出决算总体情况说明</w:t>
      </w:r>
    </w:p>
    <w:p w14:paraId="09D7F3FC">
      <w:pPr>
        <w:widowControl/>
        <w:spacing w:line="640" w:lineRule="exact"/>
        <w:ind w:left="630" w:leftChars="30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二、收入决算情况说明</w:t>
      </w:r>
    </w:p>
    <w:p w14:paraId="30F78649">
      <w:pPr>
        <w:widowControl/>
        <w:spacing w:line="640" w:lineRule="exact"/>
        <w:ind w:left="630" w:leftChars="30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三、支出决算情况说明</w:t>
      </w:r>
    </w:p>
    <w:p w14:paraId="61366D79">
      <w:pPr>
        <w:widowControl/>
        <w:spacing w:line="640" w:lineRule="exact"/>
        <w:ind w:left="630" w:leftChars="30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四、财政拨款收入支出决算总体情况说明</w:t>
      </w:r>
    </w:p>
    <w:p w14:paraId="5EF39956">
      <w:pPr>
        <w:widowControl/>
        <w:spacing w:line="640" w:lineRule="exact"/>
        <w:ind w:left="630" w:leftChars="30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五、一般公共预算“三公” 经费支出决算情况说明</w:t>
      </w:r>
    </w:p>
    <w:p w14:paraId="61C6A738">
      <w:pPr>
        <w:widowControl/>
        <w:spacing w:line="640" w:lineRule="exact"/>
        <w:ind w:left="630" w:leftChars="30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六、预算绩效情况说明</w:t>
      </w:r>
    </w:p>
    <w:p w14:paraId="6F25637E">
      <w:pPr>
        <w:widowControl/>
        <w:spacing w:line="640" w:lineRule="exact"/>
        <w:ind w:left="630" w:leftChars="30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七、机关运行经费情况</w:t>
      </w:r>
    </w:p>
    <w:p w14:paraId="130208C3">
      <w:pPr>
        <w:widowControl/>
        <w:spacing w:line="640" w:lineRule="exact"/>
        <w:ind w:left="630" w:leftChars="30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八、政府采购情况</w:t>
      </w:r>
    </w:p>
    <w:p w14:paraId="0747CB3D">
      <w:pPr>
        <w:widowControl/>
        <w:spacing w:line="640" w:lineRule="exact"/>
        <w:ind w:left="630" w:leftChars="30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九、国有资产占用情况</w:t>
      </w:r>
    </w:p>
    <w:p w14:paraId="5E0E901E">
      <w:pPr>
        <w:widowControl/>
        <w:spacing w:line="640" w:lineRule="exact"/>
        <w:ind w:left="630" w:leftChars="30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十、其他需要说明的情况</w:t>
      </w:r>
    </w:p>
    <w:p w14:paraId="37DBC206">
      <w:pPr>
        <w:widowControl/>
        <w:spacing w:line="640" w:lineRule="exact"/>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第三部分   名词解释</w:t>
      </w:r>
    </w:p>
    <w:p w14:paraId="2146FFE4">
      <w:pPr>
        <w:widowControl/>
        <w:spacing w:line="640" w:lineRule="exact"/>
        <w:ind w:firstLine="640" w:firstLineChars="200"/>
        <w:rPr>
          <w:rFonts w:ascii="Times New Roman" w:hAnsi="Times New Roman" w:eastAsia="仿宋_GB2312" w:cs="Times New Roman"/>
          <w:sz w:val="20"/>
          <w:szCs w:val="32"/>
        </w:rPr>
      </w:pPr>
      <w:r>
        <w:rPr>
          <w:rFonts w:ascii="Times New Roman" w:hAnsi="Times New Roman" w:eastAsia="黑体" w:cs="Times New Roman"/>
          <w:sz w:val="32"/>
          <w:szCs w:val="32"/>
        </w:rPr>
        <w:t>第</w:t>
      </w:r>
      <w:r>
        <w:rPr>
          <w:rFonts w:hint="eastAsia" w:ascii="Times New Roman" w:hAnsi="Times New Roman" w:eastAsia="黑体" w:cs="Times New Roman"/>
          <w:sz w:val="32"/>
          <w:szCs w:val="32"/>
        </w:rPr>
        <w:t>四</w:t>
      </w:r>
      <w:r>
        <w:rPr>
          <w:rFonts w:ascii="Times New Roman" w:hAnsi="Times New Roman" w:eastAsia="黑体" w:cs="Times New Roman"/>
          <w:sz w:val="32"/>
          <w:szCs w:val="32"/>
        </w:rPr>
        <w:t>部分</w:t>
      </w:r>
      <w:r>
        <w:rPr>
          <w:rFonts w:hint="eastAsia" w:ascii="Times New Roman" w:hAnsi="Times New Roman" w:eastAsia="黑体" w:cs="Times New Roman"/>
          <w:sz w:val="32"/>
          <w:szCs w:val="32"/>
        </w:rPr>
        <w:t xml:space="preserve">  </w:t>
      </w:r>
      <w:r>
        <w:rPr>
          <w:rFonts w:ascii="Times New Roman" w:hAnsi="Times New Roman" w:eastAsia="黑体" w:cs="Times New Roman"/>
          <w:sz w:val="32"/>
          <w:szCs w:val="32"/>
        </w:rPr>
        <w:t xml:space="preserve"> 20</w:t>
      </w:r>
      <w:r>
        <w:rPr>
          <w:rFonts w:hint="eastAsia" w:ascii="Times New Roman" w:hAnsi="Times New Roman" w:eastAsia="黑体" w:cs="Times New Roman"/>
          <w:sz w:val="32"/>
          <w:szCs w:val="32"/>
        </w:rPr>
        <w:t>20</w:t>
      </w:r>
      <w:r>
        <w:rPr>
          <w:rFonts w:ascii="Times New Roman" w:hAnsi="Times New Roman" w:eastAsia="黑体" w:cs="Times New Roman"/>
          <w:sz w:val="32"/>
          <w:szCs w:val="32"/>
        </w:rPr>
        <w:t>年度部门决算报表</w:t>
      </w:r>
    </w:p>
    <w:p w14:paraId="6278485B">
      <w:pPr>
        <w:widowControl/>
        <w:spacing w:after="160" w:afterLines="0" w:line="580" w:lineRule="exact"/>
        <w:ind w:firstLine="640" w:firstLineChars="200"/>
        <w:rPr>
          <w:rFonts w:ascii="Times New Roman" w:hAnsi="Times New Roman" w:eastAsia="黑体" w:cs="Times New Roman"/>
          <w:sz w:val="32"/>
          <w:szCs w:val="32"/>
        </w:rPr>
        <w:sectPr>
          <w:headerReference r:id="rId7" w:type="first"/>
          <w:footerReference r:id="rId9" w:type="first"/>
          <w:headerReference r:id="rId6" w:type="default"/>
          <w:footerReference r:id="rId8" w:type="default"/>
          <w:type w:val="continuous"/>
          <w:pgSz w:w="11906" w:h="16838"/>
          <w:pgMar w:top="2098" w:right="1531" w:bottom="1984" w:left="1531" w:header="851" w:footer="992" w:gutter="0"/>
          <w:cols w:space="720" w:num="1"/>
          <w:titlePg/>
          <w:docGrid w:type="lines" w:linePitch="312" w:charSpace="0"/>
        </w:sectPr>
      </w:pPr>
    </w:p>
    <w:p w14:paraId="619BA266">
      <w:pPr>
        <w:widowControl/>
        <w:spacing w:line="580" w:lineRule="exact"/>
        <w:ind w:firstLine="640" w:firstLineChars="200"/>
        <w:rPr>
          <w:rFonts w:eastAsia="黑体"/>
          <w:sz w:val="32"/>
          <w:szCs w:val="32"/>
        </w:rPr>
      </w:pPr>
    </w:p>
    <w:p w14:paraId="61B31684">
      <w:pPr>
        <w:widowControl/>
        <w:spacing w:line="580" w:lineRule="exact"/>
        <w:ind w:firstLine="640" w:firstLineChars="200"/>
        <w:rPr>
          <w:rFonts w:eastAsia="黑体"/>
          <w:sz w:val="32"/>
          <w:szCs w:val="32"/>
        </w:rPr>
      </w:pPr>
    </w:p>
    <w:p w14:paraId="1E45E3E4">
      <w:pPr>
        <w:widowControl/>
        <w:spacing w:line="580" w:lineRule="exact"/>
        <w:ind w:firstLine="640" w:firstLineChars="200"/>
        <w:rPr>
          <w:rFonts w:eastAsia="黑体"/>
          <w:sz w:val="32"/>
          <w:szCs w:val="32"/>
        </w:rPr>
      </w:pPr>
    </w:p>
    <w:p w14:paraId="1E92AE5F">
      <w:r>
        <w:rPr>
          <w:sz w:val="72"/>
        </w:rPr>
        <mc:AlternateContent>
          <mc:Choice Requires="wps">
            <w:drawing>
              <wp:anchor distT="0" distB="0" distL="114300" distR="114300" simplePos="0" relativeHeight="251659264" behindDoc="0" locked="0" layoutInCell="1" allowOverlap="1">
                <wp:simplePos x="0" y="0"/>
                <wp:positionH relativeFrom="column">
                  <wp:posOffset>-1088390</wp:posOffset>
                </wp:positionH>
                <wp:positionV relativeFrom="paragraph">
                  <wp:posOffset>1024890</wp:posOffset>
                </wp:positionV>
                <wp:extent cx="7793355" cy="3341370"/>
                <wp:effectExtent l="6350" t="6350" r="10795" b="24130"/>
                <wp:wrapNone/>
                <wp:docPr id="1" name="文本框 143"/>
                <wp:cNvGraphicFramePr/>
                <a:graphic xmlns:a="http://schemas.openxmlformats.org/drawingml/2006/main">
                  <a:graphicData uri="http://schemas.microsoft.com/office/word/2010/wordprocessingShape">
                    <wps:wsp>
                      <wps:cNvSpPr/>
                      <wps:spPr>
                        <a:xfrm>
                          <a:off x="0" y="0"/>
                          <a:ext cx="7793355" cy="3341370"/>
                        </a:xfrm>
                        <a:prstGeom prst="rect">
                          <a:avLst/>
                        </a:prstGeom>
                        <a:pattFill prst="pct5">
                          <a:fgClr>
                            <a:srgbClr val="7F7F7F">
                              <a:alpha val="100000"/>
                            </a:srgbClr>
                          </a:fgClr>
                          <a:bgClr>
                            <a:srgbClr val="FFFFFF">
                              <a:alpha val="100000"/>
                            </a:srgbClr>
                          </a:bgClr>
                        </a:pattFill>
                        <a:ln w="12700" cap="flat" cmpd="sng">
                          <a:solidFill>
                            <a:srgbClr val="A5A5A5"/>
                          </a:solidFill>
                          <a:prstDash val="solid"/>
                          <a:miter/>
                          <a:headEnd type="none" w="med" len="med"/>
                          <a:tailEnd type="none" w="med" len="med"/>
                        </a:ln>
                      </wps:spPr>
                      <wps:txbx>
                        <w:txbxContent>
                          <w:p w14:paraId="7CEBFD9A">
                            <w:pPr>
                              <w:widowControl/>
                              <w:jc w:val="center"/>
                              <w:rPr>
                                <w:rFonts w:ascii="黑体" w:hAnsi="黑体" w:eastAsia="黑体" w:cs="黑体"/>
                                <w:color w:val="000000"/>
                                <w:sz w:val="96"/>
                                <w:szCs w:val="96"/>
                              </w:rPr>
                            </w:pPr>
                            <w:r>
                              <w:rPr>
                                <w:rFonts w:hint="eastAsia" w:ascii="黑体" w:hAnsi="黑体" w:eastAsia="黑体" w:cs="黑体"/>
                                <w:color w:val="000000"/>
                                <w:sz w:val="96"/>
                                <w:szCs w:val="96"/>
                              </w:rPr>
                              <w:t>第一部分  部门概况</w:t>
                            </w:r>
                          </w:p>
                        </w:txbxContent>
                      </wps:txbx>
                      <wps:bodyPr vert="horz" wrap="square" upright="0"/>
                    </wps:wsp>
                  </a:graphicData>
                </a:graphic>
              </wp:anchor>
            </w:drawing>
          </mc:Choice>
          <mc:Fallback>
            <w:pict>
              <v:rect id="文本框 143" o:spid="_x0000_s1026" o:spt="1" style="position:absolute;left:0pt;margin-left:-85.7pt;margin-top:80.7pt;height:263.1pt;width:613.65pt;z-index:251659264;mso-width-relative:page;mso-height-relative:page;" fillcolor="#7F7F7F" filled="t" stroked="t" coordsize="21600,21600" o:gfxdata="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">
                <v:fill type="pattern" on="t" color2="#FFFFFF" o:title="5%" focussize="0,0" r:id="rId14"/>
                <v:stroke weight="1pt" color="#A5A5A5" joinstyle="miter"/>
                <v:imagedata o:title=""/>
                <o:lock v:ext="edit" aspectratio="f"/>
                <v:textbox>
                  <w:txbxContent>
                    <w:p w14:paraId="7CEBFD9A">
                      <w:pPr>
                        <w:widowControl/>
                        <w:jc w:val="center"/>
                        <w:rPr>
                          <w:rFonts w:ascii="黑体" w:hAnsi="黑体" w:eastAsia="黑体" w:cs="黑体"/>
                          <w:color w:val="000000"/>
                          <w:sz w:val="96"/>
                          <w:szCs w:val="96"/>
                        </w:rPr>
                      </w:pPr>
                      <w:r>
                        <w:rPr>
                          <w:rFonts w:hint="eastAsia" w:ascii="黑体" w:hAnsi="黑体" w:eastAsia="黑体" w:cs="黑体"/>
                          <w:color w:val="000000"/>
                          <w:sz w:val="96"/>
                          <w:szCs w:val="96"/>
                        </w:rPr>
                        <w:t>第一部分  部门概况</w:t>
                      </w:r>
                    </w:p>
                  </w:txbxContent>
                </v:textbox>
              </v:rect>
            </w:pict>
          </mc:Fallback>
        </mc:AlternateContent>
      </w:r>
      <w:r>
        <w:br w:type="page"/>
      </w:r>
    </w:p>
    <w:p w14:paraId="4DA91A2E">
      <w:pPr>
        <w:pStyle w:val="2"/>
        <w:spacing w:before="0" w:beforeLines="0" w:after="0" w:afterLines="0" w:line="580" w:lineRule="exact"/>
        <w:ind w:firstLine="640" w:firstLineChars="200"/>
        <w:jc w:val="left"/>
        <w:rPr>
          <w:rFonts w:ascii="黑体" w:eastAsia="黑体" w:cs="黑体"/>
          <w:b w:val="0"/>
          <w:bCs w:val="0"/>
          <w:kern w:val="0"/>
          <w:sz w:val="32"/>
          <w:szCs w:val="32"/>
        </w:rPr>
      </w:pPr>
      <w:r>
        <w:rPr>
          <w:rFonts w:hint="eastAsia" w:ascii="黑体" w:eastAsia="黑体" w:cs="黑体"/>
          <w:b w:val="0"/>
          <w:bCs w:val="0"/>
          <w:kern w:val="0"/>
          <w:sz w:val="32"/>
          <w:szCs w:val="32"/>
        </w:rPr>
        <w:t>一、部门职责</w:t>
      </w:r>
    </w:p>
    <w:p w14:paraId="7C2129E8">
      <w:pPr>
        <w:keepNext/>
        <w:keepLines/>
        <w:spacing w:line="580" w:lineRule="exact"/>
        <w:ind w:firstLine="640" w:firstLineChars="200"/>
        <w:jc w:val="left"/>
        <w:outlineLvl w:val="0"/>
        <w:rPr>
          <w:rFonts w:ascii="仿宋_GB2312" w:hAnsi="Times New Roman" w:eastAsia="仿宋_GB2312" w:cs="Times New Roman"/>
          <w:sz w:val="32"/>
          <w:szCs w:val="32"/>
        </w:rPr>
      </w:pPr>
      <w:r>
        <w:rPr>
          <w:rFonts w:hint="eastAsia" w:ascii="仿宋_GB2312" w:hAnsi="Times New Roman" w:eastAsia="仿宋_GB2312" w:cs="Times New Roman"/>
          <w:sz w:val="32"/>
          <w:szCs w:val="32"/>
        </w:rPr>
        <w:t>（一）负责区委中心组和全区党委中心组以及全区广大党员干部的理论学习教育和考核工作，全面落实意识形态工作责任制。</w:t>
      </w:r>
    </w:p>
    <w:p w14:paraId="0075EF22">
      <w:pPr>
        <w:keepNext/>
        <w:keepLines/>
        <w:spacing w:line="580" w:lineRule="exact"/>
        <w:ind w:firstLine="640" w:firstLineChars="200"/>
        <w:jc w:val="left"/>
        <w:outlineLvl w:val="0"/>
        <w:rPr>
          <w:rFonts w:ascii="仿宋_GB2312" w:hAnsi="Times New Roman" w:eastAsia="仿宋_GB2312" w:cs="Times New Roman"/>
          <w:sz w:val="32"/>
          <w:szCs w:val="32"/>
        </w:rPr>
      </w:pPr>
      <w:r>
        <w:rPr>
          <w:rFonts w:hint="eastAsia" w:ascii="仿宋_GB2312" w:hAnsi="Times New Roman" w:eastAsia="仿宋_GB2312" w:cs="Times New Roman"/>
          <w:sz w:val="32"/>
          <w:szCs w:val="32"/>
        </w:rPr>
        <w:t>（二）负责全区舆论引导的把握和全区各项工作的新闻宣传，对下属事业单位的工作实施政治方向和方针、政策的指导。</w:t>
      </w:r>
    </w:p>
    <w:p w14:paraId="178367A9">
      <w:pPr>
        <w:keepNext/>
        <w:keepLines/>
        <w:spacing w:line="580" w:lineRule="exact"/>
        <w:ind w:firstLine="640" w:firstLineChars="200"/>
        <w:jc w:val="left"/>
        <w:outlineLvl w:val="0"/>
        <w:rPr>
          <w:rFonts w:ascii="仿宋_GB2312" w:hAnsi="Times New Roman" w:eastAsia="仿宋_GB2312" w:cs="Times New Roman"/>
          <w:sz w:val="32"/>
          <w:szCs w:val="32"/>
        </w:rPr>
      </w:pPr>
      <w:r>
        <w:rPr>
          <w:rFonts w:hint="eastAsia" w:ascii="仿宋_GB2312" w:hAnsi="Times New Roman" w:eastAsia="仿宋_GB2312" w:cs="Times New Roman"/>
          <w:sz w:val="32"/>
          <w:szCs w:val="32"/>
        </w:rPr>
        <w:t>（三）规划部署全区思想政治工作，负责全区爱国主义教育基地的建设和管理，负责全区政工职称的评定和政工人员的管理。</w:t>
      </w:r>
    </w:p>
    <w:p w14:paraId="10E3E09A">
      <w:pPr>
        <w:keepNext/>
        <w:keepLines/>
        <w:spacing w:line="580" w:lineRule="exact"/>
        <w:ind w:firstLine="640" w:firstLineChars="200"/>
        <w:jc w:val="left"/>
        <w:outlineLvl w:val="0"/>
        <w:rPr>
          <w:rFonts w:ascii="仿宋_GB2312" w:hAnsi="Times New Roman" w:eastAsia="仿宋_GB2312" w:cs="Times New Roman"/>
          <w:sz w:val="32"/>
          <w:szCs w:val="32"/>
        </w:rPr>
      </w:pPr>
      <w:r>
        <w:rPr>
          <w:rFonts w:hint="eastAsia" w:ascii="仿宋_GB2312" w:hAnsi="Times New Roman" w:eastAsia="仿宋_GB2312" w:cs="Times New Roman"/>
          <w:sz w:val="32"/>
          <w:szCs w:val="32"/>
        </w:rPr>
        <w:t>（四）研究制定全区文化事业的发展规划，指导协调全区文化市场和文化环境的净化与管理。负责重大节日的气氛营造和其他社会宣传工作。对文广新局的工作，实施政治和方针、政策的指导和协调。</w:t>
      </w:r>
    </w:p>
    <w:p w14:paraId="6450FA65">
      <w:pPr>
        <w:keepNext/>
        <w:keepLines/>
        <w:spacing w:line="580" w:lineRule="exact"/>
        <w:ind w:firstLine="640" w:firstLineChars="200"/>
        <w:jc w:val="left"/>
        <w:outlineLvl w:val="0"/>
        <w:rPr>
          <w:rFonts w:ascii="仿宋_GB2312" w:hAnsi="Times New Roman" w:eastAsia="仿宋_GB2312" w:cs="Times New Roman"/>
          <w:sz w:val="32"/>
          <w:szCs w:val="32"/>
        </w:rPr>
      </w:pPr>
      <w:r>
        <w:rPr>
          <w:rFonts w:hint="eastAsia" w:ascii="仿宋_GB2312" w:hAnsi="Times New Roman" w:eastAsia="仿宋_GB2312" w:cs="Times New Roman"/>
          <w:sz w:val="32"/>
          <w:szCs w:val="32"/>
        </w:rPr>
        <w:t>（五）研究拟定有关全区思想道德和精神文明建设的工作方针、政策；规划部署全区思想道德和精神文明建设工作；组织指导全区群众精神文明创建活动。</w:t>
      </w:r>
    </w:p>
    <w:p w14:paraId="173122DD">
      <w:pPr>
        <w:keepNext/>
        <w:keepLines/>
        <w:spacing w:line="580" w:lineRule="exact"/>
        <w:ind w:firstLine="640" w:firstLineChars="200"/>
        <w:jc w:val="left"/>
        <w:outlineLvl w:val="0"/>
        <w:rPr>
          <w:rFonts w:ascii="仿宋_GB2312" w:hAnsi="Times New Roman" w:eastAsia="仿宋_GB2312" w:cs="Times New Roman"/>
          <w:sz w:val="32"/>
          <w:szCs w:val="32"/>
        </w:rPr>
      </w:pPr>
      <w:r>
        <w:rPr>
          <w:rFonts w:hint="eastAsia" w:ascii="仿宋_GB2312" w:hAnsi="Times New Roman" w:eastAsia="仿宋_GB2312" w:cs="Times New Roman"/>
          <w:sz w:val="32"/>
          <w:szCs w:val="32"/>
        </w:rPr>
        <w:t>（六）负责谋划协调全区对外宣传、网上新闻和舆论引导。</w:t>
      </w:r>
    </w:p>
    <w:p w14:paraId="5EB19800">
      <w:pPr>
        <w:keepNext/>
        <w:keepLines/>
        <w:spacing w:line="580" w:lineRule="exact"/>
        <w:ind w:firstLine="640" w:firstLineChars="200"/>
        <w:jc w:val="left"/>
        <w:outlineLvl w:val="0"/>
        <w:rPr>
          <w:rFonts w:ascii="仿宋_GB2312" w:hAnsi="Times New Roman" w:eastAsia="仿宋_GB2312" w:cs="Times New Roman"/>
          <w:sz w:val="32"/>
          <w:szCs w:val="32"/>
        </w:rPr>
      </w:pPr>
      <w:r>
        <w:rPr>
          <w:rFonts w:hint="eastAsia" w:ascii="仿宋_GB2312" w:hAnsi="Times New Roman" w:eastAsia="仿宋_GB2312" w:cs="Times New Roman"/>
          <w:sz w:val="32"/>
          <w:szCs w:val="32"/>
        </w:rPr>
        <w:t>（七）指导全区国防教育领导小组办公室的工作。</w:t>
      </w:r>
    </w:p>
    <w:p w14:paraId="7E6F9088">
      <w:pPr>
        <w:keepNext/>
        <w:keepLines/>
        <w:spacing w:line="580" w:lineRule="exact"/>
        <w:ind w:firstLine="640" w:firstLineChars="200"/>
        <w:jc w:val="left"/>
        <w:outlineLvl w:val="0"/>
        <w:rPr>
          <w:rFonts w:ascii="仿宋_GB2312" w:hAnsi="Times New Roman" w:eastAsia="仿宋_GB2312" w:cs="Times New Roman"/>
          <w:sz w:val="32"/>
          <w:szCs w:val="32"/>
        </w:rPr>
      </w:pPr>
      <w:r>
        <w:rPr>
          <w:rFonts w:hint="eastAsia" w:ascii="仿宋_GB2312" w:hAnsi="Times New Roman" w:eastAsia="仿宋_GB2312" w:cs="Times New Roman"/>
          <w:sz w:val="32"/>
          <w:szCs w:val="32"/>
        </w:rPr>
        <w:t>（八）开展多种形式的爱国主义教育活动。</w:t>
      </w:r>
    </w:p>
    <w:p w14:paraId="488AA85A">
      <w:pPr>
        <w:keepNext/>
        <w:keepLines/>
        <w:spacing w:line="580" w:lineRule="exact"/>
        <w:ind w:firstLine="640" w:firstLineChars="200"/>
        <w:jc w:val="left"/>
        <w:outlineLvl w:val="0"/>
        <w:rPr>
          <w:rFonts w:ascii="仿宋_GB2312" w:hAnsi="Times New Roman" w:eastAsia="仿宋_GB2312" w:cs="Times New Roman"/>
          <w:sz w:val="32"/>
          <w:szCs w:val="32"/>
        </w:rPr>
      </w:pPr>
      <w:r>
        <w:rPr>
          <w:rFonts w:hint="eastAsia" w:ascii="仿宋_GB2312" w:hAnsi="Times New Roman" w:eastAsia="仿宋_GB2312" w:cs="Times New Roman"/>
          <w:sz w:val="32"/>
          <w:szCs w:val="32"/>
        </w:rPr>
        <w:t>（九）做好纪念馆日常维护工作，确保正常开放。</w:t>
      </w:r>
    </w:p>
    <w:p w14:paraId="7C66432F">
      <w:pPr>
        <w:keepNext/>
        <w:keepLines/>
        <w:spacing w:line="580" w:lineRule="exact"/>
        <w:ind w:firstLine="640" w:firstLineChars="200"/>
        <w:jc w:val="left"/>
        <w:outlineLvl w:val="0"/>
        <w:rPr>
          <w:rFonts w:ascii="仿宋_GB2312" w:hAnsi="Times New Roman" w:eastAsia="仿宋_GB2312" w:cs="Times New Roman"/>
          <w:sz w:val="32"/>
          <w:szCs w:val="32"/>
        </w:rPr>
      </w:pPr>
      <w:r>
        <w:rPr>
          <w:rFonts w:hint="eastAsia" w:ascii="仿宋_GB2312" w:hAnsi="Times New Roman" w:eastAsia="仿宋_GB2312" w:cs="Times New Roman"/>
          <w:sz w:val="32"/>
          <w:szCs w:val="32"/>
        </w:rPr>
        <w:t>（十）针对现有问题有效整改，做好保级工作。</w:t>
      </w:r>
    </w:p>
    <w:p w14:paraId="30E09730">
      <w:pPr>
        <w:widowControl/>
        <w:spacing w:line="580" w:lineRule="exact"/>
        <w:ind w:firstLine="640" w:firstLineChars="200"/>
        <w:rPr>
          <w:rFonts w:ascii="仿宋_GB2312" w:hAnsi="Calibri" w:eastAsia="仿宋_GB2312" w:cs="Arial Black"/>
          <w:kern w:val="0"/>
          <w:sz w:val="32"/>
          <w:szCs w:val="32"/>
        </w:rPr>
      </w:pPr>
    </w:p>
    <w:p w14:paraId="4A104CB1">
      <w:pPr>
        <w:keepNext/>
        <w:keepLines/>
        <w:spacing w:line="580" w:lineRule="exact"/>
        <w:ind w:firstLine="640" w:firstLineChars="200"/>
        <w:jc w:val="left"/>
        <w:outlineLvl w:val="0"/>
        <w:rPr>
          <w:rFonts w:ascii="黑体" w:hAnsi="Calibri" w:eastAsia="黑体" w:cs="黑体"/>
          <w:kern w:val="0"/>
          <w:sz w:val="32"/>
          <w:szCs w:val="32"/>
        </w:rPr>
      </w:pPr>
      <w:r>
        <w:rPr>
          <w:rFonts w:hint="eastAsia" w:ascii="黑体" w:hAnsi="Calibri" w:eastAsia="黑体" w:cs="黑体"/>
          <w:kern w:val="0"/>
          <w:sz w:val="32"/>
          <w:szCs w:val="32"/>
        </w:rPr>
        <w:t>二、机构设置</w:t>
      </w:r>
    </w:p>
    <w:p w14:paraId="113230B9">
      <w:pPr>
        <w:spacing w:line="580" w:lineRule="exact"/>
        <w:ind w:firstLine="640" w:firstLineChars="200"/>
        <w:rPr>
          <w:rFonts w:ascii="仿宋_GB2312" w:hAnsi="Calibri" w:eastAsia="仿宋_GB2312" w:cs="Arial Black"/>
          <w:kern w:val="0"/>
          <w:sz w:val="32"/>
          <w:szCs w:val="32"/>
        </w:rPr>
      </w:pPr>
      <w:r>
        <w:rPr>
          <w:rFonts w:hint="eastAsia" w:ascii="仿宋_GB2312" w:hAnsi="Calibri" w:eastAsia="仿宋_GB2312" w:cs="Arial Black"/>
          <w:kern w:val="0"/>
          <w:sz w:val="32"/>
          <w:szCs w:val="32"/>
        </w:rPr>
        <w:t>从决算编报单位构成看，纳入20</w:t>
      </w:r>
      <w:r>
        <w:rPr>
          <w:rFonts w:ascii="仿宋_GB2312" w:hAnsi="Calibri" w:eastAsia="仿宋_GB2312" w:cs="Arial Black"/>
          <w:kern w:val="0"/>
          <w:sz w:val="32"/>
          <w:szCs w:val="32"/>
        </w:rPr>
        <w:t>20</w:t>
      </w:r>
      <w:r>
        <w:rPr>
          <w:rFonts w:hint="eastAsia" w:ascii="仿宋_GB2312" w:hAnsi="Calibri" w:eastAsia="仿宋_GB2312" w:cs="Arial Black"/>
          <w:kern w:val="0"/>
          <w:sz w:val="32"/>
          <w:szCs w:val="32"/>
        </w:rPr>
        <w:t>年度本部门决算汇编范围的独立核算单位（以下简称“单位”）共</w:t>
      </w:r>
      <w:r>
        <w:rPr>
          <w:rFonts w:hint="eastAsia" w:ascii="仿宋_GB2312" w:eastAsia="仿宋_GB2312" w:cs="Arial Black"/>
          <w:kern w:val="0"/>
          <w:sz w:val="32"/>
          <w:szCs w:val="32"/>
          <w:lang w:val="en-US" w:eastAsia="zh-CN"/>
        </w:rPr>
        <w:t>2</w:t>
      </w:r>
      <w:r>
        <w:rPr>
          <w:rFonts w:hint="eastAsia" w:ascii="仿宋_GB2312" w:hAnsi="Calibri" w:eastAsia="仿宋_GB2312" w:cs="Arial Black"/>
          <w:kern w:val="0"/>
          <w:sz w:val="32"/>
          <w:szCs w:val="32"/>
        </w:rPr>
        <w:t>个，具体情况如下：</w:t>
      </w:r>
    </w:p>
    <w:tbl>
      <w:tblPr>
        <w:tblStyle w:val="6"/>
        <w:tblpPr w:leftFromText="180" w:rightFromText="180" w:vertAnchor="text" w:horzAnchor="page" w:tblpXSpec="center" w:tblpY="10"/>
        <w:tblOverlap w:val="never"/>
        <w:tblW w:w="942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8"/>
        <w:gridCol w:w="3426"/>
        <w:gridCol w:w="2404"/>
        <w:gridCol w:w="2622"/>
      </w:tblGrid>
      <w:tr w14:paraId="621DFC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73" w:hRule="atLeast"/>
          <w:jc w:val="center"/>
        </w:trPr>
        <w:tc>
          <w:tcPr>
            <w:tcW w:w="968" w:type="dxa"/>
            <w:noWrap w:val="0"/>
            <w:vAlign w:val="center"/>
          </w:tcPr>
          <w:p w14:paraId="5E7DDA1B">
            <w:pPr>
              <w:spacing w:line="560" w:lineRule="exact"/>
              <w:jc w:val="center"/>
              <w:rPr>
                <w:rFonts w:ascii="仿宋_GB2312" w:hAnsi="Calibri" w:eastAsia="仿宋_GB2312" w:cs="Arial Black"/>
                <w:b/>
                <w:bCs/>
                <w:kern w:val="0"/>
                <w:sz w:val="28"/>
                <w:szCs w:val="28"/>
              </w:rPr>
            </w:pPr>
            <w:r>
              <w:rPr>
                <w:rFonts w:hint="eastAsia" w:ascii="仿宋_GB2312" w:hAnsi="Calibri" w:eastAsia="仿宋_GB2312" w:cs="Arial Black"/>
                <w:b/>
                <w:bCs/>
                <w:kern w:val="0"/>
                <w:sz w:val="28"/>
                <w:szCs w:val="28"/>
              </w:rPr>
              <w:t>序号</w:t>
            </w:r>
          </w:p>
        </w:tc>
        <w:tc>
          <w:tcPr>
            <w:tcW w:w="3426" w:type="dxa"/>
            <w:noWrap w:val="0"/>
            <w:vAlign w:val="center"/>
          </w:tcPr>
          <w:p w14:paraId="48D5FE73">
            <w:pPr>
              <w:spacing w:line="560" w:lineRule="exact"/>
              <w:jc w:val="center"/>
              <w:rPr>
                <w:rFonts w:ascii="仿宋_GB2312" w:hAnsi="Calibri" w:eastAsia="仿宋_GB2312" w:cs="Arial Black"/>
                <w:b/>
                <w:bCs/>
                <w:kern w:val="0"/>
                <w:sz w:val="28"/>
                <w:szCs w:val="28"/>
              </w:rPr>
            </w:pPr>
            <w:r>
              <w:rPr>
                <w:rFonts w:hint="eastAsia" w:ascii="仿宋_GB2312" w:hAnsi="Calibri" w:eastAsia="仿宋_GB2312" w:cs="Arial Black"/>
                <w:b/>
                <w:bCs/>
                <w:kern w:val="0"/>
                <w:sz w:val="28"/>
                <w:szCs w:val="28"/>
              </w:rPr>
              <w:t>单位名称</w:t>
            </w:r>
          </w:p>
        </w:tc>
        <w:tc>
          <w:tcPr>
            <w:tcW w:w="2404" w:type="dxa"/>
            <w:noWrap w:val="0"/>
            <w:vAlign w:val="center"/>
          </w:tcPr>
          <w:p w14:paraId="20202167">
            <w:pPr>
              <w:spacing w:line="560" w:lineRule="exact"/>
              <w:jc w:val="center"/>
              <w:rPr>
                <w:rFonts w:ascii="仿宋_GB2312" w:hAnsi="Calibri" w:eastAsia="仿宋_GB2312" w:cs="Arial Black"/>
                <w:b/>
                <w:bCs/>
                <w:kern w:val="0"/>
                <w:sz w:val="28"/>
                <w:szCs w:val="28"/>
              </w:rPr>
            </w:pPr>
            <w:r>
              <w:rPr>
                <w:rFonts w:hint="eastAsia" w:ascii="仿宋_GB2312" w:hAnsi="Calibri" w:eastAsia="仿宋_GB2312" w:cs="Arial Black"/>
                <w:b/>
                <w:bCs/>
                <w:kern w:val="0"/>
                <w:sz w:val="28"/>
                <w:szCs w:val="28"/>
              </w:rPr>
              <w:t>单位基本性质</w:t>
            </w:r>
          </w:p>
        </w:tc>
        <w:tc>
          <w:tcPr>
            <w:tcW w:w="2622" w:type="dxa"/>
            <w:noWrap w:val="0"/>
            <w:vAlign w:val="center"/>
          </w:tcPr>
          <w:p w14:paraId="4EFAF629">
            <w:pPr>
              <w:spacing w:line="560" w:lineRule="exact"/>
              <w:jc w:val="center"/>
              <w:rPr>
                <w:rFonts w:ascii="仿宋_GB2312" w:hAnsi="Calibri" w:eastAsia="仿宋_GB2312" w:cs="Arial Black"/>
                <w:b/>
                <w:bCs/>
                <w:kern w:val="0"/>
                <w:sz w:val="28"/>
                <w:szCs w:val="28"/>
              </w:rPr>
            </w:pPr>
            <w:r>
              <w:rPr>
                <w:rFonts w:hint="eastAsia" w:ascii="仿宋_GB2312" w:hAnsi="Calibri" w:eastAsia="仿宋_GB2312" w:cs="Arial Black"/>
                <w:b/>
                <w:bCs/>
                <w:kern w:val="0"/>
                <w:sz w:val="28"/>
                <w:szCs w:val="28"/>
              </w:rPr>
              <w:t>经费形式</w:t>
            </w:r>
          </w:p>
        </w:tc>
      </w:tr>
      <w:tr w14:paraId="43295C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1" w:hRule="atLeast"/>
          <w:jc w:val="center"/>
        </w:trPr>
        <w:tc>
          <w:tcPr>
            <w:tcW w:w="968" w:type="dxa"/>
            <w:noWrap w:val="0"/>
            <w:vAlign w:val="top"/>
          </w:tcPr>
          <w:p w14:paraId="5ACDDA38">
            <w:pPr>
              <w:spacing w:line="560" w:lineRule="exact"/>
              <w:jc w:val="center"/>
              <w:rPr>
                <w:rFonts w:ascii="仿宋_GB2312" w:hAnsi="Calibri" w:eastAsia="仿宋_GB2312" w:cs="Arial Black"/>
                <w:kern w:val="0"/>
                <w:sz w:val="28"/>
                <w:szCs w:val="28"/>
              </w:rPr>
            </w:pPr>
            <w:r>
              <w:rPr>
                <w:rFonts w:hint="eastAsia" w:ascii="仿宋_GB2312" w:hAnsi="Calibri" w:eastAsia="仿宋_GB2312" w:cs="Arial Black"/>
                <w:kern w:val="0"/>
                <w:sz w:val="28"/>
                <w:szCs w:val="28"/>
              </w:rPr>
              <w:t>1</w:t>
            </w:r>
          </w:p>
        </w:tc>
        <w:tc>
          <w:tcPr>
            <w:tcW w:w="3426" w:type="dxa"/>
            <w:noWrap w:val="0"/>
            <w:vAlign w:val="top"/>
          </w:tcPr>
          <w:p w14:paraId="2646AD33">
            <w:pPr>
              <w:spacing w:line="560" w:lineRule="exact"/>
              <w:rPr>
                <w:rFonts w:ascii="仿宋_GB2312" w:hAnsi="Calibri" w:eastAsia="仿宋_GB2312" w:cs="Arial Black"/>
                <w:kern w:val="0"/>
                <w:sz w:val="28"/>
                <w:szCs w:val="28"/>
              </w:rPr>
            </w:pPr>
            <w:r>
              <w:rPr>
                <w:rFonts w:hint="eastAsia" w:ascii="仿宋_GB2312" w:hAnsi="仿宋" w:eastAsia="仿宋_GB2312"/>
                <w:sz w:val="24"/>
                <w:szCs w:val="24"/>
              </w:rPr>
              <w:t>中共石家庄市藁城区委宣传部</w:t>
            </w:r>
            <w:r>
              <w:rPr>
                <w:rFonts w:hint="eastAsia" w:ascii="仿宋_GB2312" w:hAnsi="Calibri" w:eastAsia="仿宋_GB2312" w:cs="Arial Black"/>
                <w:kern w:val="0"/>
                <w:sz w:val="28"/>
                <w:szCs w:val="28"/>
              </w:rPr>
              <w:t>(本级)</w:t>
            </w:r>
          </w:p>
        </w:tc>
        <w:tc>
          <w:tcPr>
            <w:tcW w:w="2404" w:type="dxa"/>
            <w:noWrap w:val="0"/>
            <w:vAlign w:val="top"/>
          </w:tcPr>
          <w:p w14:paraId="54FE2455">
            <w:pPr>
              <w:spacing w:line="560" w:lineRule="exact"/>
              <w:jc w:val="center"/>
              <w:rPr>
                <w:rFonts w:ascii="仿宋_GB2312" w:hAnsi="Calibri" w:eastAsia="仿宋_GB2312" w:cs="Arial Black"/>
                <w:kern w:val="0"/>
                <w:sz w:val="28"/>
                <w:szCs w:val="28"/>
              </w:rPr>
            </w:pPr>
            <w:r>
              <w:rPr>
                <w:rFonts w:hint="eastAsia" w:ascii="仿宋_GB2312" w:hAnsi="仿宋" w:eastAsia="仿宋_GB2312"/>
                <w:sz w:val="24"/>
                <w:szCs w:val="24"/>
              </w:rPr>
              <w:t>行政单位</w:t>
            </w:r>
          </w:p>
        </w:tc>
        <w:tc>
          <w:tcPr>
            <w:tcW w:w="2622" w:type="dxa"/>
            <w:noWrap w:val="0"/>
            <w:vAlign w:val="top"/>
          </w:tcPr>
          <w:p w14:paraId="6050CE82">
            <w:pPr>
              <w:spacing w:line="560" w:lineRule="exact"/>
              <w:jc w:val="center"/>
              <w:rPr>
                <w:rFonts w:ascii="仿宋_GB2312" w:hAnsi="Calibri" w:eastAsia="仿宋_GB2312" w:cs="Arial Black"/>
                <w:kern w:val="0"/>
                <w:sz w:val="28"/>
                <w:szCs w:val="28"/>
              </w:rPr>
            </w:pPr>
            <w:r>
              <w:rPr>
                <w:rFonts w:hint="eastAsia" w:ascii="仿宋_GB2312" w:hAnsi="仿宋" w:eastAsia="仿宋_GB2312"/>
                <w:sz w:val="24"/>
                <w:szCs w:val="24"/>
              </w:rPr>
              <w:t>财政拨款</w:t>
            </w:r>
          </w:p>
        </w:tc>
      </w:tr>
      <w:tr w14:paraId="377ED2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1" w:hRule="atLeast"/>
          <w:jc w:val="center"/>
        </w:trPr>
        <w:tc>
          <w:tcPr>
            <w:tcW w:w="968" w:type="dxa"/>
            <w:noWrap w:val="0"/>
            <w:vAlign w:val="top"/>
          </w:tcPr>
          <w:p w14:paraId="0115E13B">
            <w:pPr>
              <w:spacing w:line="560" w:lineRule="exact"/>
              <w:jc w:val="center"/>
              <w:rPr>
                <w:rFonts w:ascii="仿宋_GB2312" w:hAnsi="Calibri" w:eastAsia="仿宋_GB2312" w:cs="Arial Black"/>
                <w:kern w:val="0"/>
                <w:sz w:val="28"/>
                <w:szCs w:val="28"/>
              </w:rPr>
            </w:pPr>
            <w:r>
              <w:rPr>
                <w:rFonts w:hint="eastAsia" w:ascii="仿宋_GB2312" w:hAnsi="Calibri" w:eastAsia="仿宋_GB2312" w:cs="Arial Black"/>
                <w:kern w:val="0"/>
                <w:sz w:val="28"/>
                <w:szCs w:val="28"/>
              </w:rPr>
              <w:t>2</w:t>
            </w:r>
          </w:p>
        </w:tc>
        <w:tc>
          <w:tcPr>
            <w:tcW w:w="3426" w:type="dxa"/>
            <w:noWrap w:val="0"/>
            <w:vAlign w:val="top"/>
          </w:tcPr>
          <w:p w14:paraId="0B9E2A3B">
            <w:pPr>
              <w:spacing w:line="560" w:lineRule="exact"/>
              <w:rPr>
                <w:rFonts w:ascii="仿宋_GB2312" w:hAnsi="Calibri" w:eastAsia="仿宋_GB2312" w:cs="Arial Black"/>
                <w:kern w:val="0"/>
                <w:sz w:val="28"/>
                <w:szCs w:val="28"/>
              </w:rPr>
            </w:pPr>
            <w:r>
              <w:rPr>
                <w:rFonts w:hint="eastAsia" w:ascii="仿宋_GB2312" w:hAnsi="仿宋" w:eastAsia="仿宋_GB2312"/>
                <w:sz w:val="24"/>
                <w:szCs w:val="24"/>
              </w:rPr>
              <w:t>石家庄市藁城区梅花惨案纪念馆</w:t>
            </w:r>
          </w:p>
        </w:tc>
        <w:tc>
          <w:tcPr>
            <w:tcW w:w="2404" w:type="dxa"/>
            <w:noWrap w:val="0"/>
            <w:vAlign w:val="top"/>
          </w:tcPr>
          <w:p w14:paraId="32A3DA2C">
            <w:pPr>
              <w:spacing w:line="560" w:lineRule="exact"/>
              <w:jc w:val="center"/>
              <w:rPr>
                <w:rFonts w:ascii="仿宋_GB2312" w:hAnsi="Calibri" w:eastAsia="仿宋_GB2312" w:cs="Arial Black"/>
                <w:kern w:val="0"/>
                <w:sz w:val="28"/>
                <w:szCs w:val="28"/>
              </w:rPr>
            </w:pPr>
            <w:r>
              <w:rPr>
                <w:rFonts w:hint="eastAsia" w:ascii="仿宋_GB2312" w:hAnsi="仿宋" w:eastAsia="仿宋_GB2312"/>
                <w:sz w:val="24"/>
                <w:szCs w:val="24"/>
              </w:rPr>
              <w:t>财政补助事业单位</w:t>
            </w:r>
          </w:p>
        </w:tc>
        <w:tc>
          <w:tcPr>
            <w:tcW w:w="2622" w:type="dxa"/>
            <w:noWrap w:val="0"/>
            <w:vAlign w:val="top"/>
          </w:tcPr>
          <w:p w14:paraId="07695B15">
            <w:pPr>
              <w:spacing w:line="560" w:lineRule="exact"/>
              <w:jc w:val="center"/>
              <w:rPr>
                <w:rFonts w:ascii="仿宋_GB2312" w:hAnsi="Calibri" w:eastAsia="仿宋_GB2312" w:cs="Arial Black"/>
                <w:kern w:val="0"/>
                <w:sz w:val="28"/>
                <w:szCs w:val="28"/>
              </w:rPr>
            </w:pPr>
            <w:r>
              <w:rPr>
                <w:rFonts w:hint="eastAsia" w:ascii="仿宋_GB2312" w:hAnsi="仿宋" w:eastAsia="仿宋_GB2312"/>
                <w:sz w:val="24"/>
                <w:szCs w:val="24"/>
              </w:rPr>
              <w:t>财政性资金基本保证</w:t>
            </w:r>
          </w:p>
        </w:tc>
      </w:tr>
      <w:tr w14:paraId="623815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52" w:hRule="atLeast"/>
          <w:jc w:val="center"/>
        </w:trPr>
        <w:tc>
          <w:tcPr>
            <w:tcW w:w="9420" w:type="dxa"/>
            <w:gridSpan w:val="4"/>
            <w:tcBorders>
              <w:top w:val="single" w:color="auto" w:sz="4" w:space="0"/>
              <w:left w:val="nil"/>
              <w:bottom w:val="nil"/>
              <w:right w:val="nil"/>
            </w:tcBorders>
            <w:noWrap w:val="0"/>
            <w:vAlign w:val="top"/>
          </w:tcPr>
          <w:p w14:paraId="1724AC4A">
            <w:pPr>
              <w:spacing w:line="560" w:lineRule="exact"/>
              <w:jc w:val="left"/>
              <w:rPr>
                <w:rFonts w:ascii="仿宋_GB2312" w:hAnsi="Calibri" w:eastAsia="仿宋_GB2312" w:cs="Arial Black"/>
                <w:kern w:val="0"/>
                <w:sz w:val="28"/>
                <w:szCs w:val="28"/>
              </w:rPr>
            </w:pPr>
            <w:r>
              <w:rPr>
                <w:rFonts w:hint="eastAsia" w:ascii="仿宋_GB2312" w:hAnsi="Calibri" w:eastAsia="仿宋_GB2312" w:cs="Arial Black"/>
                <w:kern w:val="0"/>
                <w:sz w:val="28"/>
                <w:szCs w:val="28"/>
              </w:rPr>
              <w:t>注：1、单位基本性质分为行政单位、参公事业单位、财政补助事业单位、经费自理事业单位四类。</w:t>
            </w:r>
          </w:p>
          <w:p w14:paraId="6523EE6F">
            <w:pPr>
              <w:spacing w:line="560" w:lineRule="exact"/>
              <w:ind w:firstLine="560" w:firstLineChars="200"/>
              <w:jc w:val="left"/>
              <w:rPr>
                <w:rFonts w:ascii="仿宋_GB2312" w:hAnsi="Calibri" w:eastAsia="仿宋_GB2312" w:cs="Arial Black"/>
                <w:kern w:val="0"/>
                <w:sz w:val="28"/>
                <w:szCs w:val="28"/>
              </w:rPr>
            </w:pPr>
            <w:r>
              <w:rPr>
                <w:rFonts w:hint="eastAsia" w:ascii="仿宋_GB2312" w:hAnsi="Calibri" w:eastAsia="仿宋_GB2312" w:cs="Arial Black"/>
                <w:kern w:val="0"/>
                <w:sz w:val="28"/>
                <w:szCs w:val="28"/>
              </w:rPr>
              <w:t>2、经费形式分为财政拨款、财政性资金基本保证、财政性资金定额或定项补助、财政性资金零补助四类。</w:t>
            </w:r>
          </w:p>
        </w:tc>
      </w:tr>
    </w:tbl>
    <w:p w14:paraId="2A48A1D5">
      <w:pPr>
        <w:widowControl/>
        <w:spacing w:after="160" w:afterLines="0" w:line="580" w:lineRule="exact"/>
        <w:ind w:firstLine="640" w:firstLineChars="200"/>
        <w:rPr>
          <w:rFonts w:ascii="Times New Roman" w:hAnsi="Times New Roman" w:eastAsia="黑体" w:cs="Times New Roman"/>
          <w:sz w:val="32"/>
          <w:szCs w:val="32"/>
        </w:rPr>
      </w:pPr>
    </w:p>
    <w:p w14:paraId="37636628">
      <w:pPr>
        <w:widowControl/>
        <w:spacing w:after="160" w:afterLines="0" w:line="580" w:lineRule="exact"/>
        <w:ind w:firstLine="640" w:firstLineChars="200"/>
        <w:rPr>
          <w:rFonts w:ascii="Times New Roman" w:hAnsi="Times New Roman" w:eastAsia="黑体" w:cs="Times New Roman"/>
          <w:sz w:val="32"/>
          <w:szCs w:val="32"/>
        </w:rPr>
      </w:pPr>
    </w:p>
    <w:p w14:paraId="182401AC"/>
    <w:p w14:paraId="2F1EF8A9">
      <w:pPr>
        <w:widowControl/>
        <w:spacing w:after="160" w:afterLines="0" w:line="580" w:lineRule="exact"/>
        <w:ind w:firstLine="1440" w:firstLineChars="200"/>
        <w:rPr>
          <w:rFonts w:ascii="Times New Roman" w:hAnsi="Times New Roman" w:eastAsia="黑体" w:cs="Times New Roman"/>
          <w:sz w:val="32"/>
          <w:szCs w:val="32"/>
        </w:rPr>
        <w:sectPr>
          <w:headerReference r:id="rId10" w:type="default"/>
          <w:pgSz w:w="11906" w:h="16838"/>
          <w:pgMar w:top="2098" w:right="1531" w:bottom="1984" w:left="1531" w:header="851" w:footer="992" w:gutter="0"/>
          <w:pgNumType w:fmt="numberInDash"/>
          <w:cols w:space="720" w:num="1"/>
          <w:titlePg/>
          <w:docGrid w:type="lines" w:linePitch="312" w:charSpace="0"/>
        </w:sectPr>
      </w:pPr>
      <w:r>
        <w:rPr>
          <w:sz w:val="72"/>
        </w:rPr>
        <mc:AlternateContent>
          <mc:Choice Requires="wps">
            <w:drawing>
              <wp:anchor distT="0" distB="0" distL="114300" distR="114300" simplePos="0" relativeHeight="251661312" behindDoc="0" locked="0" layoutInCell="1" allowOverlap="1">
                <wp:simplePos x="0" y="0"/>
                <wp:positionH relativeFrom="column">
                  <wp:posOffset>-1088390</wp:posOffset>
                </wp:positionH>
                <wp:positionV relativeFrom="paragraph">
                  <wp:posOffset>3024505</wp:posOffset>
                </wp:positionV>
                <wp:extent cx="7793355" cy="2200275"/>
                <wp:effectExtent l="0" t="0" r="0" b="0"/>
                <wp:wrapNone/>
                <wp:docPr id="12" name="文本框 151"/>
                <wp:cNvGraphicFramePr/>
                <a:graphic xmlns:a="http://schemas.openxmlformats.org/drawingml/2006/main">
                  <a:graphicData uri="http://schemas.microsoft.com/office/word/2010/wordprocessingShape">
                    <wps:wsp>
                      <wps:cNvSpPr/>
                      <wps:spPr>
                        <a:xfrm>
                          <a:off x="0" y="0"/>
                          <a:ext cx="7793355" cy="2200275"/>
                        </a:xfrm>
                        <a:prstGeom prst="rect">
                          <a:avLst/>
                        </a:prstGeom>
                        <a:noFill/>
                        <a:ln>
                          <a:noFill/>
                        </a:ln>
                      </wps:spPr>
                      <wps:txbx>
                        <w:txbxContent>
                          <w:p w14:paraId="4C420D3C">
                            <w:pPr>
                              <w:widowControl/>
                              <w:jc w:val="center"/>
                              <w:rPr>
                                <w:rFonts w:ascii="黑体" w:hAnsi="黑体" w:eastAsia="黑体" w:cs="黑体"/>
                                <w:color w:val="000000"/>
                                <w:sz w:val="96"/>
                                <w:szCs w:val="96"/>
                              </w:rPr>
                            </w:pPr>
                            <w:r>
                              <w:rPr>
                                <w:rFonts w:hint="eastAsia" w:ascii="黑体" w:hAnsi="黑体" w:eastAsia="黑体" w:cs="黑体"/>
                                <w:color w:val="000000"/>
                                <w:sz w:val="96"/>
                                <w:szCs w:val="96"/>
                              </w:rPr>
                              <w:t xml:space="preserve"> </w:t>
                            </w:r>
                          </w:p>
                          <w:p w14:paraId="466F7812">
                            <w:pPr>
                              <w:widowControl/>
                              <w:jc w:val="center"/>
                              <w:rPr>
                                <w:rFonts w:ascii="黑体" w:hAnsi="黑体" w:eastAsia="黑体" w:cs="黑体"/>
                                <w:color w:val="000000"/>
                                <w:sz w:val="96"/>
                                <w:szCs w:val="96"/>
                              </w:rPr>
                            </w:pPr>
                          </w:p>
                        </w:txbxContent>
                      </wps:txbx>
                      <wps:bodyPr vert="horz" wrap="square" upright="0"/>
                    </wps:wsp>
                  </a:graphicData>
                </a:graphic>
              </wp:anchor>
            </w:drawing>
          </mc:Choice>
          <mc:Fallback>
            <w:pict>
              <v:rect id="文本框 151" o:spid="_x0000_s1026" o:spt="1" style="position:absolute;left:0pt;margin-left:-85.7pt;margin-top:238.15pt;height:173.25pt;width:613.65pt;z-index:251661312;mso-width-relative:page;mso-height-relative:page;" filled="f" stroked="f" coordsize="21600,21600" o:gfxdata="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">
                <v:fill on="f" focussize="0,0"/>
                <v:stroke on="f"/>
                <v:imagedata o:title=""/>
                <o:lock v:ext="edit" aspectratio="f"/>
                <v:textbox>
                  <w:txbxContent>
                    <w:p w14:paraId="4C420D3C">
                      <w:pPr>
                        <w:widowControl/>
                        <w:jc w:val="center"/>
                        <w:rPr>
                          <w:rFonts w:ascii="黑体" w:hAnsi="黑体" w:eastAsia="黑体" w:cs="黑体"/>
                          <w:color w:val="000000"/>
                          <w:sz w:val="96"/>
                          <w:szCs w:val="96"/>
                        </w:rPr>
                      </w:pPr>
                      <w:r>
                        <w:rPr>
                          <w:rFonts w:hint="eastAsia" w:ascii="黑体" w:hAnsi="黑体" w:eastAsia="黑体" w:cs="黑体"/>
                          <w:color w:val="000000"/>
                          <w:sz w:val="96"/>
                          <w:szCs w:val="96"/>
                        </w:rPr>
                        <w:t xml:space="preserve"> </w:t>
                      </w:r>
                    </w:p>
                    <w:p w14:paraId="466F7812">
                      <w:pPr>
                        <w:widowControl/>
                        <w:jc w:val="center"/>
                        <w:rPr>
                          <w:rFonts w:ascii="黑体" w:hAnsi="黑体" w:eastAsia="黑体" w:cs="黑体"/>
                          <w:color w:val="000000"/>
                          <w:sz w:val="96"/>
                          <w:szCs w:val="96"/>
                        </w:rPr>
                      </w:pPr>
                    </w:p>
                  </w:txbxContent>
                </v:textbox>
              </v:rect>
            </w:pict>
          </mc:Fallback>
        </mc:AlternateContent>
      </w:r>
    </w:p>
    <w:p w14:paraId="0A3ADFE0">
      <w:pPr>
        <w:widowControl/>
        <w:spacing w:line="580" w:lineRule="exact"/>
        <w:ind w:firstLine="640" w:firstLineChars="200"/>
        <w:rPr>
          <w:rFonts w:eastAsia="黑体"/>
          <w:sz w:val="32"/>
          <w:szCs w:val="32"/>
        </w:rPr>
      </w:pPr>
    </w:p>
    <w:p w14:paraId="1F417C5C">
      <w:pPr>
        <w:jc w:val="center"/>
        <w:rPr>
          <w:rFonts w:ascii="黑体" w:hAnsi="黑体" w:eastAsia="黑体" w:cs="黑体"/>
          <w:sz w:val="56"/>
          <w:szCs w:val="72"/>
        </w:rPr>
      </w:pPr>
    </w:p>
    <w:p w14:paraId="1043C37A">
      <w:pPr>
        <w:jc w:val="center"/>
        <w:rPr>
          <w:rFonts w:ascii="黑体" w:hAnsi="黑体" w:eastAsia="黑体" w:cs="黑体"/>
          <w:sz w:val="56"/>
          <w:szCs w:val="72"/>
        </w:rPr>
      </w:pPr>
    </w:p>
    <w:p w14:paraId="2A803B05">
      <w:pPr>
        <w:jc w:val="center"/>
        <w:rPr>
          <w:rFonts w:ascii="黑体" w:hAnsi="黑体" w:eastAsia="黑体" w:cs="黑体"/>
          <w:sz w:val="56"/>
          <w:szCs w:val="72"/>
        </w:rPr>
      </w:pPr>
    </w:p>
    <w:p w14:paraId="5888A108">
      <w:pPr>
        <w:jc w:val="center"/>
        <w:rPr>
          <w:rFonts w:ascii="黑体" w:hAnsi="黑体" w:eastAsia="黑体" w:cs="黑体"/>
          <w:sz w:val="56"/>
          <w:szCs w:val="72"/>
        </w:rPr>
      </w:pPr>
    </w:p>
    <w:p w14:paraId="61722389">
      <w:pPr>
        <w:jc w:val="center"/>
        <w:rPr>
          <w:rFonts w:ascii="黑体" w:hAnsi="黑体" w:eastAsia="黑体" w:cs="黑体"/>
          <w:sz w:val="56"/>
          <w:szCs w:val="72"/>
        </w:rPr>
      </w:pPr>
    </w:p>
    <w:p w14:paraId="1677596B">
      <w:pPr>
        <w:jc w:val="center"/>
        <w:rPr>
          <w:rFonts w:ascii="黑体" w:hAnsi="黑体" w:eastAsia="黑体" w:cs="黑体"/>
          <w:sz w:val="56"/>
          <w:szCs w:val="72"/>
        </w:rPr>
      </w:pPr>
    </w:p>
    <w:p w14:paraId="523C2531">
      <w:pPr>
        <w:jc w:val="center"/>
        <w:rPr>
          <w:rFonts w:ascii="黑体" w:hAnsi="黑体" w:eastAsia="黑体" w:cs="黑体"/>
          <w:sz w:val="56"/>
          <w:szCs w:val="72"/>
        </w:rPr>
      </w:pPr>
    </w:p>
    <w:p w14:paraId="11FB3B33">
      <w:pPr>
        <w:jc w:val="center"/>
        <w:rPr>
          <w:rFonts w:ascii="黑体" w:hAnsi="黑体" w:eastAsia="黑体" w:cs="黑体"/>
          <w:sz w:val="56"/>
          <w:szCs w:val="72"/>
        </w:rPr>
      </w:pPr>
    </w:p>
    <w:p w14:paraId="3339A3AF">
      <w:pPr>
        <w:jc w:val="center"/>
        <w:rPr>
          <w:rFonts w:ascii="黑体" w:hAnsi="黑体" w:eastAsia="黑体" w:cs="黑体"/>
          <w:sz w:val="56"/>
          <w:szCs w:val="72"/>
        </w:rPr>
      </w:pPr>
      <w:r>
        <w:rPr>
          <w:sz w:val="72"/>
        </w:rPr>
        <mc:AlternateContent>
          <mc:Choice Requires="wps">
            <w:drawing>
              <wp:anchor distT="0" distB="0" distL="114300" distR="114300" simplePos="0" relativeHeight="251662336" behindDoc="0" locked="0" layoutInCell="1" allowOverlap="1">
                <wp:simplePos x="0" y="0"/>
                <wp:positionH relativeFrom="column">
                  <wp:posOffset>-1028065</wp:posOffset>
                </wp:positionH>
                <wp:positionV relativeFrom="paragraph">
                  <wp:posOffset>-2637155</wp:posOffset>
                </wp:positionV>
                <wp:extent cx="7793355" cy="3341370"/>
                <wp:effectExtent l="6350" t="6350" r="10795" b="24130"/>
                <wp:wrapNone/>
                <wp:docPr id="13" name="文本框 2"/>
                <wp:cNvGraphicFramePr/>
                <a:graphic xmlns:a="http://schemas.openxmlformats.org/drawingml/2006/main">
                  <a:graphicData uri="http://schemas.microsoft.com/office/word/2010/wordprocessingShape">
                    <wps:wsp>
                      <wps:cNvSpPr/>
                      <wps:spPr>
                        <a:xfrm>
                          <a:off x="0" y="0"/>
                          <a:ext cx="7793355" cy="3341370"/>
                        </a:xfrm>
                        <a:prstGeom prst="rect">
                          <a:avLst/>
                        </a:prstGeom>
                        <a:pattFill prst="pct5">
                          <a:fgClr>
                            <a:srgbClr val="7F7F7F">
                              <a:alpha val="100000"/>
                            </a:srgbClr>
                          </a:fgClr>
                          <a:bgClr>
                            <a:srgbClr val="FFFFFF">
                              <a:alpha val="100000"/>
                            </a:srgbClr>
                          </a:bgClr>
                        </a:pattFill>
                        <a:ln w="12700" cap="flat" cmpd="sng">
                          <a:solidFill>
                            <a:srgbClr val="A5A5A5"/>
                          </a:solidFill>
                          <a:prstDash val="solid"/>
                          <a:miter/>
                          <a:headEnd type="none" w="med" len="med"/>
                          <a:tailEnd type="none" w="med" len="med"/>
                        </a:ln>
                      </wps:spPr>
                      <wps:txbx>
                        <w:txbxContent>
                          <w:p w14:paraId="5388BA8F">
                            <w:pPr>
                              <w:widowControl/>
                              <w:jc w:val="center"/>
                              <w:rPr>
                                <w:rFonts w:ascii="黑体" w:hAnsi="黑体" w:eastAsia="黑体" w:cs="黑体"/>
                                <w:color w:val="000000"/>
                                <w:sz w:val="90"/>
                                <w:szCs w:val="90"/>
                              </w:rPr>
                            </w:pPr>
                            <w:r>
                              <w:rPr>
                                <w:rFonts w:hint="eastAsia" w:ascii="黑体" w:hAnsi="黑体" w:eastAsia="黑体" w:cs="黑体"/>
                                <w:color w:val="000000"/>
                                <w:sz w:val="90"/>
                                <w:szCs w:val="90"/>
                              </w:rPr>
                              <w:t xml:space="preserve">第二部分 </w:t>
                            </w:r>
                          </w:p>
                          <w:p w14:paraId="77146BDE">
                            <w:pPr>
                              <w:widowControl/>
                              <w:jc w:val="center"/>
                              <w:rPr>
                                <w:rFonts w:ascii="黑体" w:hAnsi="黑体" w:eastAsia="黑体" w:cs="黑体"/>
                                <w:color w:val="000000"/>
                                <w:sz w:val="90"/>
                                <w:szCs w:val="90"/>
                              </w:rPr>
                            </w:pPr>
                            <w:r>
                              <w:rPr>
                                <w:rFonts w:hint="eastAsia" w:ascii="黑体" w:hAnsi="黑体" w:eastAsia="黑体" w:cs="黑体"/>
                                <w:color w:val="000000"/>
                                <w:sz w:val="90"/>
                                <w:szCs w:val="90"/>
                              </w:rPr>
                              <w:t>2020年部门决算情况说明</w:t>
                            </w:r>
                          </w:p>
                          <w:p w14:paraId="55341336">
                            <w:pPr>
                              <w:widowControl/>
                              <w:jc w:val="center"/>
                            </w:pPr>
                          </w:p>
                          <w:p w14:paraId="19CBE996"/>
                        </w:txbxContent>
                      </wps:txbx>
                      <wps:bodyPr vert="horz" wrap="square" upright="0"/>
                    </wps:wsp>
                  </a:graphicData>
                </a:graphic>
              </wp:anchor>
            </w:drawing>
          </mc:Choice>
          <mc:Fallback>
            <w:pict>
              <v:rect id="文本框 2" o:spid="_x0000_s1026" o:spt="1" style="position:absolute;left:0pt;margin-left:-80.95pt;margin-top:-207.65pt;height:263.1pt;width:613.65pt;z-index:251662336;mso-width-relative:page;mso-height-relative:page;" fillcolor="#7F7F7F" filled="t" stroked="t" coordsize="21600,21600" o:gfxdata="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">
                <v:fill type="pattern" on="t" color2="#FFFFFF" o:title="5%" focussize="0,0" r:id="rId14"/>
                <v:stroke weight="1pt" color="#A5A5A5" joinstyle="miter"/>
                <v:imagedata o:title=""/>
                <o:lock v:ext="edit" aspectratio="f"/>
                <v:textbox>
                  <w:txbxContent>
                    <w:p w14:paraId="5388BA8F">
                      <w:pPr>
                        <w:widowControl/>
                        <w:jc w:val="center"/>
                        <w:rPr>
                          <w:rFonts w:ascii="黑体" w:hAnsi="黑体" w:eastAsia="黑体" w:cs="黑体"/>
                          <w:color w:val="000000"/>
                          <w:sz w:val="90"/>
                          <w:szCs w:val="90"/>
                        </w:rPr>
                      </w:pPr>
                      <w:r>
                        <w:rPr>
                          <w:rFonts w:hint="eastAsia" w:ascii="黑体" w:hAnsi="黑体" w:eastAsia="黑体" w:cs="黑体"/>
                          <w:color w:val="000000"/>
                          <w:sz w:val="90"/>
                          <w:szCs w:val="90"/>
                        </w:rPr>
                        <w:t xml:space="preserve">第二部分 </w:t>
                      </w:r>
                    </w:p>
                    <w:p w14:paraId="77146BDE">
                      <w:pPr>
                        <w:widowControl/>
                        <w:jc w:val="center"/>
                        <w:rPr>
                          <w:rFonts w:ascii="黑体" w:hAnsi="黑体" w:eastAsia="黑体" w:cs="黑体"/>
                          <w:color w:val="000000"/>
                          <w:sz w:val="90"/>
                          <w:szCs w:val="90"/>
                        </w:rPr>
                      </w:pPr>
                      <w:r>
                        <w:rPr>
                          <w:rFonts w:hint="eastAsia" w:ascii="黑体" w:hAnsi="黑体" w:eastAsia="黑体" w:cs="黑体"/>
                          <w:color w:val="000000"/>
                          <w:sz w:val="90"/>
                          <w:szCs w:val="90"/>
                        </w:rPr>
                        <w:t>2020年部门决算情况说明</w:t>
                      </w:r>
                    </w:p>
                    <w:p w14:paraId="55341336">
                      <w:pPr>
                        <w:widowControl/>
                        <w:jc w:val="center"/>
                      </w:pPr>
                    </w:p>
                    <w:p w14:paraId="19CBE996"/>
                  </w:txbxContent>
                </v:textbox>
              </v:rect>
            </w:pict>
          </mc:Fallback>
        </mc:AlternateContent>
      </w:r>
    </w:p>
    <w:p w14:paraId="43A3FCFF">
      <w:pPr>
        <w:jc w:val="center"/>
        <w:rPr>
          <w:rFonts w:ascii="黑体" w:hAnsi="黑体" w:eastAsia="黑体" w:cs="黑体"/>
          <w:sz w:val="56"/>
          <w:szCs w:val="72"/>
        </w:rPr>
      </w:pPr>
    </w:p>
    <w:p w14:paraId="4CBF8BEE">
      <w:pPr>
        <w:keepNext/>
        <w:keepLines/>
        <w:snapToGrid w:val="0"/>
        <w:spacing w:line="600" w:lineRule="exact"/>
        <w:ind w:firstLine="420" w:firstLineChars="200"/>
        <w:outlineLvl w:val="1"/>
        <w:rPr>
          <w:rFonts w:ascii="黑体" w:hAnsi="Calibri" w:eastAsia="黑体" w:cs="Times New Roman"/>
          <w:sz w:val="32"/>
          <w:szCs w:val="32"/>
        </w:rPr>
      </w:pPr>
      <w:r>
        <w:br w:type="page"/>
      </w:r>
      <w:r>
        <w:rPr>
          <w:rFonts w:hint="eastAsia" w:ascii="黑体" w:hAnsi="Calibri" w:eastAsia="黑体" w:cs="Times New Roman"/>
          <w:sz w:val="32"/>
          <w:szCs w:val="32"/>
        </w:rPr>
        <w:t>一、收入</w:t>
      </w:r>
      <w:r>
        <w:rPr>
          <w:rFonts w:hint="eastAsia" w:ascii="黑体" w:hAnsi="Cambria" w:eastAsia="黑体" w:cs="黑体"/>
          <w:kern w:val="0"/>
          <w:sz w:val="32"/>
          <w:szCs w:val="32"/>
        </w:rPr>
        <w:t>支出</w:t>
      </w:r>
      <w:r>
        <w:rPr>
          <w:rFonts w:hint="eastAsia" w:ascii="黑体" w:hAnsi="Calibri" w:eastAsia="黑体" w:cs="Times New Roman"/>
          <w:sz w:val="32"/>
          <w:szCs w:val="32"/>
        </w:rPr>
        <w:t>决算总体情况说明</w:t>
      </w:r>
    </w:p>
    <w:p w14:paraId="3DE7B0FD">
      <w:pPr>
        <w:adjustRightInd w:val="0"/>
        <w:snapToGrid w:val="0"/>
        <w:spacing w:line="600" w:lineRule="exact"/>
        <w:ind w:firstLine="640" w:firstLineChars="200"/>
        <w:rPr>
          <w:rFonts w:ascii="仿宋_GB2312" w:hAnsi="Times New Roman" w:eastAsia="仿宋_GB2312" w:cs="Wingdings"/>
          <w:sz w:val="32"/>
          <w:szCs w:val="32"/>
        </w:rPr>
      </w:pPr>
      <w:r>
        <w:rPr>
          <w:rFonts w:hint="eastAsia" w:ascii="仿宋_GB2312" w:hAnsi="Times New Roman" w:eastAsia="仿宋_GB2312" w:cs="Wingdings"/>
          <w:sz w:val="32"/>
          <w:szCs w:val="32"/>
        </w:rPr>
        <w:t>本部门2020年度收、支总计（含结转和结余）</w:t>
      </w:r>
      <w:r>
        <w:rPr>
          <w:rFonts w:hint="eastAsia" w:ascii="仿宋_GB2312" w:hAnsi="Times New Roman" w:eastAsia="仿宋_GB2312" w:cs="Wingdings"/>
          <w:sz w:val="32"/>
          <w:szCs w:val="32"/>
          <w:lang w:val="en-US" w:eastAsia="zh-CN"/>
        </w:rPr>
        <w:t>913.78</w:t>
      </w:r>
      <w:r>
        <w:rPr>
          <w:rFonts w:hint="eastAsia" w:ascii="仿宋_GB2312" w:hAnsi="Times New Roman" w:eastAsia="仿宋_GB2312" w:cs="Wingdings"/>
          <w:sz w:val="32"/>
          <w:szCs w:val="32"/>
        </w:rPr>
        <w:t>万元。与2019年度决算相比，收支各减少</w:t>
      </w:r>
      <w:r>
        <w:rPr>
          <w:rFonts w:hint="eastAsia" w:ascii="仿宋_GB2312" w:hAnsi="Times New Roman" w:eastAsia="仿宋_GB2312" w:cs="Wingdings"/>
          <w:sz w:val="32"/>
          <w:szCs w:val="32"/>
          <w:lang w:val="en-US" w:eastAsia="zh-CN"/>
        </w:rPr>
        <w:t>1186.12</w:t>
      </w:r>
      <w:r>
        <w:rPr>
          <w:rFonts w:hint="eastAsia" w:ascii="仿宋_GB2312" w:hAnsi="Times New Roman" w:eastAsia="仿宋_GB2312" w:cs="Wingdings"/>
          <w:sz w:val="32"/>
          <w:szCs w:val="32"/>
        </w:rPr>
        <w:t>万元，下降</w:t>
      </w:r>
      <w:r>
        <w:rPr>
          <w:rFonts w:hint="eastAsia" w:ascii="仿宋_GB2312" w:hAnsi="Times New Roman" w:eastAsia="仿宋_GB2312" w:cs="Wingdings"/>
          <w:sz w:val="32"/>
          <w:szCs w:val="32"/>
          <w:lang w:val="en-US" w:eastAsia="zh-CN"/>
        </w:rPr>
        <w:t>129.8</w:t>
      </w:r>
      <w:r>
        <w:rPr>
          <w:rFonts w:hint="eastAsia" w:ascii="仿宋_GB2312" w:hAnsi="Times New Roman" w:eastAsia="仿宋_GB2312" w:cs="Wingdings"/>
          <w:sz w:val="32"/>
          <w:szCs w:val="32"/>
        </w:rPr>
        <w:t>%，主要原因是</w:t>
      </w:r>
      <w:r>
        <w:rPr>
          <w:rFonts w:hint="eastAsia" w:ascii="仿宋_GB2312" w:hAnsi="Times New Roman" w:eastAsia="仿宋_GB2312" w:cs="Wingdings"/>
          <w:sz w:val="32"/>
          <w:szCs w:val="32"/>
          <w:lang w:eastAsia="zh-CN"/>
        </w:rPr>
        <w:t>机构改革，</w:t>
      </w:r>
      <w:r>
        <w:rPr>
          <w:rFonts w:hint="eastAsia" w:ascii="仿宋_GB2312" w:hAnsi="仿宋" w:eastAsia="仿宋_GB2312"/>
          <w:sz w:val="32"/>
          <w:szCs w:val="32"/>
        </w:rPr>
        <w:t>宣传部</w:t>
      </w:r>
      <w:r>
        <w:rPr>
          <w:rFonts w:hint="eastAsia" w:ascii="仿宋_GB2312" w:hAnsi="仿宋" w:eastAsia="仿宋_GB2312"/>
          <w:sz w:val="32"/>
          <w:szCs w:val="32"/>
          <w:lang w:eastAsia="zh-CN"/>
        </w:rPr>
        <w:t>减少</w:t>
      </w:r>
      <w:r>
        <w:rPr>
          <w:rFonts w:hint="eastAsia" w:ascii="仿宋_GB2312" w:hAnsi="仿宋" w:eastAsia="仿宋_GB2312"/>
          <w:sz w:val="32"/>
          <w:szCs w:val="32"/>
        </w:rPr>
        <w:t>电视台和报社为下属单位，收支较201</w:t>
      </w:r>
      <w:r>
        <w:rPr>
          <w:rFonts w:hint="eastAsia" w:ascii="仿宋_GB2312" w:hAnsi="仿宋" w:eastAsia="仿宋_GB2312"/>
          <w:sz w:val="32"/>
          <w:szCs w:val="32"/>
          <w:lang w:val="en-US" w:eastAsia="zh-CN"/>
        </w:rPr>
        <w:t>9</w:t>
      </w:r>
      <w:r>
        <w:rPr>
          <w:rFonts w:hint="eastAsia" w:ascii="仿宋_GB2312" w:hAnsi="仿宋" w:eastAsia="仿宋_GB2312"/>
          <w:sz w:val="32"/>
          <w:szCs w:val="32"/>
        </w:rPr>
        <w:t>年</w:t>
      </w:r>
      <w:r>
        <w:rPr>
          <w:rFonts w:hint="eastAsia" w:ascii="仿宋_GB2312" w:hAnsi="仿宋" w:eastAsia="仿宋_GB2312"/>
          <w:sz w:val="32"/>
          <w:szCs w:val="32"/>
          <w:lang w:eastAsia="zh-CN"/>
        </w:rPr>
        <w:t>减少</w:t>
      </w:r>
      <w:r>
        <w:rPr>
          <w:rFonts w:hint="eastAsia" w:ascii="仿宋_GB2312" w:hAnsi="Times New Roman" w:eastAsia="仿宋_GB2312" w:cs="Wingdings"/>
          <w:sz w:val="32"/>
          <w:szCs w:val="32"/>
        </w:rPr>
        <w:t>。</w:t>
      </w:r>
      <w:r>
        <w:rPr>
          <w:rFonts w:hint="eastAsia" w:ascii="仿宋_GB2312" w:hAnsi="Times New Roman" w:eastAsia="仿宋_GB2312" w:cs="Wingdings"/>
          <w:sz w:val="32"/>
          <w:szCs w:val="32"/>
        </w:rPr>
        <mc:AlternateContent>
          <mc:Choice Requires="wps">
            <w:drawing>
              <wp:anchor distT="0" distB="0" distL="114300" distR="114300" simplePos="0" relativeHeight="251663360" behindDoc="1" locked="0" layoutInCell="1" allowOverlap="1">
                <wp:simplePos x="0" y="0"/>
                <wp:positionH relativeFrom="column">
                  <wp:posOffset>744220</wp:posOffset>
                </wp:positionH>
                <wp:positionV relativeFrom="paragraph">
                  <wp:posOffset>62230</wp:posOffset>
                </wp:positionV>
                <wp:extent cx="4157980" cy="2273300"/>
                <wp:effectExtent l="0" t="0" r="0" b="0"/>
                <wp:wrapNone/>
                <wp:docPr id="14" name="图表 27"/>
                <wp:cNvGraphicFramePr/>
                <a:graphic xmlns:a="http://schemas.openxmlformats.org/drawingml/2006/main">
                  <a:graphicData uri="http://schemas.microsoft.com/office/word/2010/wordprocessingShape">
                    <wps:wsp>
                      <wps:cNvSpPr/>
                      <wps:spPr>
                        <a:xfrm>
                          <a:off x="0" y="0"/>
                          <a:ext cx="4157980" cy="2273300"/>
                        </a:xfrm>
                        <a:custGeom>
                          <a:avLst/>
                          <a:gdLst/>
                          <a:ahLst/>
                          <a:cxnLst/>
                          <a:pathLst/>
                        </a:custGeom>
                        <a:solidFill>
                          <a:srgbClr val="FFFFFF"/>
                        </a:solidFill>
                        <a:ln w="9525" cap="flat" cmpd="sng">
                          <a:solidFill>
                            <a:srgbClr val="000000"/>
                          </a:solidFill>
                          <a:prstDash val="solid"/>
                          <a:headEnd type="none" w="med" len="med"/>
                          <a:tailEnd type="none" w="med" len="med"/>
                        </a:ln>
                      </wps:spPr>
                      <wps:bodyPr wrap="square" upright="1"/>
                    </wps:wsp>
                  </a:graphicData>
                </a:graphic>
              </wp:anchor>
            </w:drawing>
          </mc:Choice>
          <mc:Fallback>
            <w:pict>
              <v:shape id="图表 27" o:spid="_x0000_s1026" o:spt="100" style="position:absolute;left:0pt;margin-left:58.6pt;margin-top:4.9pt;height:179pt;width:327.4pt;z-index:-251653120;mso-width-relative:page;mso-height-relative:page;" fillcolor="#FFFFFF" filled="t" stroked="t" coordsize="4157980,2273300" o:gfxdata="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">
                <v:fill on="t" focussize="0,0"/>
                <v:stroke color="#000000" joinstyle="round"/>
                <v:imagedata o:title=""/>
                <o:lock v:ext="edit" aspectratio="f"/>
              </v:shape>
            </w:pict>
          </mc:Fallback>
        </mc:AlternateContent>
      </w:r>
      <w:r>
        <w:rPr>
          <w:rFonts w:ascii="仿宋_GB2312" w:hAnsi="Times New Roman" w:eastAsia="仿宋_GB2312" w:cs="Wingdings"/>
          <w:sz w:val="32"/>
          <w:szCs w:val="32"/>
        </w:rPr>
        <w:tab/>
      </w:r>
      <w:r>
        <w:rPr>
          <w:rFonts w:ascii="仿宋_GB2312" w:hAnsi="Times New Roman" w:eastAsia="仿宋_GB2312" w:cs="Wingdings"/>
          <w:sz w:val="32"/>
          <w:szCs w:val="32"/>
        </w:rPr>
        <w:tab/>
      </w:r>
    </w:p>
    <w:p w14:paraId="69584B37">
      <w:pPr>
        <w:adjustRightInd w:val="0"/>
        <w:snapToGrid w:val="0"/>
        <w:spacing w:after="160" w:afterLines="0"/>
        <w:jc w:val="center"/>
        <w:rPr>
          <w:rFonts w:hint="eastAsia" w:ascii="楷体_GB2312" w:hAnsi="楷体_GB2312" w:eastAsia="楷体_GB2312" w:cs="楷体_GB2312"/>
          <w:sz w:val="24"/>
        </w:rPr>
      </w:pPr>
    </w:p>
    <w:p w14:paraId="08266A31">
      <w:pPr>
        <w:adjustRightInd w:val="0"/>
        <w:snapToGrid w:val="0"/>
        <w:spacing w:after="160" w:afterLines="0"/>
        <w:jc w:val="center"/>
        <w:rPr>
          <w:rFonts w:ascii="仿宋_GB2312" w:hAnsi="Times New Roman" w:eastAsia="仿宋_GB2312" w:cs="Wingdings"/>
          <w:sz w:val="32"/>
          <w:szCs w:val="32"/>
        </w:rPr>
      </w:pPr>
      <w:r>
        <w:rPr>
          <w:rFonts w:hint="eastAsia" w:ascii="仿宋_GB2312" w:hAnsi="Times New Roman" w:eastAsia="仿宋_GB2312" w:cs="Wingdings"/>
          <w:sz w:val="32"/>
          <w:szCs w:val="32"/>
          <w:lang w:eastAsia="zh-CN"/>
        </w:rPr>
        <w:drawing>
          <wp:anchor distT="0" distB="0" distL="114300" distR="114300" simplePos="0" relativeHeight="251670528" behindDoc="0" locked="0" layoutInCell="1" allowOverlap="1">
            <wp:simplePos x="0" y="0"/>
            <wp:positionH relativeFrom="column">
              <wp:posOffset>506095</wp:posOffset>
            </wp:positionH>
            <wp:positionV relativeFrom="paragraph">
              <wp:posOffset>12700</wp:posOffset>
            </wp:positionV>
            <wp:extent cx="3967480" cy="2460625"/>
            <wp:effectExtent l="4445" t="4445" r="9525" b="11430"/>
            <wp:wrapTopAndBottom/>
            <wp:docPr id="2" name="图表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anchor>
        </w:drawing>
      </w:r>
      <w:r>
        <w:rPr>
          <w:rFonts w:hint="eastAsia" w:ascii="楷体_GB2312" w:hAnsi="楷体_GB2312" w:eastAsia="楷体_GB2312" w:cs="楷体_GB2312"/>
          <w:sz w:val="24"/>
        </w:rPr>
        <w:t>图</w:t>
      </w:r>
      <w:r>
        <w:rPr>
          <w:rFonts w:hint="eastAsia" w:ascii="楷体_GB2312" w:hAnsi="楷体_GB2312" w:eastAsia="楷体_GB2312" w:cs="楷体_GB2312"/>
          <w:sz w:val="24"/>
          <w:lang w:val="en-US" w:eastAsia="zh-CN"/>
        </w:rPr>
        <w:t>1</w:t>
      </w:r>
      <w:r>
        <w:rPr>
          <w:rFonts w:hint="eastAsia" w:ascii="楷体_GB2312" w:hAnsi="楷体_GB2312" w:eastAsia="楷体_GB2312" w:cs="楷体_GB2312"/>
          <w:sz w:val="24"/>
        </w:rPr>
        <w:t>：收入支出决算总体情况</w:t>
      </w:r>
    </w:p>
    <w:p w14:paraId="3469D357">
      <w:pPr>
        <w:keepNext/>
        <w:keepLines/>
        <w:snapToGrid w:val="0"/>
        <w:spacing w:line="60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二、收入决算情况说明</w:t>
      </w:r>
    </w:p>
    <w:p w14:paraId="2AD49934">
      <w:pPr>
        <w:adjustRightInd w:val="0"/>
        <w:snapToGrid w:val="0"/>
        <w:spacing w:line="600" w:lineRule="exact"/>
        <w:ind w:firstLine="640" w:firstLineChars="200"/>
        <w:rPr>
          <w:rFonts w:hint="eastAsia" w:ascii="仿宋_GB2312" w:hAnsi="Times New Roman" w:eastAsia="仿宋_GB2312" w:cs="Wingdings"/>
          <w:color w:val="000000"/>
          <w:sz w:val="32"/>
          <w:szCs w:val="32"/>
        </w:rPr>
      </w:pPr>
      <w:r>
        <w:rPr>
          <w:rFonts w:hint="eastAsia" w:ascii="仿宋_GB2312" w:hAnsi="Times New Roman" w:eastAsia="仿宋_GB2312" w:cs="Wingdings"/>
          <w:sz w:val="32"/>
          <w:szCs w:val="32"/>
        </w:rPr>
        <w:t>本</w:t>
      </w:r>
      <w:r>
        <w:rPr>
          <w:rFonts w:hint="eastAsia" w:ascii="仿宋_GB2312" w:hAnsi="Times New Roman" w:eastAsia="仿宋_GB2312" w:cs="Wingdings"/>
          <w:color w:val="000000"/>
          <w:sz w:val="32"/>
          <w:szCs w:val="32"/>
        </w:rPr>
        <w:t>部门2020年度本年收入合计</w:t>
      </w:r>
      <w:r>
        <w:rPr>
          <w:rFonts w:hint="eastAsia" w:ascii="仿宋_GB2312" w:hAnsi="Times New Roman" w:eastAsia="仿宋_GB2312" w:cs="Wingdings"/>
          <w:color w:val="000000"/>
          <w:sz w:val="32"/>
          <w:szCs w:val="32"/>
          <w:lang w:val="en-US" w:eastAsia="zh-CN"/>
        </w:rPr>
        <w:t>911.18</w:t>
      </w:r>
      <w:r>
        <w:rPr>
          <w:rFonts w:hint="eastAsia" w:ascii="仿宋_GB2312" w:hAnsi="Times New Roman" w:eastAsia="仿宋_GB2312" w:cs="Wingdings"/>
          <w:color w:val="000000"/>
          <w:sz w:val="32"/>
          <w:szCs w:val="32"/>
        </w:rPr>
        <w:t>万元，其中：财政拨款收入</w:t>
      </w:r>
      <w:r>
        <w:rPr>
          <w:rFonts w:hint="eastAsia" w:ascii="仿宋_GB2312" w:hAnsi="Times New Roman" w:eastAsia="仿宋_GB2312" w:cs="Wingdings"/>
          <w:color w:val="000000"/>
          <w:sz w:val="32"/>
          <w:szCs w:val="32"/>
          <w:lang w:val="en-US" w:eastAsia="zh-CN"/>
        </w:rPr>
        <w:t>911.18</w:t>
      </w:r>
      <w:r>
        <w:rPr>
          <w:rFonts w:hint="eastAsia" w:ascii="仿宋_GB2312" w:hAnsi="Times New Roman" w:eastAsia="仿宋_GB2312" w:cs="Wingdings"/>
          <w:color w:val="000000"/>
          <w:sz w:val="32"/>
          <w:szCs w:val="32"/>
        </w:rPr>
        <w:t>万元，占</w:t>
      </w:r>
      <w:r>
        <w:rPr>
          <w:rFonts w:hint="eastAsia" w:ascii="仿宋_GB2312" w:hAnsi="Times New Roman" w:eastAsia="仿宋_GB2312" w:cs="Wingdings"/>
          <w:color w:val="000000"/>
          <w:sz w:val="32"/>
          <w:szCs w:val="32"/>
          <w:lang w:val="en-US" w:eastAsia="zh-CN"/>
        </w:rPr>
        <w:t>100</w:t>
      </w:r>
      <w:r>
        <w:rPr>
          <w:rFonts w:hint="eastAsia" w:ascii="仿宋_GB2312" w:hAnsi="Times New Roman" w:eastAsia="仿宋_GB2312" w:cs="Wingdings"/>
          <w:color w:val="000000"/>
          <w:sz w:val="32"/>
          <w:szCs w:val="32"/>
        </w:rPr>
        <w:t>%；上级补助收入</w:t>
      </w:r>
      <w:r>
        <w:rPr>
          <w:rFonts w:hint="eastAsia" w:ascii="仿宋_GB2312" w:hAnsi="Times New Roman" w:eastAsia="仿宋_GB2312" w:cs="Wingdings"/>
          <w:color w:val="000000"/>
          <w:sz w:val="32"/>
          <w:szCs w:val="32"/>
          <w:lang w:val="en-US" w:eastAsia="zh-CN"/>
        </w:rPr>
        <w:t>0</w:t>
      </w:r>
      <w:r>
        <w:rPr>
          <w:rFonts w:hint="eastAsia" w:ascii="仿宋_GB2312" w:hAnsi="Times New Roman" w:eastAsia="仿宋_GB2312" w:cs="Wingdings"/>
          <w:color w:val="000000"/>
          <w:sz w:val="32"/>
          <w:szCs w:val="32"/>
        </w:rPr>
        <w:t>万元，占</w:t>
      </w:r>
      <w:r>
        <w:rPr>
          <w:rFonts w:hint="eastAsia" w:ascii="仿宋_GB2312" w:hAnsi="Times New Roman" w:eastAsia="仿宋_GB2312" w:cs="Wingdings"/>
          <w:color w:val="000000"/>
          <w:sz w:val="32"/>
          <w:szCs w:val="32"/>
          <w:lang w:val="en-US" w:eastAsia="zh-CN"/>
        </w:rPr>
        <w:t>0</w:t>
      </w:r>
      <w:r>
        <w:rPr>
          <w:rFonts w:hint="eastAsia" w:ascii="仿宋_GB2312" w:hAnsi="Times New Roman" w:eastAsia="仿宋_GB2312" w:cs="Wingdings"/>
          <w:color w:val="000000"/>
          <w:sz w:val="32"/>
          <w:szCs w:val="32"/>
        </w:rPr>
        <w:t>%；事业收入</w:t>
      </w:r>
      <w:r>
        <w:rPr>
          <w:rFonts w:hint="eastAsia" w:ascii="仿宋_GB2312" w:hAnsi="Times New Roman" w:eastAsia="仿宋_GB2312" w:cs="Wingdings"/>
          <w:color w:val="000000"/>
          <w:sz w:val="32"/>
          <w:szCs w:val="32"/>
          <w:lang w:val="en-US" w:eastAsia="zh-CN"/>
        </w:rPr>
        <w:t>0</w:t>
      </w:r>
      <w:r>
        <w:rPr>
          <w:rFonts w:hint="eastAsia" w:ascii="仿宋_GB2312" w:hAnsi="Times New Roman" w:eastAsia="仿宋_GB2312" w:cs="Wingdings"/>
          <w:color w:val="000000"/>
          <w:sz w:val="32"/>
          <w:szCs w:val="32"/>
        </w:rPr>
        <w:t>万元，占</w:t>
      </w:r>
      <w:r>
        <w:rPr>
          <w:rFonts w:hint="eastAsia" w:ascii="仿宋_GB2312" w:hAnsi="Times New Roman" w:eastAsia="仿宋_GB2312" w:cs="Wingdings"/>
          <w:color w:val="000000"/>
          <w:sz w:val="32"/>
          <w:szCs w:val="32"/>
          <w:lang w:val="en-US" w:eastAsia="zh-CN"/>
        </w:rPr>
        <w:t>0</w:t>
      </w:r>
      <w:r>
        <w:rPr>
          <w:rFonts w:hint="eastAsia" w:ascii="仿宋_GB2312" w:hAnsi="Times New Roman" w:eastAsia="仿宋_GB2312" w:cs="Wingdings"/>
          <w:color w:val="000000"/>
          <w:sz w:val="32"/>
          <w:szCs w:val="32"/>
        </w:rPr>
        <w:t>%；经营收入</w:t>
      </w:r>
      <w:r>
        <w:rPr>
          <w:rFonts w:hint="eastAsia" w:ascii="仿宋_GB2312" w:hAnsi="Times New Roman" w:eastAsia="仿宋_GB2312" w:cs="Wingdings"/>
          <w:color w:val="000000"/>
          <w:sz w:val="32"/>
          <w:szCs w:val="32"/>
          <w:lang w:val="en-US" w:eastAsia="zh-CN"/>
        </w:rPr>
        <w:t>0</w:t>
      </w:r>
      <w:r>
        <w:rPr>
          <w:rFonts w:hint="eastAsia" w:ascii="仿宋_GB2312" w:hAnsi="Times New Roman" w:eastAsia="仿宋_GB2312" w:cs="Wingdings"/>
          <w:color w:val="000000"/>
          <w:sz w:val="32"/>
          <w:szCs w:val="32"/>
        </w:rPr>
        <w:t>万元，占</w:t>
      </w:r>
      <w:r>
        <w:rPr>
          <w:rFonts w:hint="eastAsia" w:ascii="仿宋_GB2312" w:hAnsi="Times New Roman" w:eastAsia="仿宋_GB2312" w:cs="Wingdings"/>
          <w:color w:val="000000"/>
          <w:sz w:val="32"/>
          <w:szCs w:val="32"/>
          <w:lang w:val="en-US" w:eastAsia="zh-CN"/>
        </w:rPr>
        <w:t>0</w:t>
      </w:r>
      <w:r>
        <w:rPr>
          <w:rFonts w:hint="eastAsia" w:ascii="仿宋_GB2312" w:hAnsi="Times New Roman" w:eastAsia="仿宋_GB2312" w:cs="Wingdings"/>
          <w:color w:val="000000"/>
          <w:sz w:val="32"/>
          <w:szCs w:val="32"/>
        </w:rPr>
        <w:t>%；附属单位上缴收入</w:t>
      </w:r>
      <w:r>
        <w:rPr>
          <w:rFonts w:hint="eastAsia" w:ascii="仿宋_GB2312" w:hAnsi="Times New Roman" w:eastAsia="仿宋_GB2312" w:cs="Wingdings"/>
          <w:color w:val="000000"/>
          <w:sz w:val="32"/>
          <w:szCs w:val="32"/>
          <w:lang w:val="en-US" w:eastAsia="zh-CN"/>
        </w:rPr>
        <w:t>0</w:t>
      </w:r>
      <w:r>
        <w:rPr>
          <w:rFonts w:hint="eastAsia" w:ascii="仿宋_GB2312" w:hAnsi="Times New Roman" w:eastAsia="仿宋_GB2312" w:cs="Wingdings"/>
          <w:color w:val="000000"/>
          <w:sz w:val="32"/>
          <w:szCs w:val="32"/>
        </w:rPr>
        <w:t>万元，占</w:t>
      </w:r>
      <w:r>
        <w:rPr>
          <w:rFonts w:hint="eastAsia" w:ascii="仿宋_GB2312" w:hAnsi="Times New Roman" w:eastAsia="仿宋_GB2312" w:cs="Wingdings"/>
          <w:color w:val="000000"/>
          <w:sz w:val="32"/>
          <w:szCs w:val="32"/>
          <w:lang w:val="en-US" w:eastAsia="zh-CN"/>
        </w:rPr>
        <w:t>0</w:t>
      </w:r>
      <w:r>
        <w:rPr>
          <w:rFonts w:hint="eastAsia" w:ascii="仿宋_GB2312" w:hAnsi="Times New Roman" w:eastAsia="仿宋_GB2312" w:cs="Wingdings"/>
          <w:color w:val="000000"/>
          <w:sz w:val="32"/>
          <w:szCs w:val="32"/>
        </w:rPr>
        <w:t>%；其他收入</w:t>
      </w:r>
      <w:r>
        <w:rPr>
          <w:rFonts w:hint="eastAsia" w:ascii="仿宋_GB2312" w:hAnsi="Times New Roman" w:eastAsia="仿宋_GB2312" w:cs="Wingdings"/>
          <w:color w:val="000000"/>
          <w:sz w:val="32"/>
          <w:szCs w:val="32"/>
          <w:lang w:val="en-US" w:eastAsia="zh-CN"/>
        </w:rPr>
        <w:t>0</w:t>
      </w:r>
      <w:r>
        <w:rPr>
          <w:rFonts w:hint="eastAsia" w:ascii="仿宋_GB2312" w:hAnsi="Times New Roman" w:eastAsia="仿宋_GB2312" w:cs="Wingdings"/>
          <w:color w:val="000000"/>
          <w:sz w:val="32"/>
          <w:szCs w:val="32"/>
        </w:rPr>
        <w:t>万元，占</w:t>
      </w:r>
      <w:r>
        <w:rPr>
          <w:rFonts w:hint="eastAsia" w:ascii="仿宋_GB2312" w:hAnsi="Times New Roman" w:eastAsia="仿宋_GB2312" w:cs="Wingdings"/>
          <w:color w:val="000000"/>
          <w:sz w:val="32"/>
          <w:szCs w:val="32"/>
          <w:lang w:val="en-US" w:eastAsia="zh-CN"/>
        </w:rPr>
        <w:t>0</w:t>
      </w:r>
      <w:r>
        <w:rPr>
          <w:rFonts w:hint="eastAsia" w:ascii="仿宋_GB2312" w:hAnsi="Times New Roman" w:eastAsia="仿宋_GB2312" w:cs="Wingdings"/>
          <w:color w:val="000000"/>
          <w:sz w:val="32"/>
          <w:szCs w:val="32"/>
        </w:rPr>
        <w:t>%。</w:t>
      </w:r>
    </w:p>
    <w:p w14:paraId="164007F0">
      <w:pPr>
        <w:snapToGrid w:val="0"/>
        <w:spacing w:line="60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三、支出决算情况说明</w:t>
      </w:r>
    </w:p>
    <w:p w14:paraId="63BCF77B">
      <w:pPr>
        <w:adjustRightInd w:val="0"/>
        <w:snapToGrid w:val="0"/>
        <w:spacing w:line="600" w:lineRule="exact"/>
        <w:ind w:firstLine="640" w:firstLineChars="200"/>
        <w:rPr>
          <w:rFonts w:hint="eastAsia" w:ascii="仿宋_GB2312" w:hAnsi="Times New Roman" w:eastAsia="仿宋_GB2312" w:cs="Wingdings"/>
          <w:sz w:val="32"/>
          <w:szCs w:val="32"/>
        </w:rPr>
      </w:pPr>
      <w:r>
        <w:rPr>
          <w:rFonts w:hint="eastAsia" w:ascii="仿宋_GB2312" w:hAnsi="Times New Roman" w:eastAsia="仿宋_GB2312" w:cs="Wingdings"/>
          <w:sz w:val="32"/>
          <w:szCs w:val="32"/>
        </w:rPr>
        <w:t>本部门2020年度本年支出合计</w:t>
      </w:r>
      <w:r>
        <w:rPr>
          <w:rFonts w:hint="eastAsia" w:ascii="仿宋_GB2312" w:hAnsi="Times New Roman" w:eastAsia="仿宋_GB2312" w:cs="Wingdings"/>
          <w:sz w:val="32"/>
          <w:szCs w:val="32"/>
          <w:lang w:val="en-US" w:eastAsia="zh-CN"/>
        </w:rPr>
        <w:t>812.74</w:t>
      </w:r>
      <w:r>
        <w:rPr>
          <w:rFonts w:hint="eastAsia" w:ascii="仿宋_GB2312" w:hAnsi="Times New Roman" w:eastAsia="仿宋_GB2312" w:cs="Wingdings"/>
          <w:sz w:val="32"/>
          <w:szCs w:val="32"/>
        </w:rPr>
        <w:t>万元，其中：基本支出</w:t>
      </w:r>
      <w:r>
        <w:rPr>
          <w:rFonts w:hint="eastAsia" w:ascii="仿宋_GB2312" w:hAnsi="Times New Roman" w:eastAsia="仿宋_GB2312" w:cs="Wingdings"/>
          <w:sz w:val="32"/>
          <w:szCs w:val="32"/>
          <w:lang w:val="en-US" w:eastAsia="zh-CN"/>
        </w:rPr>
        <w:t>368.47</w:t>
      </w:r>
      <w:r>
        <w:rPr>
          <w:rFonts w:hint="eastAsia" w:ascii="仿宋_GB2312" w:hAnsi="Times New Roman" w:eastAsia="仿宋_GB2312" w:cs="Wingdings"/>
          <w:sz w:val="32"/>
          <w:szCs w:val="32"/>
        </w:rPr>
        <w:t>万元，占</w:t>
      </w:r>
      <w:r>
        <w:rPr>
          <w:rFonts w:hint="eastAsia" w:ascii="仿宋_GB2312" w:hAnsi="Times New Roman" w:eastAsia="仿宋_GB2312" w:cs="Wingdings"/>
          <w:sz w:val="32"/>
          <w:szCs w:val="32"/>
          <w:lang w:val="en-US" w:eastAsia="zh-CN"/>
        </w:rPr>
        <w:t>45.34</w:t>
      </w:r>
      <w:r>
        <w:rPr>
          <w:rFonts w:hint="eastAsia" w:ascii="仿宋_GB2312" w:hAnsi="Times New Roman" w:eastAsia="仿宋_GB2312" w:cs="Wingdings"/>
          <w:sz w:val="32"/>
          <w:szCs w:val="32"/>
        </w:rPr>
        <w:t>%；项目支出</w:t>
      </w:r>
      <w:r>
        <w:rPr>
          <w:rFonts w:hint="eastAsia" w:ascii="仿宋_GB2312" w:hAnsi="Times New Roman" w:eastAsia="仿宋_GB2312" w:cs="Wingdings"/>
          <w:sz w:val="32"/>
          <w:szCs w:val="32"/>
          <w:lang w:val="en-US" w:eastAsia="zh-CN"/>
        </w:rPr>
        <w:t>444.27</w:t>
      </w:r>
      <w:r>
        <w:rPr>
          <w:rFonts w:hint="eastAsia" w:ascii="仿宋_GB2312" w:hAnsi="Times New Roman" w:eastAsia="仿宋_GB2312" w:cs="Wingdings"/>
          <w:sz w:val="32"/>
          <w:szCs w:val="32"/>
        </w:rPr>
        <w:t>万元，占</w:t>
      </w:r>
      <w:r>
        <w:rPr>
          <w:rFonts w:hint="eastAsia" w:ascii="仿宋_GB2312" w:hAnsi="Times New Roman" w:eastAsia="仿宋_GB2312" w:cs="Wingdings"/>
          <w:sz w:val="32"/>
          <w:szCs w:val="32"/>
          <w:lang w:val="en-US" w:eastAsia="zh-CN"/>
        </w:rPr>
        <w:t>54.66</w:t>
      </w:r>
      <w:r>
        <w:rPr>
          <w:rFonts w:hint="eastAsia" w:ascii="仿宋_GB2312" w:hAnsi="Times New Roman" w:eastAsia="仿宋_GB2312" w:cs="Wingdings"/>
          <w:sz w:val="32"/>
          <w:szCs w:val="32"/>
        </w:rPr>
        <w:t>%；上缴上级支出</w:t>
      </w:r>
      <w:r>
        <w:rPr>
          <w:rFonts w:hint="eastAsia" w:ascii="仿宋_GB2312" w:hAnsi="Times New Roman" w:eastAsia="仿宋_GB2312" w:cs="Wingdings"/>
          <w:sz w:val="32"/>
          <w:szCs w:val="32"/>
          <w:lang w:val="en-US" w:eastAsia="zh-CN"/>
        </w:rPr>
        <w:t>0</w:t>
      </w:r>
      <w:r>
        <w:rPr>
          <w:rFonts w:hint="eastAsia" w:ascii="仿宋_GB2312" w:hAnsi="Times New Roman" w:eastAsia="仿宋_GB2312" w:cs="Wingdings"/>
          <w:sz w:val="32"/>
          <w:szCs w:val="32"/>
        </w:rPr>
        <w:t>万元，占</w:t>
      </w:r>
      <w:r>
        <w:rPr>
          <w:rFonts w:hint="eastAsia" w:ascii="仿宋_GB2312" w:hAnsi="Times New Roman" w:eastAsia="仿宋_GB2312" w:cs="Wingdings"/>
          <w:sz w:val="32"/>
          <w:szCs w:val="32"/>
          <w:lang w:val="en-US" w:eastAsia="zh-CN"/>
        </w:rPr>
        <w:t>0</w:t>
      </w:r>
      <w:r>
        <w:rPr>
          <w:rFonts w:hint="eastAsia" w:ascii="仿宋_GB2312" w:hAnsi="Times New Roman" w:eastAsia="仿宋_GB2312" w:cs="Wingdings"/>
          <w:sz w:val="32"/>
          <w:szCs w:val="32"/>
        </w:rPr>
        <w:t>%；经营支出</w:t>
      </w:r>
      <w:r>
        <w:rPr>
          <w:rFonts w:hint="eastAsia" w:ascii="仿宋_GB2312" w:hAnsi="Times New Roman" w:eastAsia="仿宋_GB2312" w:cs="Wingdings"/>
          <w:sz w:val="32"/>
          <w:szCs w:val="32"/>
          <w:lang w:val="en-US" w:eastAsia="zh-CN"/>
        </w:rPr>
        <w:t>0</w:t>
      </w:r>
      <w:r>
        <w:rPr>
          <w:rFonts w:hint="eastAsia" w:ascii="仿宋_GB2312" w:hAnsi="Times New Roman" w:eastAsia="仿宋_GB2312" w:cs="Wingdings"/>
          <w:sz w:val="32"/>
          <w:szCs w:val="32"/>
        </w:rPr>
        <w:t>万元，占</w:t>
      </w:r>
      <w:r>
        <w:rPr>
          <w:rFonts w:hint="eastAsia" w:ascii="仿宋_GB2312" w:hAnsi="Times New Roman" w:eastAsia="仿宋_GB2312" w:cs="Wingdings"/>
          <w:sz w:val="32"/>
          <w:szCs w:val="32"/>
          <w:lang w:val="en-US" w:eastAsia="zh-CN"/>
        </w:rPr>
        <w:t>0</w:t>
      </w:r>
      <w:r>
        <w:rPr>
          <w:rFonts w:hint="eastAsia" w:ascii="仿宋_GB2312" w:hAnsi="Times New Roman" w:eastAsia="仿宋_GB2312" w:cs="Wingdings"/>
          <w:sz w:val="32"/>
          <w:szCs w:val="32"/>
        </w:rPr>
        <w:t>%；对附属单位补助支出</w:t>
      </w:r>
      <w:r>
        <w:rPr>
          <w:rFonts w:hint="eastAsia" w:ascii="仿宋_GB2312" w:hAnsi="Times New Roman" w:eastAsia="仿宋_GB2312" w:cs="Wingdings"/>
          <w:sz w:val="32"/>
          <w:szCs w:val="32"/>
          <w:lang w:val="en-US" w:eastAsia="zh-CN"/>
        </w:rPr>
        <w:t>0</w:t>
      </w:r>
      <w:r>
        <w:rPr>
          <w:rFonts w:hint="eastAsia" w:ascii="仿宋_GB2312" w:hAnsi="Times New Roman" w:eastAsia="仿宋_GB2312" w:cs="Wingdings"/>
          <w:sz w:val="32"/>
          <w:szCs w:val="32"/>
        </w:rPr>
        <w:t>万元，占</w:t>
      </w:r>
      <w:r>
        <w:rPr>
          <w:rFonts w:hint="eastAsia" w:ascii="仿宋_GB2312" w:hAnsi="Times New Roman" w:eastAsia="仿宋_GB2312" w:cs="Wingdings"/>
          <w:sz w:val="32"/>
          <w:szCs w:val="32"/>
          <w:lang w:val="en-US" w:eastAsia="zh-CN"/>
        </w:rPr>
        <w:t>0</w:t>
      </w:r>
      <w:r>
        <w:rPr>
          <w:rFonts w:hint="eastAsia" w:ascii="仿宋_GB2312" w:hAnsi="Times New Roman" w:eastAsia="仿宋_GB2312" w:cs="Wingdings"/>
          <w:sz w:val="32"/>
          <w:szCs w:val="32"/>
        </w:rPr>
        <w:t>%。</w:t>
      </w:r>
    </w:p>
    <w:p w14:paraId="20AFC2F9">
      <w:pPr>
        <w:adjustRightInd w:val="0"/>
        <w:snapToGrid w:val="0"/>
        <w:spacing w:after="160" w:afterLines="0" w:line="560" w:lineRule="exact"/>
        <w:jc w:val="center"/>
        <w:rPr>
          <w:rFonts w:hint="eastAsia" w:ascii="仿宋_GB2312" w:hAnsi="Times New Roman" w:eastAsia="仿宋_GB2312" w:cs="Wingdings"/>
          <w:sz w:val="32"/>
          <w:szCs w:val="32"/>
        </w:rPr>
      </w:pPr>
      <w:r>
        <w:rPr>
          <w:rFonts w:hint="eastAsia" w:ascii="仿宋_GB2312" w:hAnsi="Times New Roman" w:eastAsia="仿宋_GB2312" w:cs="Wingdings"/>
          <w:sz w:val="28"/>
          <w:szCs w:val="28"/>
        </w:rPr>
        <w:t>图</w:t>
      </w:r>
      <w:r>
        <w:rPr>
          <w:rFonts w:hint="eastAsia" w:ascii="仿宋_GB2312" w:hAnsi="Times New Roman" w:eastAsia="仿宋_GB2312" w:cs="Wingdings"/>
          <w:sz w:val="28"/>
          <w:szCs w:val="28"/>
          <w:lang w:val="en-US" w:eastAsia="zh-CN"/>
        </w:rPr>
        <w:t>2</w:t>
      </w:r>
      <w:r>
        <w:rPr>
          <w:rFonts w:hint="eastAsia" w:ascii="仿宋_GB2312" w:hAnsi="Times New Roman" w:eastAsia="仿宋_GB2312" w:cs="Wingdings"/>
          <w:sz w:val="28"/>
          <w:szCs w:val="28"/>
        </w:rPr>
        <w:t>：支出决算构成情况（按支出性质）</w:t>
      </w:r>
      <w:r>
        <w:rPr>
          <w:rFonts w:hint="eastAsia" w:ascii="仿宋_GB2312" w:hAnsi="Times New Roman" w:eastAsia="仿宋_GB2312" w:cs="Wingdings"/>
          <w:sz w:val="32"/>
          <w:szCs w:val="32"/>
          <w:lang w:eastAsia="zh-CN"/>
        </w:rPr>
        <w:drawing>
          <wp:anchor distT="0" distB="0" distL="114300" distR="114300" simplePos="0" relativeHeight="251671552" behindDoc="0" locked="0" layoutInCell="1" allowOverlap="1">
            <wp:simplePos x="0" y="0"/>
            <wp:positionH relativeFrom="column">
              <wp:posOffset>846455</wp:posOffset>
            </wp:positionH>
            <wp:positionV relativeFrom="paragraph">
              <wp:posOffset>112395</wp:posOffset>
            </wp:positionV>
            <wp:extent cx="3983355" cy="2845435"/>
            <wp:effectExtent l="4445" t="4445" r="12700" b="7620"/>
            <wp:wrapTopAndBottom/>
            <wp:docPr id="3" name="图表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anchor>
        </w:drawing>
      </w:r>
    </w:p>
    <w:p w14:paraId="7D0D5C7A">
      <w:pPr>
        <w:keepNext/>
        <w:keepLines/>
        <w:snapToGrid w:val="0"/>
        <w:spacing w:line="60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四、</w:t>
      </w:r>
      <w:r>
        <w:rPr>
          <w:rFonts w:hint="eastAsia" w:ascii="黑体" w:hAnsi="Cambria" w:eastAsia="黑体" w:cs="黑体"/>
          <w:kern w:val="0"/>
          <w:sz w:val="32"/>
          <w:szCs w:val="32"/>
        </w:rPr>
        <w:t>财政</w:t>
      </w:r>
      <w:r>
        <w:rPr>
          <w:rFonts w:hint="eastAsia" w:ascii="黑体" w:hAnsi="Calibri" w:eastAsia="黑体" w:cs="Times New Roman"/>
          <w:sz w:val="32"/>
          <w:szCs w:val="32"/>
        </w:rPr>
        <w:t>拨款收入支出决算总体情况说明</w:t>
      </w:r>
    </w:p>
    <w:p w14:paraId="7C7E265C">
      <w:pPr>
        <w:snapToGrid w:val="0"/>
        <w:spacing w:line="600" w:lineRule="exact"/>
        <w:ind w:firstLine="643" w:firstLineChars="200"/>
        <w:rPr>
          <w:rFonts w:ascii="楷体_GB2312" w:hAnsi="Times New Roman" w:eastAsia="楷体_GB2312" w:cs="Mongolian Baiti"/>
          <w:b/>
          <w:bCs/>
          <w:sz w:val="32"/>
          <w:szCs w:val="32"/>
        </w:rPr>
      </w:pPr>
      <w:r>
        <w:rPr>
          <w:rFonts w:hint="eastAsia" w:ascii="楷体_GB2312" w:hAnsi="Times New Roman" w:eastAsia="楷体_GB2312" w:cs="Mongolian Baiti"/>
          <w:b/>
          <w:bCs/>
          <w:sz w:val="32"/>
          <w:szCs w:val="32"/>
        </w:rPr>
        <w:t>（一）财政拨款收支与2019年度决算对比情况</w:t>
      </w:r>
    </w:p>
    <w:p w14:paraId="10C316CF">
      <w:pPr>
        <w:adjustRightInd w:val="0"/>
        <w:snapToGrid w:val="0"/>
        <w:spacing w:line="600" w:lineRule="exact"/>
        <w:ind w:firstLine="640" w:firstLineChars="200"/>
        <w:rPr>
          <w:rFonts w:ascii="仿宋_GB2312" w:hAnsi="Times New Roman" w:eastAsia="仿宋_GB2312" w:cs="Wingdings"/>
          <w:sz w:val="32"/>
          <w:szCs w:val="32"/>
        </w:rPr>
      </w:pPr>
      <w:r>
        <w:rPr>
          <w:rFonts w:hint="eastAsia" w:ascii="仿宋_GB2312" w:hAnsi="Times New Roman" w:eastAsia="仿宋_GB2312" w:cs="Wingdings"/>
          <w:sz w:val="32"/>
          <w:szCs w:val="32"/>
        </w:rPr>
        <w:t>本部门2020年度财政拨款本年收入</w:t>
      </w:r>
      <w:r>
        <w:rPr>
          <w:rFonts w:hint="eastAsia" w:ascii="仿宋_GB2312" w:hAnsi="Times New Roman" w:eastAsia="仿宋_GB2312" w:cs="Wingdings"/>
          <w:sz w:val="32"/>
          <w:szCs w:val="32"/>
          <w:lang w:val="en-US" w:eastAsia="zh-CN"/>
        </w:rPr>
        <w:t>911.18</w:t>
      </w:r>
      <w:r>
        <w:rPr>
          <w:rFonts w:hint="eastAsia" w:ascii="仿宋_GB2312" w:hAnsi="Times New Roman" w:eastAsia="仿宋_GB2312" w:cs="Wingdings"/>
          <w:sz w:val="32"/>
          <w:szCs w:val="32"/>
        </w:rPr>
        <w:t>万元,比2019年度减少</w:t>
      </w:r>
      <w:r>
        <w:rPr>
          <w:rFonts w:hint="eastAsia" w:ascii="仿宋_GB2312" w:hAnsi="Times New Roman" w:eastAsia="仿宋_GB2312" w:cs="Wingdings"/>
          <w:sz w:val="32"/>
          <w:szCs w:val="32"/>
          <w:lang w:val="en-US" w:eastAsia="zh-CN"/>
        </w:rPr>
        <w:t>1176.32</w:t>
      </w:r>
      <w:r>
        <w:rPr>
          <w:rFonts w:hint="eastAsia" w:ascii="仿宋_GB2312" w:hAnsi="Times New Roman" w:eastAsia="仿宋_GB2312" w:cs="Wingdings"/>
          <w:sz w:val="32"/>
          <w:szCs w:val="32"/>
        </w:rPr>
        <w:t>万元</w:t>
      </w:r>
      <w:r>
        <w:rPr>
          <w:rFonts w:hint="eastAsia" w:ascii="仿宋_GB2312" w:hAnsi="Times New Roman" w:eastAsia="仿宋_GB2312" w:cs="Wingdings"/>
          <w:sz w:val="32"/>
          <w:szCs w:val="32"/>
          <w:lang w:eastAsia="zh-CN"/>
        </w:rPr>
        <w:t>，</w:t>
      </w:r>
      <w:r>
        <w:rPr>
          <w:rFonts w:hint="eastAsia" w:ascii="仿宋_GB2312" w:hAnsi="Times New Roman" w:eastAsia="仿宋_GB2312" w:cs="Wingdings"/>
          <w:sz w:val="32"/>
          <w:szCs w:val="32"/>
        </w:rPr>
        <w:t>降低</w:t>
      </w:r>
      <w:r>
        <w:rPr>
          <w:rFonts w:hint="eastAsia" w:ascii="仿宋_GB2312" w:hAnsi="Times New Roman" w:eastAsia="仿宋_GB2312" w:cs="Wingdings"/>
          <w:sz w:val="32"/>
          <w:szCs w:val="32"/>
          <w:lang w:val="en-US" w:eastAsia="zh-CN"/>
        </w:rPr>
        <w:t>56.35</w:t>
      </w:r>
      <w:r>
        <w:rPr>
          <w:rFonts w:hint="eastAsia" w:ascii="仿宋_GB2312" w:hAnsi="Times New Roman" w:eastAsia="仿宋_GB2312" w:cs="Wingdings"/>
          <w:sz w:val="32"/>
          <w:szCs w:val="32"/>
        </w:rPr>
        <w:t>%，主要是</w:t>
      </w:r>
      <w:r>
        <w:rPr>
          <w:rFonts w:hint="eastAsia" w:ascii="仿宋_GB2312" w:hAnsi="Times New Roman" w:eastAsia="仿宋_GB2312" w:cs="Wingdings"/>
          <w:sz w:val="32"/>
          <w:szCs w:val="32"/>
          <w:lang w:eastAsia="zh-CN"/>
        </w:rPr>
        <w:t>机构改革，</w:t>
      </w:r>
      <w:r>
        <w:rPr>
          <w:rFonts w:hint="eastAsia" w:ascii="仿宋_GB2312" w:hAnsi="仿宋" w:eastAsia="仿宋_GB2312"/>
          <w:sz w:val="32"/>
          <w:szCs w:val="32"/>
        </w:rPr>
        <w:t>宣传部</w:t>
      </w:r>
      <w:r>
        <w:rPr>
          <w:rFonts w:hint="eastAsia" w:ascii="仿宋_GB2312" w:hAnsi="仿宋" w:eastAsia="仿宋_GB2312"/>
          <w:sz w:val="32"/>
          <w:szCs w:val="32"/>
          <w:lang w:eastAsia="zh-CN"/>
        </w:rPr>
        <w:t>减少</w:t>
      </w:r>
      <w:r>
        <w:rPr>
          <w:rFonts w:hint="eastAsia" w:ascii="仿宋_GB2312" w:hAnsi="仿宋" w:eastAsia="仿宋_GB2312"/>
          <w:sz w:val="32"/>
          <w:szCs w:val="32"/>
        </w:rPr>
        <w:t>电视台和报社为下属单位</w:t>
      </w:r>
      <w:r>
        <w:rPr>
          <w:rFonts w:hint="eastAsia" w:ascii="仿宋_GB2312" w:hAnsi="Times New Roman" w:eastAsia="仿宋_GB2312" w:cs="Wingdings"/>
          <w:sz w:val="32"/>
          <w:szCs w:val="32"/>
        </w:rPr>
        <w:t>；本年支出</w:t>
      </w:r>
      <w:r>
        <w:rPr>
          <w:rFonts w:hint="eastAsia" w:ascii="仿宋_GB2312" w:hAnsi="Times New Roman" w:eastAsia="仿宋_GB2312" w:cs="Wingdings"/>
          <w:sz w:val="32"/>
          <w:szCs w:val="32"/>
          <w:lang w:val="en-US" w:eastAsia="zh-CN"/>
        </w:rPr>
        <w:t>812.74</w:t>
      </w:r>
      <w:r>
        <w:rPr>
          <w:rFonts w:hint="eastAsia" w:ascii="仿宋_GB2312" w:hAnsi="Times New Roman" w:eastAsia="仿宋_GB2312" w:cs="Wingdings"/>
          <w:sz w:val="32"/>
          <w:szCs w:val="32"/>
        </w:rPr>
        <w:t>万元，减少</w:t>
      </w:r>
      <w:r>
        <w:rPr>
          <w:rFonts w:hint="eastAsia" w:ascii="仿宋_GB2312" w:hAnsi="Times New Roman" w:eastAsia="仿宋_GB2312" w:cs="Wingdings"/>
          <w:sz w:val="32"/>
          <w:szCs w:val="32"/>
          <w:lang w:val="en-US" w:eastAsia="zh-CN"/>
        </w:rPr>
        <w:t>1263.79</w:t>
      </w:r>
      <w:r>
        <w:rPr>
          <w:rFonts w:hint="eastAsia" w:ascii="仿宋_GB2312" w:hAnsi="Times New Roman" w:eastAsia="仿宋_GB2312" w:cs="Wingdings"/>
          <w:sz w:val="32"/>
          <w:szCs w:val="32"/>
        </w:rPr>
        <w:t>万元，降低</w:t>
      </w:r>
      <w:r>
        <w:rPr>
          <w:rFonts w:hint="eastAsia" w:ascii="仿宋_GB2312" w:hAnsi="Times New Roman" w:eastAsia="仿宋_GB2312" w:cs="Wingdings"/>
          <w:sz w:val="32"/>
          <w:szCs w:val="32"/>
          <w:lang w:val="en-US" w:eastAsia="zh-CN"/>
        </w:rPr>
        <w:t>60.86</w:t>
      </w:r>
      <w:r>
        <w:rPr>
          <w:rFonts w:hint="eastAsia" w:ascii="仿宋_GB2312" w:hAnsi="Times New Roman" w:eastAsia="仿宋_GB2312" w:cs="Wingdings"/>
          <w:sz w:val="32"/>
          <w:szCs w:val="32"/>
        </w:rPr>
        <w:t>%，主要是</w:t>
      </w:r>
      <w:r>
        <w:rPr>
          <w:rFonts w:hint="eastAsia" w:ascii="仿宋_GB2312" w:hAnsi="Times New Roman" w:eastAsia="仿宋_GB2312" w:cs="Wingdings"/>
          <w:sz w:val="32"/>
          <w:szCs w:val="32"/>
          <w:lang w:eastAsia="zh-CN"/>
        </w:rPr>
        <w:t>机构改革，</w:t>
      </w:r>
      <w:r>
        <w:rPr>
          <w:rFonts w:hint="eastAsia" w:ascii="仿宋_GB2312" w:hAnsi="仿宋" w:eastAsia="仿宋_GB2312"/>
          <w:sz w:val="32"/>
          <w:szCs w:val="32"/>
        </w:rPr>
        <w:t>宣传部</w:t>
      </w:r>
      <w:r>
        <w:rPr>
          <w:rFonts w:hint="eastAsia" w:ascii="仿宋_GB2312" w:hAnsi="仿宋" w:eastAsia="仿宋_GB2312"/>
          <w:sz w:val="32"/>
          <w:szCs w:val="32"/>
          <w:lang w:eastAsia="zh-CN"/>
        </w:rPr>
        <w:t>减少</w:t>
      </w:r>
      <w:r>
        <w:rPr>
          <w:rFonts w:hint="eastAsia" w:ascii="仿宋_GB2312" w:hAnsi="仿宋" w:eastAsia="仿宋_GB2312"/>
          <w:sz w:val="32"/>
          <w:szCs w:val="32"/>
        </w:rPr>
        <w:t>电视台和报社为下属单位</w:t>
      </w:r>
      <w:r>
        <w:rPr>
          <w:rFonts w:hint="eastAsia" w:ascii="仿宋_GB2312" w:hAnsi="Times New Roman" w:eastAsia="仿宋_GB2312" w:cs="Wingdings"/>
          <w:sz w:val="32"/>
          <w:szCs w:val="32"/>
        </w:rPr>
        <w:t>。具体情况如下：</w:t>
      </w:r>
    </w:p>
    <w:p w14:paraId="5D752715">
      <w:pPr>
        <w:numPr>
          <w:ilvl w:val="0"/>
          <w:numId w:val="1"/>
        </w:numPr>
        <w:adjustRightInd w:val="0"/>
        <w:snapToGrid w:val="0"/>
        <w:spacing w:line="600" w:lineRule="exact"/>
        <w:ind w:firstLine="640" w:firstLineChars="200"/>
        <w:rPr>
          <w:rFonts w:ascii="仿宋_GB2312" w:hAnsi="Times New Roman" w:eastAsia="仿宋_GB2312" w:cs="Wingdings"/>
          <w:sz w:val="32"/>
          <w:szCs w:val="32"/>
        </w:rPr>
      </w:pPr>
      <w:r>
        <w:rPr>
          <w:rFonts w:hint="eastAsia" w:ascii="仿宋_GB2312" w:hAnsi="Times New Roman" w:eastAsia="仿宋_GB2312" w:cs="Wingdings"/>
          <w:sz w:val="32"/>
          <w:szCs w:val="32"/>
        </w:rPr>
        <w:t>一般公共预算财政拨款本年收入</w:t>
      </w:r>
      <w:r>
        <w:rPr>
          <w:rFonts w:hint="eastAsia" w:ascii="仿宋_GB2312" w:hAnsi="Times New Roman" w:eastAsia="仿宋_GB2312" w:cs="Wingdings"/>
          <w:sz w:val="32"/>
          <w:szCs w:val="32"/>
          <w:lang w:val="en-US" w:eastAsia="zh-CN"/>
        </w:rPr>
        <w:t>911.18</w:t>
      </w:r>
      <w:r>
        <w:rPr>
          <w:rFonts w:hint="eastAsia" w:ascii="仿宋_GB2312" w:hAnsi="Times New Roman" w:eastAsia="仿宋_GB2312" w:cs="Wingdings"/>
          <w:sz w:val="32"/>
          <w:szCs w:val="32"/>
        </w:rPr>
        <w:t>万元,比2019年度减少</w:t>
      </w:r>
      <w:r>
        <w:rPr>
          <w:rFonts w:hint="eastAsia" w:ascii="仿宋_GB2312" w:hAnsi="Times New Roman" w:eastAsia="仿宋_GB2312" w:cs="Wingdings"/>
          <w:sz w:val="32"/>
          <w:szCs w:val="32"/>
          <w:lang w:val="en-US" w:eastAsia="zh-CN"/>
        </w:rPr>
        <w:t>1176.32</w:t>
      </w:r>
      <w:r>
        <w:rPr>
          <w:rFonts w:hint="eastAsia" w:ascii="仿宋_GB2312" w:hAnsi="Times New Roman" w:eastAsia="仿宋_GB2312" w:cs="Wingdings"/>
          <w:sz w:val="32"/>
          <w:szCs w:val="32"/>
        </w:rPr>
        <w:t>万元</w:t>
      </w:r>
      <w:r>
        <w:rPr>
          <w:rFonts w:hint="eastAsia" w:ascii="仿宋_GB2312" w:hAnsi="Times New Roman" w:eastAsia="仿宋_GB2312" w:cs="Wingdings"/>
          <w:sz w:val="32"/>
          <w:szCs w:val="32"/>
          <w:lang w:eastAsia="zh-CN"/>
        </w:rPr>
        <w:t>，</w:t>
      </w:r>
      <w:r>
        <w:rPr>
          <w:rFonts w:hint="eastAsia" w:ascii="仿宋_GB2312" w:hAnsi="Times New Roman" w:eastAsia="仿宋_GB2312" w:cs="Wingdings"/>
          <w:sz w:val="32"/>
          <w:szCs w:val="32"/>
        </w:rPr>
        <w:t>降低</w:t>
      </w:r>
      <w:r>
        <w:rPr>
          <w:rFonts w:hint="eastAsia" w:ascii="仿宋_GB2312" w:hAnsi="Times New Roman" w:eastAsia="仿宋_GB2312" w:cs="Wingdings"/>
          <w:sz w:val="32"/>
          <w:szCs w:val="32"/>
          <w:lang w:val="en-US" w:eastAsia="zh-CN"/>
        </w:rPr>
        <w:t>56.35</w:t>
      </w:r>
      <w:r>
        <w:rPr>
          <w:rFonts w:hint="eastAsia" w:ascii="仿宋_GB2312" w:hAnsi="Times New Roman" w:eastAsia="仿宋_GB2312" w:cs="Wingdings"/>
          <w:sz w:val="32"/>
          <w:szCs w:val="32"/>
        </w:rPr>
        <w:t>%，主要是</w:t>
      </w:r>
      <w:r>
        <w:rPr>
          <w:rFonts w:hint="eastAsia" w:ascii="仿宋_GB2312" w:hAnsi="Times New Roman" w:eastAsia="仿宋_GB2312" w:cs="Wingdings"/>
          <w:sz w:val="32"/>
          <w:szCs w:val="32"/>
          <w:lang w:eastAsia="zh-CN"/>
        </w:rPr>
        <w:t>机构改革，</w:t>
      </w:r>
      <w:r>
        <w:rPr>
          <w:rFonts w:hint="eastAsia" w:ascii="仿宋_GB2312" w:hAnsi="仿宋" w:eastAsia="仿宋_GB2312"/>
          <w:sz w:val="32"/>
          <w:szCs w:val="32"/>
        </w:rPr>
        <w:t>宣传部</w:t>
      </w:r>
      <w:r>
        <w:rPr>
          <w:rFonts w:hint="eastAsia" w:ascii="仿宋_GB2312" w:hAnsi="仿宋" w:eastAsia="仿宋_GB2312"/>
          <w:sz w:val="32"/>
          <w:szCs w:val="32"/>
          <w:lang w:eastAsia="zh-CN"/>
        </w:rPr>
        <w:t>减少</w:t>
      </w:r>
      <w:r>
        <w:rPr>
          <w:rFonts w:hint="eastAsia" w:ascii="仿宋_GB2312" w:hAnsi="仿宋" w:eastAsia="仿宋_GB2312"/>
          <w:sz w:val="32"/>
          <w:szCs w:val="32"/>
        </w:rPr>
        <w:t>电视台和报社为下属单位</w:t>
      </w:r>
      <w:r>
        <w:rPr>
          <w:rFonts w:hint="eastAsia" w:ascii="仿宋_GB2312" w:hAnsi="Times New Roman" w:eastAsia="仿宋_GB2312" w:cs="Wingdings"/>
          <w:sz w:val="32"/>
          <w:szCs w:val="32"/>
        </w:rPr>
        <w:t>；本年支出</w:t>
      </w:r>
      <w:r>
        <w:rPr>
          <w:rFonts w:hint="eastAsia" w:ascii="仿宋_GB2312" w:hAnsi="Times New Roman" w:eastAsia="仿宋_GB2312" w:cs="Wingdings"/>
          <w:sz w:val="32"/>
          <w:szCs w:val="32"/>
          <w:lang w:val="en-US" w:eastAsia="zh-CN"/>
        </w:rPr>
        <w:t>812.74</w:t>
      </w:r>
      <w:r>
        <w:rPr>
          <w:rFonts w:hint="eastAsia" w:ascii="仿宋_GB2312" w:hAnsi="Times New Roman" w:eastAsia="仿宋_GB2312" w:cs="Wingdings"/>
          <w:sz w:val="32"/>
          <w:szCs w:val="32"/>
        </w:rPr>
        <w:t>万元，减少</w:t>
      </w:r>
      <w:r>
        <w:rPr>
          <w:rFonts w:hint="eastAsia" w:ascii="仿宋_GB2312" w:hAnsi="Times New Roman" w:eastAsia="仿宋_GB2312" w:cs="Wingdings"/>
          <w:sz w:val="32"/>
          <w:szCs w:val="32"/>
          <w:lang w:val="en-US" w:eastAsia="zh-CN"/>
        </w:rPr>
        <w:t>1263.79</w:t>
      </w:r>
      <w:r>
        <w:rPr>
          <w:rFonts w:hint="eastAsia" w:ascii="仿宋_GB2312" w:hAnsi="Times New Roman" w:eastAsia="仿宋_GB2312" w:cs="Wingdings"/>
          <w:sz w:val="32"/>
          <w:szCs w:val="32"/>
        </w:rPr>
        <w:t>万元，降低</w:t>
      </w:r>
      <w:r>
        <w:rPr>
          <w:rFonts w:hint="eastAsia" w:ascii="仿宋_GB2312" w:hAnsi="Times New Roman" w:eastAsia="仿宋_GB2312" w:cs="Wingdings"/>
          <w:sz w:val="32"/>
          <w:szCs w:val="32"/>
          <w:lang w:val="en-US" w:eastAsia="zh-CN"/>
        </w:rPr>
        <w:t>60.86</w:t>
      </w:r>
      <w:r>
        <w:rPr>
          <w:rFonts w:hint="eastAsia" w:ascii="仿宋_GB2312" w:hAnsi="Times New Roman" w:eastAsia="仿宋_GB2312" w:cs="Wingdings"/>
          <w:sz w:val="32"/>
          <w:szCs w:val="32"/>
        </w:rPr>
        <w:t>%，主要是</w:t>
      </w:r>
      <w:r>
        <w:rPr>
          <w:rFonts w:hint="eastAsia" w:ascii="仿宋_GB2312" w:hAnsi="Times New Roman" w:eastAsia="仿宋_GB2312" w:cs="Wingdings"/>
          <w:sz w:val="32"/>
          <w:szCs w:val="32"/>
          <w:lang w:eastAsia="zh-CN"/>
        </w:rPr>
        <w:t>机构改革，</w:t>
      </w:r>
      <w:r>
        <w:rPr>
          <w:rFonts w:hint="eastAsia" w:ascii="仿宋_GB2312" w:hAnsi="仿宋" w:eastAsia="仿宋_GB2312"/>
          <w:sz w:val="32"/>
          <w:szCs w:val="32"/>
        </w:rPr>
        <w:t>宣传部</w:t>
      </w:r>
      <w:r>
        <w:rPr>
          <w:rFonts w:hint="eastAsia" w:ascii="仿宋_GB2312" w:hAnsi="仿宋" w:eastAsia="仿宋_GB2312"/>
          <w:sz w:val="32"/>
          <w:szCs w:val="32"/>
          <w:lang w:eastAsia="zh-CN"/>
        </w:rPr>
        <w:t>减少</w:t>
      </w:r>
      <w:r>
        <w:rPr>
          <w:rFonts w:hint="eastAsia" w:ascii="仿宋_GB2312" w:hAnsi="仿宋" w:eastAsia="仿宋_GB2312"/>
          <w:sz w:val="32"/>
          <w:szCs w:val="32"/>
        </w:rPr>
        <w:t>电视台和报社为下属单位</w:t>
      </w:r>
      <w:r>
        <w:rPr>
          <w:rFonts w:hint="eastAsia" w:ascii="仿宋_GB2312" w:hAnsi="Times New Roman" w:eastAsia="仿宋_GB2312" w:cs="Wingdings"/>
          <w:sz w:val="32"/>
          <w:szCs w:val="32"/>
        </w:rPr>
        <w:t>。</w:t>
      </w:r>
    </w:p>
    <w:p w14:paraId="0DD4228A">
      <w:pPr>
        <w:numPr>
          <w:ilvl w:val="0"/>
          <w:numId w:val="1"/>
        </w:numPr>
        <w:adjustRightInd w:val="0"/>
        <w:snapToGrid w:val="0"/>
        <w:spacing w:line="600" w:lineRule="exact"/>
        <w:ind w:firstLine="640" w:firstLineChars="200"/>
        <w:rPr>
          <w:rFonts w:ascii="仿宋_GB2312" w:hAnsi="Times New Roman" w:eastAsia="仿宋_GB2312" w:cs="Wingdings"/>
          <w:sz w:val="32"/>
          <w:szCs w:val="32"/>
        </w:rPr>
      </w:pPr>
      <w:r>
        <w:rPr>
          <w:rFonts w:hint="eastAsia" w:ascii="仿宋_GB2312" w:hAnsi="Times New Roman" w:eastAsia="仿宋_GB2312" w:cs="Wingdings"/>
          <w:sz w:val="32"/>
          <w:szCs w:val="32"/>
          <w:lang w:eastAsia="zh-CN"/>
        </w:rPr>
        <w:drawing>
          <wp:anchor distT="0" distB="0" distL="114300" distR="114300" simplePos="0" relativeHeight="251668480" behindDoc="0" locked="0" layoutInCell="1" allowOverlap="1">
            <wp:simplePos x="0" y="0"/>
            <wp:positionH relativeFrom="column">
              <wp:posOffset>648970</wp:posOffset>
            </wp:positionH>
            <wp:positionV relativeFrom="paragraph">
              <wp:posOffset>1959610</wp:posOffset>
            </wp:positionV>
            <wp:extent cx="3884295" cy="2501900"/>
            <wp:effectExtent l="4445" t="4445" r="16510" b="8255"/>
            <wp:wrapTopAndBottom/>
            <wp:docPr id="21" name="图表 21"/>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anchor>
        </w:drawing>
      </w:r>
      <w:r>
        <w:rPr>
          <w:rFonts w:hint="eastAsia" w:ascii="仿宋_GB2312" w:hAnsi="Times New Roman" w:eastAsia="仿宋_GB2312" w:cs="Wingdings"/>
          <w:sz w:val="32"/>
          <w:szCs w:val="32"/>
        </w:rPr>
        <w:t>政府性基金预算财政拨款本年收入</w:t>
      </w:r>
      <w:r>
        <w:rPr>
          <w:rFonts w:hint="eastAsia" w:ascii="仿宋_GB2312" w:hAnsi="Times New Roman" w:eastAsia="仿宋_GB2312" w:cs="Wingdings"/>
          <w:sz w:val="32"/>
          <w:szCs w:val="32"/>
          <w:lang w:val="en-US" w:eastAsia="zh-CN"/>
        </w:rPr>
        <w:t>0</w:t>
      </w:r>
      <w:r>
        <w:rPr>
          <w:rFonts w:hint="eastAsia" w:ascii="仿宋_GB2312" w:hAnsi="Times New Roman" w:eastAsia="仿宋_GB2312" w:cs="Wingdings"/>
          <w:sz w:val="32"/>
          <w:szCs w:val="32"/>
        </w:rPr>
        <w:t>万元，比上年减少</w:t>
      </w:r>
      <w:r>
        <w:rPr>
          <w:rFonts w:hint="eastAsia" w:ascii="仿宋_GB2312" w:hAnsi="Times New Roman" w:eastAsia="仿宋_GB2312" w:cs="Wingdings"/>
          <w:sz w:val="32"/>
          <w:szCs w:val="32"/>
          <w:lang w:val="en-US" w:eastAsia="zh-CN"/>
        </w:rPr>
        <w:t>2.59</w:t>
      </w:r>
      <w:r>
        <w:rPr>
          <w:rFonts w:hint="eastAsia" w:ascii="仿宋_GB2312" w:hAnsi="Times New Roman" w:eastAsia="仿宋_GB2312" w:cs="Wingdings"/>
          <w:sz w:val="32"/>
          <w:szCs w:val="32"/>
        </w:rPr>
        <w:t>万元，降低</w:t>
      </w:r>
      <w:r>
        <w:rPr>
          <w:rFonts w:hint="eastAsia" w:ascii="仿宋_GB2312" w:hAnsi="Times New Roman" w:eastAsia="仿宋_GB2312" w:cs="Wingdings"/>
          <w:sz w:val="32"/>
          <w:szCs w:val="32"/>
          <w:lang w:val="en-US" w:eastAsia="zh-CN"/>
        </w:rPr>
        <w:t>100</w:t>
      </w:r>
      <w:r>
        <w:rPr>
          <w:rFonts w:hint="eastAsia" w:ascii="仿宋_GB2312" w:hAnsi="Times New Roman" w:eastAsia="仿宋_GB2312" w:cs="Wingdings"/>
          <w:sz w:val="32"/>
          <w:szCs w:val="32"/>
        </w:rPr>
        <w:t>%，主要原因是</w:t>
      </w:r>
      <w:r>
        <w:rPr>
          <w:rFonts w:hint="eastAsia" w:ascii="仿宋_GB2312" w:hAnsi="Times New Roman" w:eastAsia="仿宋_GB2312" w:cs="Wingdings"/>
          <w:sz w:val="32"/>
          <w:szCs w:val="32"/>
          <w:lang w:eastAsia="zh-CN"/>
        </w:rPr>
        <w:t>机构改革，</w:t>
      </w:r>
      <w:r>
        <w:rPr>
          <w:rFonts w:hint="eastAsia" w:ascii="仿宋_GB2312" w:hAnsi="仿宋" w:eastAsia="仿宋_GB2312"/>
          <w:sz w:val="32"/>
          <w:szCs w:val="32"/>
        </w:rPr>
        <w:t>宣传部</w:t>
      </w:r>
      <w:r>
        <w:rPr>
          <w:rFonts w:hint="eastAsia" w:ascii="仿宋_GB2312" w:hAnsi="仿宋" w:eastAsia="仿宋_GB2312"/>
          <w:sz w:val="32"/>
          <w:szCs w:val="32"/>
          <w:lang w:eastAsia="zh-CN"/>
        </w:rPr>
        <w:t>减少</w:t>
      </w:r>
      <w:r>
        <w:rPr>
          <w:rFonts w:hint="eastAsia" w:ascii="仿宋_GB2312" w:hAnsi="仿宋" w:eastAsia="仿宋_GB2312"/>
          <w:sz w:val="32"/>
          <w:szCs w:val="32"/>
        </w:rPr>
        <w:t>电视台和报社为下属单位</w:t>
      </w:r>
      <w:r>
        <w:rPr>
          <w:rFonts w:hint="eastAsia" w:ascii="仿宋_GB2312" w:hAnsi="Times New Roman" w:eastAsia="仿宋_GB2312" w:cs="Wingdings"/>
          <w:sz w:val="32"/>
          <w:szCs w:val="32"/>
        </w:rPr>
        <w:t>；本年支出</w:t>
      </w:r>
      <w:r>
        <w:rPr>
          <w:rFonts w:hint="eastAsia" w:ascii="仿宋_GB2312" w:hAnsi="Times New Roman" w:eastAsia="仿宋_GB2312" w:cs="Wingdings"/>
          <w:sz w:val="32"/>
          <w:szCs w:val="32"/>
          <w:lang w:val="en-US" w:eastAsia="zh-CN"/>
        </w:rPr>
        <w:t>2.59</w:t>
      </w:r>
      <w:r>
        <w:rPr>
          <w:rFonts w:hint="eastAsia" w:ascii="仿宋_GB2312" w:hAnsi="Times New Roman" w:eastAsia="仿宋_GB2312" w:cs="Wingdings"/>
          <w:sz w:val="32"/>
          <w:szCs w:val="32"/>
        </w:rPr>
        <w:t>万元，</w:t>
      </w:r>
      <w:r>
        <w:rPr>
          <w:rFonts w:hint="eastAsia" w:ascii="仿宋_GB2312" w:hAnsi="Times New Roman" w:eastAsia="仿宋_GB2312" w:cs="Wingdings"/>
          <w:sz w:val="32"/>
          <w:szCs w:val="32"/>
          <w:lang w:eastAsia="zh-CN"/>
        </w:rPr>
        <w:t>为上年</w:t>
      </w:r>
      <w:r>
        <w:rPr>
          <w:rFonts w:hint="eastAsia" w:ascii="仿宋_GB2312" w:hAnsi="Times New Roman" w:eastAsia="仿宋_GB2312" w:cs="DengXian-Regular"/>
          <w:sz w:val="32"/>
          <w:szCs w:val="32"/>
        </w:rPr>
        <w:t>财政拨款结转和结余</w:t>
      </w:r>
      <w:r>
        <w:rPr>
          <w:rFonts w:hint="eastAsia" w:ascii="仿宋_GB2312" w:hAnsi="Times New Roman" w:eastAsia="仿宋_GB2312" w:cs="DengXian-Regular"/>
          <w:sz w:val="32"/>
          <w:szCs w:val="32"/>
          <w:lang w:eastAsia="zh-CN"/>
        </w:rPr>
        <w:t>，</w:t>
      </w:r>
      <w:r>
        <w:rPr>
          <w:rFonts w:hint="eastAsia" w:ascii="仿宋_GB2312" w:hAnsi="Times New Roman" w:eastAsia="仿宋_GB2312" w:cs="Wingdings"/>
          <w:sz w:val="32"/>
          <w:szCs w:val="32"/>
        </w:rPr>
        <w:t>比上年</w:t>
      </w:r>
      <w:r>
        <w:rPr>
          <w:rFonts w:hint="eastAsia" w:ascii="仿宋_GB2312" w:hAnsi="Times New Roman" w:eastAsia="仿宋_GB2312" w:cs="Wingdings"/>
          <w:sz w:val="32"/>
          <w:szCs w:val="32"/>
          <w:lang w:eastAsia="zh-CN"/>
        </w:rPr>
        <w:t>增加</w:t>
      </w:r>
      <w:r>
        <w:rPr>
          <w:rFonts w:hint="eastAsia" w:ascii="仿宋_GB2312" w:hAnsi="Times New Roman" w:eastAsia="仿宋_GB2312" w:cs="Wingdings"/>
          <w:sz w:val="32"/>
          <w:szCs w:val="32"/>
          <w:lang w:val="en-US" w:eastAsia="zh-CN"/>
        </w:rPr>
        <w:t>2.59</w:t>
      </w:r>
      <w:r>
        <w:rPr>
          <w:rFonts w:hint="eastAsia" w:ascii="仿宋_GB2312" w:hAnsi="Times New Roman" w:eastAsia="仿宋_GB2312" w:cs="Wingdings"/>
          <w:sz w:val="32"/>
          <w:szCs w:val="32"/>
        </w:rPr>
        <w:t>万元，</w:t>
      </w:r>
      <w:r>
        <w:rPr>
          <w:rFonts w:hint="eastAsia" w:ascii="仿宋_GB2312" w:hAnsi="Times New Roman" w:eastAsia="仿宋_GB2312" w:cs="Wingdings"/>
          <w:sz w:val="32"/>
          <w:szCs w:val="32"/>
          <w:lang w:eastAsia="zh-CN"/>
        </w:rPr>
        <w:t>增加</w:t>
      </w:r>
      <w:r>
        <w:rPr>
          <w:rFonts w:hint="eastAsia" w:ascii="仿宋_GB2312" w:hAnsi="Times New Roman" w:eastAsia="仿宋_GB2312" w:cs="Wingdings"/>
          <w:sz w:val="32"/>
          <w:szCs w:val="32"/>
          <w:lang w:val="en-US" w:eastAsia="zh-CN"/>
        </w:rPr>
        <w:t>100</w:t>
      </w:r>
      <w:r>
        <w:rPr>
          <w:rFonts w:hint="eastAsia" w:ascii="仿宋_GB2312" w:hAnsi="Times New Roman" w:eastAsia="仿宋_GB2312" w:cs="Wingdings"/>
          <w:sz w:val="32"/>
          <w:szCs w:val="32"/>
        </w:rPr>
        <w:t>%</w:t>
      </w:r>
      <w:r>
        <w:rPr>
          <w:rFonts w:hint="eastAsia" w:ascii="仿宋_GB2312" w:hAnsi="Times New Roman" w:eastAsia="仿宋_GB2312" w:cs="Wingdings"/>
          <w:sz w:val="32"/>
          <w:szCs w:val="32"/>
          <w:lang w:eastAsia="zh-CN"/>
        </w:rPr>
        <w:t>，</w:t>
      </w:r>
      <w:r>
        <w:rPr>
          <w:rFonts w:hint="eastAsia" w:ascii="仿宋_GB2312" w:hAnsi="Times New Roman" w:eastAsia="仿宋_GB2312" w:cs="Wingdings"/>
          <w:sz w:val="32"/>
          <w:szCs w:val="32"/>
        </w:rPr>
        <w:t>主要</w:t>
      </w:r>
      <w:r>
        <w:rPr>
          <w:rFonts w:hint="eastAsia" w:ascii="仿宋_GB2312" w:hAnsi="Times New Roman" w:eastAsia="仿宋_GB2312" w:cs="Wingdings"/>
          <w:sz w:val="32"/>
          <w:szCs w:val="32"/>
          <w:lang w:eastAsia="zh-CN"/>
        </w:rPr>
        <w:t>是城乡社区支出。</w:t>
      </w:r>
    </w:p>
    <w:p w14:paraId="7116F3FB">
      <w:pPr>
        <w:adjustRightInd w:val="0"/>
        <w:snapToGrid w:val="0"/>
        <w:spacing w:line="580" w:lineRule="exact"/>
        <w:jc w:val="center"/>
        <w:rPr>
          <w:rFonts w:hint="eastAsia" w:ascii="楷体_GB2312" w:hAnsi="Times New Roman" w:eastAsia="楷体_GB2312" w:cs="Mongolian Baiti"/>
          <w:b/>
          <w:bCs/>
          <w:sz w:val="32"/>
          <w:szCs w:val="32"/>
        </w:rPr>
      </w:pPr>
      <w:r>
        <w:rPr>
          <w:rFonts w:hint="eastAsia" w:ascii="仿宋_GB2312" w:hAnsi="Times New Roman" w:eastAsia="仿宋_GB2312" w:cs="DengXian-Regular"/>
          <w:sz w:val="32"/>
          <w:szCs w:val="32"/>
        </w:rPr>
        <w:t>图</w:t>
      </w:r>
      <w:r>
        <w:rPr>
          <w:rFonts w:hint="eastAsia" w:ascii="仿宋_GB2312" w:hAnsi="Times New Roman" w:eastAsia="仿宋_GB2312" w:cs="DengXian-Regular"/>
          <w:sz w:val="32"/>
          <w:szCs w:val="32"/>
          <w:lang w:val="en-US" w:eastAsia="zh-CN"/>
        </w:rPr>
        <w:t>3</w:t>
      </w:r>
      <w:r>
        <w:rPr>
          <w:rFonts w:hint="eastAsia" w:ascii="仿宋_GB2312" w:hAnsi="Times New Roman" w:eastAsia="仿宋_GB2312" w:cs="DengXian-Regular"/>
          <w:sz w:val="32"/>
          <w:szCs w:val="32"/>
        </w:rPr>
        <w:t>：20</w:t>
      </w:r>
      <w:r>
        <w:rPr>
          <w:rFonts w:hint="eastAsia" w:ascii="仿宋_GB2312" w:hAnsi="Times New Roman" w:eastAsia="仿宋_GB2312" w:cs="DengXian-Regular"/>
          <w:sz w:val="32"/>
          <w:szCs w:val="32"/>
          <w:lang w:val="en-US" w:eastAsia="zh-CN"/>
        </w:rPr>
        <w:t>20</w:t>
      </w:r>
      <w:r>
        <w:rPr>
          <w:rFonts w:hint="eastAsia" w:ascii="仿宋_GB2312" w:hAnsi="Times New Roman" w:eastAsia="仿宋_GB2312" w:cs="DengXian-Regular"/>
          <w:sz w:val="32"/>
          <w:szCs w:val="32"/>
        </w:rPr>
        <w:t>年决算收支与201</w:t>
      </w:r>
      <w:r>
        <w:rPr>
          <w:rFonts w:hint="eastAsia" w:ascii="仿宋_GB2312" w:hAnsi="Times New Roman" w:eastAsia="仿宋_GB2312" w:cs="DengXian-Regular"/>
          <w:sz w:val="32"/>
          <w:szCs w:val="32"/>
          <w:lang w:val="en-US" w:eastAsia="zh-CN"/>
        </w:rPr>
        <w:t>9</w:t>
      </w:r>
      <w:r>
        <w:rPr>
          <w:rFonts w:hint="eastAsia" w:ascii="仿宋_GB2312" w:hAnsi="Times New Roman" w:eastAsia="仿宋_GB2312" w:cs="DengXian-Regular"/>
          <w:sz w:val="32"/>
          <w:szCs w:val="32"/>
        </w:rPr>
        <w:t>年决算对比情况</w:t>
      </w:r>
    </w:p>
    <w:p w14:paraId="2011A728">
      <w:pPr>
        <w:snapToGrid w:val="0"/>
        <w:spacing w:line="600" w:lineRule="exact"/>
        <w:ind w:firstLine="643" w:firstLineChars="200"/>
        <w:rPr>
          <w:rFonts w:hint="eastAsia" w:ascii="仿宋_GB2312" w:hAnsi="Times New Roman" w:eastAsia="仿宋_GB2312" w:cs="Wingdings"/>
          <w:sz w:val="32"/>
          <w:szCs w:val="32"/>
          <w:lang w:eastAsia="zh-CN"/>
        </w:rPr>
      </w:pPr>
      <w:r>
        <w:rPr>
          <w:rFonts w:hint="eastAsia" w:ascii="楷体_GB2312" w:hAnsi="Times New Roman" w:eastAsia="楷体_GB2312" w:cs="Mongolian Baiti"/>
          <w:b/>
          <w:bCs/>
          <w:sz w:val="32"/>
          <w:szCs w:val="32"/>
        </w:rPr>
        <w:t>（二）财政拨款收支与年初预算数对比情况</w:t>
      </w:r>
    </w:p>
    <w:p w14:paraId="7B548ADA">
      <w:pPr>
        <w:adjustRightInd w:val="0"/>
        <w:snapToGrid w:val="0"/>
        <w:spacing w:line="600" w:lineRule="exact"/>
        <w:ind w:firstLine="640" w:firstLineChars="200"/>
        <w:rPr>
          <w:rFonts w:hint="eastAsia" w:ascii="仿宋_GB2312" w:hAnsi="Times New Roman" w:eastAsia="仿宋_GB2312" w:cs="Wingdings"/>
          <w:sz w:val="32"/>
          <w:szCs w:val="32"/>
          <w:lang w:eastAsia="zh-CN"/>
        </w:rPr>
      </w:pPr>
      <w:r>
        <w:rPr>
          <w:rFonts w:hint="eastAsia" w:ascii="仿宋_GB2312" w:hAnsi="Times New Roman" w:eastAsia="仿宋_GB2312" w:cs="Wingdings"/>
          <w:sz w:val="32"/>
          <w:szCs w:val="32"/>
        </w:rPr>
        <w:t>本部门2020年度财政拨款本年收入</w:t>
      </w:r>
      <w:r>
        <w:rPr>
          <w:rFonts w:hint="eastAsia" w:ascii="仿宋_GB2312" w:hAnsi="Times New Roman" w:eastAsia="仿宋_GB2312" w:cs="Wingdings"/>
          <w:sz w:val="32"/>
          <w:szCs w:val="32"/>
          <w:lang w:val="en-US" w:eastAsia="zh-CN"/>
        </w:rPr>
        <w:t>911.18</w:t>
      </w:r>
      <w:r>
        <w:rPr>
          <w:rFonts w:hint="eastAsia" w:ascii="仿宋_GB2312" w:hAnsi="Times New Roman" w:eastAsia="仿宋_GB2312" w:cs="Wingdings"/>
          <w:sz w:val="32"/>
          <w:szCs w:val="32"/>
        </w:rPr>
        <w:t>万元，完成年初预算的</w:t>
      </w:r>
      <w:r>
        <w:rPr>
          <w:rFonts w:hint="eastAsia" w:ascii="仿宋_GB2312" w:hAnsi="Times New Roman" w:eastAsia="仿宋_GB2312" w:cs="Wingdings"/>
          <w:sz w:val="32"/>
          <w:szCs w:val="32"/>
          <w:lang w:val="en-US" w:eastAsia="zh-CN"/>
        </w:rPr>
        <w:t>100</w:t>
      </w:r>
      <w:r>
        <w:rPr>
          <w:rFonts w:hint="eastAsia" w:ascii="仿宋_GB2312" w:hAnsi="Times New Roman" w:eastAsia="仿宋_GB2312" w:cs="Wingdings"/>
          <w:sz w:val="32"/>
          <w:szCs w:val="32"/>
        </w:rPr>
        <w:t>%,</w:t>
      </w:r>
      <w:r>
        <w:rPr>
          <w:rFonts w:hint="eastAsia" w:ascii="仿宋_GB2312" w:hAnsi="Times New Roman" w:eastAsia="仿宋_GB2312" w:cs="Wingdings"/>
          <w:sz w:val="32"/>
          <w:szCs w:val="32"/>
          <w:lang w:eastAsia="zh-CN"/>
        </w:rPr>
        <w:t>与</w:t>
      </w:r>
      <w:r>
        <w:rPr>
          <w:rFonts w:hint="eastAsia" w:ascii="仿宋_GB2312" w:hAnsi="Times New Roman" w:eastAsia="仿宋_GB2312" w:cs="Wingdings"/>
          <w:sz w:val="32"/>
          <w:szCs w:val="32"/>
        </w:rPr>
        <w:t>年初预算</w:t>
      </w:r>
      <w:r>
        <w:rPr>
          <w:rFonts w:hint="eastAsia" w:ascii="仿宋_GB2312" w:hAnsi="Times New Roman" w:eastAsia="仿宋_GB2312" w:cs="Wingdings"/>
          <w:sz w:val="32"/>
          <w:szCs w:val="32"/>
          <w:lang w:eastAsia="zh-CN"/>
        </w:rPr>
        <w:t>持平</w:t>
      </w:r>
      <w:r>
        <w:rPr>
          <w:rFonts w:hint="eastAsia" w:ascii="仿宋_GB2312" w:hAnsi="Times New Roman" w:eastAsia="仿宋_GB2312" w:cs="Wingdings"/>
          <w:sz w:val="32"/>
          <w:szCs w:val="32"/>
        </w:rPr>
        <w:t>；本年支出</w:t>
      </w:r>
      <w:r>
        <w:rPr>
          <w:rFonts w:hint="eastAsia" w:ascii="仿宋_GB2312" w:hAnsi="Times New Roman" w:eastAsia="仿宋_GB2312" w:cs="Wingdings"/>
          <w:sz w:val="32"/>
          <w:szCs w:val="32"/>
          <w:lang w:val="en-US" w:eastAsia="zh-CN"/>
        </w:rPr>
        <w:t>812.74</w:t>
      </w:r>
      <w:r>
        <w:rPr>
          <w:rFonts w:hint="eastAsia" w:ascii="仿宋_GB2312" w:hAnsi="Times New Roman" w:eastAsia="仿宋_GB2312" w:cs="Wingdings"/>
          <w:sz w:val="32"/>
          <w:szCs w:val="32"/>
        </w:rPr>
        <w:t>万元，完成年初预算的</w:t>
      </w:r>
      <w:r>
        <w:rPr>
          <w:rFonts w:hint="eastAsia" w:ascii="仿宋_GB2312" w:hAnsi="Times New Roman" w:eastAsia="仿宋_GB2312" w:cs="Wingdings"/>
          <w:sz w:val="32"/>
          <w:szCs w:val="32"/>
          <w:lang w:val="en-US" w:eastAsia="zh-CN"/>
        </w:rPr>
        <w:t>89.2</w:t>
      </w:r>
      <w:r>
        <w:rPr>
          <w:rFonts w:hint="eastAsia" w:ascii="仿宋_GB2312" w:hAnsi="Times New Roman" w:eastAsia="仿宋_GB2312" w:cs="Wingdings"/>
          <w:sz w:val="32"/>
          <w:szCs w:val="32"/>
        </w:rPr>
        <w:t>%,</w:t>
      </w:r>
      <w:r>
        <w:rPr>
          <w:rFonts w:hint="eastAsia" w:ascii="仿宋_GB2312" w:hAnsi="Times New Roman" w:eastAsia="仿宋_GB2312" w:cs="Wingdings"/>
          <w:sz w:val="32"/>
          <w:szCs w:val="32"/>
          <w:lang w:eastAsia="zh-CN"/>
        </w:rPr>
        <w:t>比年初预算减少</w:t>
      </w:r>
      <w:r>
        <w:rPr>
          <w:rFonts w:hint="eastAsia" w:ascii="仿宋_GB2312" w:hAnsi="Times New Roman" w:eastAsia="仿宋_GB2312" w:cs="Wingdings"/>
          <w:sz w:val="32"/>
          <w:szCs w:val="32"/>
          <w:lang w:val="en-US" w:eastAsia="zh-CN"/>
        </w:rPr>
        <w:t>98.44</w:t>
      </w:r>
      <w:r>
        <w:rPr>
          <w:rFonts w:hint="eastAsia" w:ascii="仿宋_GB2312" w:hAnsi="Times New Roman" w:eastAsia="仿宋_GB2312" w:cs="Wingdings"/>
          <w:sz w:val="32"/>
          <w:szCs w:val="32"/>
          <w:lang w:eastAsia="zh-CN"/>
        </w:rPr>
        <w:t>。</w:t>
      </w:r>
    </w:p>
    <w:p w14:paraId="02307D63">
      <w:pPr>
        <w:adjustRightInd w:val="0"/>
        <w:snapToGrid w:val="0"/>
        <w:spacing w:line="600" w:lineRule="exact"/>
        <w:ind w:firstLine="640" w:firstLineChars="200"/>
        <w:rPr>
          <w:rFonts w:ascii="仿宋_GB2312" w:hAnsi="Times New Roman" w:eastAsia="仿宋_GB2312" w:cs="Wingdings"/>
          <w:sz w:val="32"/>
          <w:szCs w:val="32"/>
        </w:rPr>
      </w:pPr>
      <w:r>
        <w:rPr>
          <w:rFonts w:hint="eastAsia" w:ascii="仿宋_GB2312" w:hAnsi="Times New Roman" w:eastAsia="仿宋_GB2312" w:cs="Wingdings"/>
          <w:sz w:val="32"/>
          <w:szCs w:val="32"/>
        </w:rPr>
        <w:t>具体情况如下：</w:t>
      </w:r>
    </w:p>
    <w:p w14:paraId="190F82CA">
      <w:pPr>
        <w:numPr>
          <w:ilvl w:val="0"/>
          <w:numId w:val="2"/>
        </w:numPr>
        <w:adjustRightInd w:val="0"/>
        <w:snapToGrid w:val="0"/>
        <w:spacing w:line="600" w:lineRule="exact"/>
        <w:ind w:firstLine="640" w:firstLineChars="200"/>
        <w:rPr>
          <w:rFonts w:ascii="仿宋_GB2312" w:hAnsi="Times New Roman" w:eastAsia="仿宋_GB2312" w:cs="Wingdings"/>
          <w:sz w:val="32"/>
          <w:szCs w:val="32"/>
        </w:rPr>
      </w:pPr>
      <w:r>
        <w:rPr>
          <w:rFonts w:hint="eastAsia" w:ascii="仿宋_GB2312" w:hAnsi="Times New Roman" w:eastAsia="仿宋_GB2312" w:cs="Wingdings"/>
          <w:sz w:val="32"/>
          <w:szCs w:val="32"/>
        </w:rPr>
        <w:t>一般公共预算财政拨款本年收入</w:t>
      </w:r>
      <w:r>
        <w:rPr>
          <w:rFonts w:hint="eastAsia" w:ascii="仿宋_GB2312" w:hAnsi="Times New Roman" w:eastAsia="仿宋_GB2312" w:cs="Wingdings"/>
          <w:sz w:val="32"/>
          <w:szCs w:val="32"/>
          <w:lang w:val="en-US" w:eastAsia="zh-CN"/>
        </w:rPr>
        <w:t>911.18万元，</w:t>
      </w:r>
      <w:r>
        <w:rPr>
          <w:rFonts w:hint="eastAsia" w:ascii="仿宋_GB2312" w:hAnsi="Times New Roman" w:eastAsia="仿宋_GB2312" w:cs="Wingdings"/>
          <w:sz w:val="32"/>
          <w:szCs w:val="32"/>
        </w:rPr>
        <w:t>完成年初预算</w:t>
      </w:r>
      <w:r>
        <w:rPr>
          <w:rFonts w:hint="eastAsia" w:ascii="仿宋_GB2312" w:hAnsi="Times New Roman" w:eastAsia="仿宋_GB2312" w:cs="Wingdings"/>
          <w:sz w:val="32"/>
          <w:szCs w:val="32"/>
          <w:lang w:val="en-US" w:eastAsia="zh-CN"/>
        </w:rPr>
        <w:t>100</w:t>
      </w:r>
      <w:r>
        <w:rPr>
          <w:rFonts w:hint="eastAsia" w:ascii="仿宋_GB2312" w:hAnsi="Times New Roman" w:eastAsia="仿宋_GB2312" w:cs="Wingdings"/>
          <w:sz w:val="32"/>
          <w:szCs w:val="32"/>
        </w:rPr>
        <w:t>%，</w:t>
      </w:r>
      <w:r>
        <w:rPr>
          <w:rFonts w:hint="eastAsia" w:ascii="仿宋_GB2312" w:hAnsi="Times New Roman" w:eastAsia="仿宋_GB2312" w:cs="Wingdings"/>
          <w:sz w:val="32"/>
          <w:szCs w:val="32"/>
          <w:lang w:eastAsia="zh-CN"/>
        </w:rPr>
        <w:t>与年初预算持平</w:t>
      </w:r>
      <w:r>
        <w:rPr>
          <w:rFonts w:hint="eastAsia" w:ascii="仿宋_GB2312" w:hAnsi="Times New Roman" w:eastAsia="仿宋_GB2312" w:cs="Wingdings"/>
          <w:sz w:val="32"/>
          <w:szCs w:val="32"/>
        </w:rPr>
        <w:t>；</w:t>
      </w:r>
      <w:r>
        <w:rPr>
          <w:rFonts w:hint="eastAsia" w:ascii="仿宋_GB2312" w:hAnsi="Times New Roman" w:eastAsia="仿宋_GB2312" w:cs="Wingdings"/>
          <w:sz w:val="32"/>
          <w:szCs w:val="32"/>
          <w:lang w:eastAsia="zh-CN"/>
        </w:rPr>
        <w:t>本年支出</w:t>
      </w:r>
      <w:r>
        <w:rPr>
          <w:rFonts w:hint="eastAsia" w:ascii="仿宋_GB2312" w:hAnsi="Times New Roman" w:eastAsia="仿宋_GB2312" w:cs="Wingdings"/>
          <w:sz w:val="32"/>
          <w:szCs w:val="32"/>
          <w:lang w:val="en-US" w:eastAsia="zh-CN"/>
        </w:rPr>
        <w:t>810.15万元，</w:t>
      </w:r>
      <w:r>
        <w:rPr>
          <w:rFonts w:hint="eastAsia" w:ascii="仿宋_GB2312" w:hAnsi="Times New Roman" w:eastAsia="仿宋_GB2312" w:cs="Wingdings"/>
          <w:sz w:val="32"/>
          <w:szCs w:val="32"/>
        </w:rPr>
        <w:t>支出完成年初预算</w:t>
      </w:r>
      <w:r>
        <w:rPr>
          <w:rFonts w:hint="eastAsia" w:ascii="仿宋_GB2312" w:hAnsi="Times New Roman" w:eastAsia="仿宋_GB2312" w:cs="Wingdings"/>
          <w:sz w:val="32"/>
          <w:szCs w:val="32"/>
          <w:lang w:val="en-US" w:eastAsia="zh-CN"/>
        </w:rPr>
        <w:t>88.91</w:t>
      </w:r>
      <w:r>
        <w:rPr>
          <w:rFonts w:hint="eastAsia" w:ascii="仿宋_GB2312" w:hAnsi="Times New Roman" w:eastAsia="仿宋_GB2312" w:cs="Wingdings"/>
          <w:sz w:val="32"/>
          <w:szCs w:val="32"/>
        </w:rPr>
        <w:t>%，比年初预算减少</w:t>
      </w:r>
      <w:r>
        <w:rPr>
          <w:rFonts w:hint="eastAsia" w:ascii="仿宋_GB2312" w:hAnsi="Times New Roman" w:eastAsia="仿宋_GB2312" w:cs="Wingdings"/>
          <w:sz w:val="32"/>
          <w:szCs w:val="32"/>
          <w:lang w:val="en-US" w:eastAsia="zh-CN"/>
        </w:rPr>
        <w:t>101.04</w:t>
      </w:r>
      <w:r>
        <w:rPr>
          <w:rFonts w:hint="eastAsia" w:ascii="仿宋_GB2312" w:hAnsi="Times New Roman" w:eastAsia="仿宋_GB2312" w:cs="Wingdings"/>
          <w:sz w:val="32"/>
          <w:szCs w:val="32"/>
        </w:rPr>
        <w:t>万元，主要是</w:t>
      </w:r>
      <w:r>
        <w:rPr>
          <w:rFonts w:hint="eastAsia" w:ascii="仿宋_GB2312" w:hAnsi="Times New Roman" w:eastAsia="仿宋_GB2312" w:cs="Wingdings"/>
          <w:sz w:val="32"/>
          <w:szCs w:val="32"/>
          <w:lang w:eastAsia="zh-CN"/>
        </w:rPr>
        <w:t>部门项目未支出</w:t>
      </w:r>
      <w:r>
        <w:rPr>
          <w:rFonts w:hint="eastAsia" w:ascii="仿宋_GB2312" w:hAnsi="Times New Roman" w:eastAsia="仿宋_GB2312" w:cs="Wingdings"/>
          <w:sz w:val="32"/>
          <w:szCs w:val="32"/>
        </w:rPr>
        <w:t>。</w:t>
      </w:r>
    </w:p>
    <w:p w14:paraId="2C33553A">
      <w:pPr>
        <w:numPr>
          <w:ilvl w:val="0"/>
          <w:numId w:val="0"/>
        </w:numPr>
        <w:adjustRightInd w:val="0"/>
        <w:snapToGrid w:val="0"/>
        <w:spacing w:line="600" w:lineRule="exact"/>
        <w:ind w:firstLine="640" w:firstLineChars="200"/>
        <w:rPr>
          <w:rFonts w:ascii="仿宋_GB2312" w:hAnsi="Times New Roman" w:eastAsia="仿宋_GB2312" w:cs="Wingdings"/>
          <w:sz w:val="32"/>
          <w:szCs w:val="32"/>
          <w:highlight w:val="yellow"/>
        </w:rPr>
      </w:pPr>
      <w:r>
        <w:rPr>
          <w:rFonts w:hint="eastAsia" w:ascii="仿宋_GB2312" w:hAnsi="Times New Roman" w:eastAsia="仿宋_GB2312" w:cs="Wingdings"/>
          <w:sz w:val="32"/>
          <w:szCs w:val="32"/>
          <w:lang w:val="en-US" w:eastAsia="zh-CN"/>
        </w:rPr>
        <w:t>2.</w:t>
      </w:r>
      <w:r>
        <w:rPr>
          <w:rFonts w:hint="eastAsia" w:ascii="仿宋_GB2312" w:hAnsi="Times New Roman" w:eastAsia="仿宋_GB2312" w:cs="Wingdings"/>
          <w:sz w:val="32"/>
          <w:szCs w:val="32"/>
        </w:rPr>
        <w:t>政府性基金预算财政拨款本年收入完成年初预算</w:t>
      </w:r>
      <w:r>
        <w:rPr>
          <w:rFonts w:hint="eastAsia" w:ascii="仿宋_GB2312" w:hAnsi="Times New Roman" w:eastAsia="仿宋_GB2312" w:cs="Wingdings"/>
          <w:sz w:val="32"/>
          <w:szCs w:val="32"/>
          <w:lang w:val="en-US" w:eastAsia="zh-CN"/>
        </w:rPr>
        <w:t>100</w:t>
      </w:r>
      <w:r>
        <w:rPr>
          <w:rFonts w:hint="eastAsia" w:ascii="仿宋_GB2312" w:hAnsi="Times New Roman" w:eastAsia="仿宋_GB2312" w:cs="Wingdings"/>
          <w:sz w:val="32"/>
          <w:szCs w:val="32"/>
        </w:rPr>
        <w:t>%，</w:t>
      </w:r>
      <w:r>
        <w:rPr>
          <w:rFonts w:hint="eastAsia" w:ascii="仿宋_GB2312" w:hAnsi="Times New Roman" w:eastAsia="仿宋_GB2312" w:cs="Wingdings"/>
          <w:sz w:val="32"/>
          <w:szCs w:val="32"/>
          <w:lang w:eastAsia="zh-CN"/>
        </w:rPr>
        <w:t>与</w:t>
      </w:r>
      <w:r>
        <w:rPr>
          <w:rFonts w:hint="eastAsia" w:ascii="仿宋_GB2312" w:hAnsi="Times New Roman" w:eastAsia="仿宋_GB2312" w:cs="Wingdings"/>
          <w:sz w:val="32"/>
          <w:szCs w:val="32"/>
        </w:rPr>
        <w:t>年初预算</w:t>
      </w:r>
      <w:r>
        <w:rPr>
          <w:rFonts w:hint="eastAsia" w:ascii="仿宋_GB2312" w:hAnsi="Times New Roman" w:eastAsia="仿宋_GB2312" w:cs="Wingdings"/>
          <w:sz w:val="32"/>
          <w:szCs w:val="32"/>
          <w:lang w:eastAsia="zh-CN"/>
        </w:rPr>
        <w:t>持平</w:t>
      </w:r>
      <w:r>
        <w:rPr>
          <w:rFonts w:hint="eastAsia" w:ascii="仿宋_GB2312" w:hAnsi="Times New Roman" w:eastAsia="仿宋_GB2312" w:cs="Wingdings"/>
          <w:sz w:val="32"/>
          <w:szCs w:val="32"/>
        </w:rPr>
        <w:t>；支出完成年初预算</w:t>
      </w:r>
      <w:r>
        <w:rPr>
          <w:rFonts w:hint="eastAsia" w:ascii="仿宋_GB2312" w:hAnsi="Times New Roman" w:eastAsia="仿宋_GB2312" w:cs="Wingdings"/>
          <w:sz w:val="32"/>
          <w:szCs w:val="32"/>
          <w:lang w:val="en-US" w:eastAsia="zh-CN"/>
        </w:rPr>
        <w:t>100</w:t>
      </w:r>
      <w:r>
        <w:rPr>
          <w:rFonts w:hint="eastAsia" w:ascii="仿宋_GB2312" w:hAnsi="Times New Roman" w:eastAsia="仿宋_GB2312" w:cs="Wingdings"/>
          <w:sz w:val="32"/>
          <w:szCs w:val="32"/>
        </w:rPr>
        <w:t>%，</w:t>
      </w:r>
      <w:r>
        <w:rPr>
          <w:rFonts w:hint="eastAsia" w:ascii="仿宋_GB2312" w:hAnsi="Times New Roman" w:eastAsia="仿宋_GB2312" w:cs="Wingdings"/>
          <w:sz w:val="32"/>
          <w:szCs w:val="32"/>
          <w:lang w:eastAsia="zh-CN"/>
        </w:rPr>
        <w:t>与</w:t>
      </w:r>
      <w:r>
        <w:rPr>
          <w:rFonts w:hint="eastAsia" w:ascii="仿宋_GB2312" w:hAnsi="Times New Roman" w:eastAsia="仿宋_GB2312" w:cs="Wingdings"/>
          <w:sz w:val="32"/>
          <w:szCs w:val="32"/>
        </w:rPr>
        <w:t>年初预算</w:t>
      </w:r>
      <w:r>
        <w:rPr>
          <w:rFonts w:hint="eastAsia" w:ascii="仿宋_GB2312" w:hAnsi="Times New Roman" w:eastAsia="仿宋_GB2312" w:cs="Wingdings"/>
          <w:sz w:val="32"/>
          <w:szCs w:val="32"/>
          <w:lang w:eastAsia="zh-CN"/>
        </w:rPr>
        <w:t>持平</w:t>
      </w:r>
      <w:r>
        <w:rPr>
          <w:rFonts w:hint="eastAsia" w:ascii="仿宋_GB2312" w:hAnsi="Times New Roman" w:eastAsia="仿宋_GB2312" w:cs="Wingdings"/>
          <w:sz w:val="32"/>
          <w:szCs w:val="32"/>
        </w:rPr>
        <w:t>，主要是</w:t>
      </w:r>
      <w:r>
        <w:rPr>
          <w:rFonts w:hint="eastAsia" w:ascii="仿宋_GB2312" w:hAnsi="Times New Roman" w:eastAsia="仿宋_GB2312" w:cs="Wingdings"/>
          <w:sz w:val="32"/>
          <w:szCs w:val="32"/>
          <w:lang w:eastAsia="zh-CN"/>
        </w:rPr>
        <w:t>城乡社区支出</w:t>
      </w:r>
      <w:r>
        <w:rPr>
          <w:rFonts w:hint="eastAsia" w:ascii="仿宋_GB2312" w:hAnsi="Times New Roman" w:eastAsia="仿宋_GB2312" w:cs="Wingdings"/>
          <w:sz w:val="32"/>
          <w:szCs w:val="32"/>
        </w:rPr>
        <w:t>。</w:t>
      </w:r>
    </w:p>
    <w:p w14:paraId="665C630C">
      <w:pPr>
        <w:numPr>
          <w:ilvl w:val="0"/>
          <w:numId w:val="3"/>
        </w:numPr>
        <w:adjustRightInd w:val="0"/>
        <w:snapToGrid w:val="0"/>
        <w:spacing w:line="600" w:lineRule="exact"/>
        <w:ind w:left="420" w:leftChars="200"/>
        <w:rPr>
          <w:rFonts w:ascii="楷体_GB2312" w:hAnsi="Times New Roman" w:eastAsia="楷体_GB2312" w:cs="Mongolian Baiti"/>
          <w:b/>
          <w:bCs/>
          <w:sz w:val="32"/>
          <w:szCs w:val="32"/>
        </w:rPr>
      </w:pPr>
      <w:r>
        <w:rPr>
          <w:rFonts w:hint="eastAsia" w:ascii="楷体_GB2312" w:hAnsi="Times New Roman" w:eastAsia="楷体_GB2312" w:cs="Mongolian Baiti"/>
          <w:b/>
          <w:bCs/>
          <w:sz w:val="32"/>
          <w:szCs w:val="32"/>
        </w:rPr>
        <w:t>财政拨款支出决算结构情况。</w:t>
      </w:r>
    </w:p>
    <w:p w14:paraId="44E86A57">
      <w:pPr>
        <w:adjustRightInd w:val="0"/>
        <w:snapToGrid w:val="0"/>
        <w:spacing w:line="580" w:lineRule="exact"/>
        <w:ind w:firstLine="640" w:firstLineChars="200"/>
        <w:rPr>
          <w:rFonts w:hint="eastAsia" w:ascii="楷体_GB2312" w:hAnsi="Times New Roman" w:eastAsia="楷体_GB2312" w:cs="Mongolian Baiti"/>
          <w:b/>
          <w:bCs/>
          <w:sz w:val="32"/>
          <w:szCs w:val="32"/>
        </w:rPr>
      </w:pPr>
      <w:r>
        <w:rPr>
          <w:rFonts w:hint="eastAsia" w:ascii="仿宋_GB2312" w:hAnsi="Times New Roman" w:eastAsia="仿宋_GB2312" w:cs="Wingdings"/>
          <w:sz w:val="32"/>
          <w:szCs w:val="32"/>
        </w:rPr>
        <w:t>2020 年度财政拨款支出</w:t>
      </w:r>
      <w:r>
        <w:rPr>
          <w:rFonts w:hint="eastAsia" w:ascii="仿宋_GB2312" w:hAnsi="Times New Roman" w:eastAsia="仿宋_GB2312" w:cs="Wingdings"/>
          <w:sz w:val="32"/>
          <w:szCs w:val="32"/>
          <w:lang w:val="en-US" w:eastAsia="zh-CN"/>
        </w:rPr>
        <w:t>810.15</w:t>
      </w:r>
      <w:r>
        <w:rPr>
          <w:rFonts w:hint="eastAsia" w:ascii="仿宋_GB2312" w:hAnsi="Times New Roman" w:eastAsia="仿宋_GB2312" w:cs="Wingdings"/>
          <w:sz w:val="32"/>
          <w:szCs w:val="32"/>
        </w:rPr>
        <w:t>万元，主要用于以下方面</w:t>
      </w:r>
      <w:r>
        <w:rPr>
          <w:rFonts w:hint="eastAsia" w:ascii="仿宋_GB2312" w:hAnsi="Times New Roman" w:eastAsia="仿宋_GB2312" w:cs="Wingdings"/>
          <w:sz w:val="32"/>
          <w:szCs w:val="32"/>
          <w:lang w:eastAsia="zh-CN"/>
        </w:rPr>
        <w:t>：</w:t>
      </w:r>
      <w:r>
        <w:rPr>
          <w:rFonts w:hint="eastAsia" w:ascii="仿宋_GB2312" w:hAnsi="Times New Roman" w:eastAsia="仿宋_GB2312" w:cs="Wingdings"/>
          <w:sz w:val="32"/>
          <w:szCs w:val="32"/>
        </w:rPr>
        <w:t>一般公共服务（类）支出</w:t>
      </w:r>
      <w:r>
        <w:rPr>
          <w:rFonts w:hint="eastAsia" w:ascii="仿宋_GB2312" w:hAnsi="Times New Roman" w:eastAsia="仿宋_GB2312" w:cs="Wingdings"/>
          <w:sz w:val="32"/>
          <w:szCs w:val="32"/>
          <w:lang w:val="en-US" w:eastAsia="zh-CN"/>
        </w:rPr>
        <w:t>517.47</w:t>
      </w:r>
      <w:r>
        <w:rPr>
          <w:rFonts w:hint="eastAsia" w:ascii="仿宋_GB2312" w:hAnsi="Times New Roman" w:eastAsia="仿宋_GB2312" w:cs="Wingdings"/>
          <w:sz w:val="32"/>
          <w:szCs w:val="32"/>
        </w:rPr>
        <w:t>万元，占</w:t>
      </w:r>
      <w:r>
        <w:rPr>
          <w:rFonts w:hint="eastAsia" w:ascii="仿宋_GB2312" w:hAnsi="Times New Roman" w:eastAsia="仿宋_GB2312" w:cs="Wingdings"/>
          <w:sz w:val="32"/>
          <w:szCs w:val="32"/>
          <w:lang w:val="en-US" w:eastAsia="zh-CN"/>
        </w:rPr>
        <w:t>63.87</w:t>
      </w:r>
      <w:r>
        <w:rPr>
          <w:rFonts w:hint="eastAsia" w:ascii="仿宋_GB2312" w:hAnsi="Times New Roman" w:eastAsia="仿宋_GB2312" w:cs="Wingdings"/>
          <w:sz w:val="32"/>
          <w:szCs w:val="32"/>
        </w:rPr>
        <w:t>%；</w:t>
      </w:r>
      <w:r>
        <w:rPr>
          <w:rFonts w:hint="eastAsia" w:ascii="仿宋_GB2312" w:hAnsi="Times New Roman" w:eastAsia="仿宋_GB2312" w:cs="DengXian-Regular"/>
          <w:sz w:val="32"/>
          <w:szCs w:val="32"/>
        </w:rPr>
        <w:t>文化旅游体育与传媒支出</w:t>
      </w:r>
      <w:r>
        <w:rPr>
          <w:rFonts w:hint="eastAsia" w:ascii="仿宋_GB2312" w:hAnsi="Times New Roman" w:eastAsia="仿宋_GB2312" w:cs="DengXian-Regular"/>
          <w:sz w:val="32"/>
          <w:szCs w:val="32"/>
          <w:lang w:val="en-US" w:eastAsia="zh-CN"/>
        </w:rPr>
        <w:t>292.67</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36.13</w:t>
      </w:r>
      <w:r>
        <w:rPr>
          <w:rFonts w:hint="eastAsia" w:ascii="仿宋_GB2312" w:hAnsi="Times New Roman" w:eastAsia="仿宋_GB2312" w:cs="DengXian-Regular"/>
          <w:sz w:val="32"/>
          <w:szCs w:val="32"/>
        </w:rPr>
        <w:t>%</w:t>
      </w:r>
      <w:r>
        <w:rPr>
          <w:rFonts w:hint="eastAsia" w:ascii="仿宋_GB2312" w:hAnsi="Times New Roman" w:eastAsia="仿宋_GB2312" w:cs="DengXian-Regular"/>
          <w:sz w:val="32"/>
          <w:szCs w:val="32"/>
          <w:lang w:eastAsia="zh-CN"/>
        </w:rPr>
        <w:t>。</w:t>
      </w:r>
    </w:p>
    <w:p w14:paraId="77D9E18F">
      <w:pPr>
        <w:adjustRightInd w:val="0"/>
        <w:snapToGrid w:val="0"/>
        <w:spacing w:after="160" w:afterLines="0" w:line="560" w:lineRule="exact"/>
        <w:jc w:val="center"/>
        <w:rPr>
          <w:rFonts w:ascii="仿宋_GB2312" w:hAnsi="Times New Roman" w:eastAsia="仿宋_GB2312" w:cs="Wingdings"/>
          <w:sz w:val="28"/>
          <w:szCs w:val="28"/>
        </w:rPr>
      </w:pPr>
      <w:r>
        <w:rPr>
          <w:rFonts w:hint="eastAsia" w:ascii="楷体_GB2312" w:hAnsi="Times New Roman" w:eastAsia="楷体_GB2312" w:cs="Mongolian Baiti"/>
          <w:b/>
          <w:bCs/>
          <w:sz w:val="32"/>
          <w:szCs w:val="32"/>
          <w:lang w:eastAsia="zh-CN"/>
        </w:rPr>
        <w:drawing>
          <wp:anchor distT="0" distB="0" distL="114300" distR="114300" simplePos="0" relativeHeight="251669504" behindDoc="0" locked="0" layoutInCell="1" allowOverlap="1">
            <wp:simplePos x="0" y="0"/>
            <wp:positionH relativeFrom="column">
              <wp:posOffset>737235</wp:posOffset>
            </wp:positionH>
            <wp:positionV relativeFrom="paragraph">
              <wp:posOffset>334645</wp:posOffset>
            </wp:positionV>
            <wp:extent cx="4304665" cy="2174875"/>
            <wp:effectExtent l="5080" t="4445" r="14605" b="11430"/>
            <wp:wrapTopAndBottom/>
            <wp:docPr id="22" name="图表 22"/>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anchor>
        </w:drawing>
      </w:r>
      <w:r>
        <w:rPr>
          <w:rFonts w:hint="eastAsia" w:ascii="仿宋_GB2312" w:hAnsi="Times New Roman" w:eastAsia="仿宋_GB2312" w:cs="Wingdings"/>
          <w:sz w:val="28"/>
          <w:szCs w:val="28"/>
        </w:rPr>
        <w:t>图</w:t>
      </w:r>
      <w:r>
        <w:rPr>
          <w:rFonts w:hint="eastAsia" w:ascii="仿宋_GB2312" w:hAnsi="Times New Roman" w:eastAsia="仿宋_GB2312" w:cs="Wingdings"/>
          <w:sz w:val="28"/>
          <w:szCs w:val="28"/>
          <w:lang w:val="en-US" w:eastAsia="zh-CN"/>
        </w:rPr>
        <w:t>4</w:t>
      </w:r>
      <w:r>
        <w:rPr>
          <w:rFonts w:hint="eastAsia" w:ascii="仿宋_GB2312" w:hAnsi="Times New Roman" w:eastAsia="仿宋_GB2312" w:cs="Wingdings"/>
          <w:sz w:val="28"/>
          <w:szCs w:val="28"/>
        </w:rPr>
        <w:t>：</w:t>
      </w:r>
      <w:r>
        <w:rPr>
          <w:rFonts w:hint="eastAsia" w:ascii="仿宋_GB2312" w:hAnsi="Times New Roman" w:eastAsia="仿宋_GB2312" w:cs="Wingdings"/>
          <w:sz w:val="28"/>
          <w:szCs w:val="28"/>
          <w:lang w:eastAsia="zh-CN"/>
        </w:rPr>
        <w:t>财政拨款支出</w:t>
      </w:r>
      <w:r>
        <w:rPr>
          <w:rFonts w:hint="eastAsia" w:ascii="仿宋_GB2312" w:hAnsi="Times New Roman" w:eastAsia="仿宋_GB2312" w:cs="Wingdings"/>
          <w:sz w:val="28"/>
          <w:szCs w:val="28"/>
        </w:rPr>
        <w:t>情况</w:t>
      </w:r>
    </w:p>
    <w:p w14:paraId="2ADC5883">
      <w:pPr>
        <w:adjustRightInd w:val="0"/>
        <w:snapToGrid w:val="0"/>
        <w:spacing w:line="600" w:lineRule="exact"/>
        <w:rPr>
          <w:rFonts w:hint="eastAsia" w:ascii="楷体_GB2312" w:hAnsi="Times New Roman" w:eastAsia="楷体_GB2312" w:cs="Mongolian Baiti"/>
          <w:b/>
          <w:bCs/>
          <w:sz w:val="32"/>
          <w:szCs w:val="32"/>
        </w:rPr>
      </w:pPr>
    </w:p>
    <w:p w14:paraId="5AD53A5D">
      <w:pPr>
        <w:adjustRightInd w:val="0"/>
        <w:snapToGrid w:val="0"/>
        <w:spacing w:line="600" w:lineRule="exact"/>
        <w:ind w:firstLine="643" w:firstLineChars="200"/>
        <w:rPr>
          <w:rFonts w:hint="eastAsia" w:ascii="楷体_GB2312" w:hAnsi="Times New Roman" w:eastAsia="楷体_GB2312" w:cs="Mongolian Baiti"/>
          <w:b/>
          <w:bCs/>
          <w:sz w:val="32"/>
          <w:szCs w:val="32"/>
        </w:rPr>
      </w:pPr>
      <w:r>
        <w:rPr>
          <w:rFonts w:hint="eastAsia" w:ascii="楷体_GB2312" w:hAnsi="Times New Roman" w:eastAsia="楷体_GB2312" w:cs="Mongolian Baiti"/>
          <w:b/>
          <w:bCs/>
          <w:sz w:val="32"/>
          <w:szCs w:val="32"/>
        </w:rPr>
        <w:t>（四）一般公共预算基本支出决算情况说明</w:t>
      </w:r>
    </w:p>
    <w:p w14:paraId="75FA1378">
      <w:pPr>
        <w:adjustRightInd w:val="0"/>
        <w:snapToGrid w:val="0"/>
        <w:spacing w:line="600" w:lineRule="exact"/>
        <w:ind w:firstLine="640" w:firstLineChars="200"/>
        <w:rPr>
          <w:rFonts w:ascii="仿宋_GB2312" w:hAnsi="Times New Roman" w:eastAsia="仿宋_GB2312" w:cs="Wingdings"/>
          <w:sz w:val="32"/>
          <w:szCs w:val="32"/>
        </w:rPr>
      </w:pPr>
      <w:r>
        <w:rPr>
          <w:rFonts w:hint="eastAsia" w:ascii="仿宋_GB2312" w:hAnsi="Times New Roman" w:eastAsia="仿宋_GB2312" w:cs="Wingdings"/>
          <w:sz w:val="32"/>
          <w:szCs w:val="32"/>
        </w:rPr>
        <w:t>2020 年度财政拨款基本支出</w:t>
      </w:r>
      <w:r>
        <w:rPr>
          <w:rFonts w:hint="eastAsia" w:ascii="仿宋_GB2312" w:hAnsi="Times New Roman" w:eastAsia="仿宋_GB2312" w:cs="Wingdings"/>
          <w:sz w:val="32"/>
          <w:szCs w:val="32"/>
          <w:lang w:val="en-US" w:eastAsia="zh-CN"/>
        </w:rPr>
        <w:t>368.47</w:t>
      </w:r>
      <w:r>
        <w:rPr>
          <w:rFonts w:hint="eastAsia" w:ascii="仿宋_GB2312" w:hAnsi="Times New Roman" w:eastAsia="仿宋_GB2312" w:cs="Wingdings"/>
          <w:sz w:val="32"/>
          <w:szCs w:val="32"/>
        </w:rPr>
        <w:t xml:space="preserve">万元，其中：人员经费 </w:t>
      </w:r>
      <w:r>
        <w:rPr>
          <w:rFonts w:hint="eastAsia" w:ascii="仿宋_GB2312" w:hAnsi="Times New Roman" w:eastAsia="仿宋_GB2312" w:cs="Wingdings"/>
          <w:sz w:val="32"/>
          <w:szCs w:val="32"/>
          <w:lang w:val="en-US" w:eastAsia="zh-CN"/>
        </w:rPr>
        <w:t>344.43</w:t>
      </w:r>
      <w:r>
        <w:rPr>
          <w:rFonts w:hint="eastAsia" w:ascii="仿宋_GB2312" w:hAnsi="Times New Roman" w:eastAsia="仿宋_GB2312" w:cs="Wingdings"/>
          <w:sz w:val="32"/>
          <w:szCs w:val="32"/>
        </w:rPr>
        <w:t>万元，主要包括基本工资、津贴补贴、奖金、绩效工资、机关事业单位基本养老保险缴费、职业年金缴费、职工基本医疗保险缴费、公务员医疗补助缴费、住房公积金、其他社会保障缴费、其他工资福利支出；公用经费</w:t>
      </w:r>
      <w:r>
        <w:rPr>
          <w:rFonts w:hint="eastAsia" w:ascii="仿宋_GB2312" w:hAnsi="Times New Roman" w:eastAsia="仿宋_GB2312" w:cs="Wingdings"/>
          <w:sz w:val="32"/>
          <w:szCs w:val="32"/>
          <w:lang w:val="en-US" w:eastAsia="zh-CN"/>
        </w:rPr>
        <w:t>24.04</w:t>
      </w:r>
      <w:r>
        <w:rPr>
          <w:rFonts w:hint="eastAsia" w:ascii="仿宋_GB2312" w:hAnsi="Times New Roman" w:eastAsia="仿宋_GB2312" w:cs="Wingdings"/>
          <w:sz w:val="32"/>
          <w:szCs w:val="32"/>
        </w:rPr>
        <w:t>万元，主要包括办公费、印刷费、电费、邮电费、取暖费</w:t>
      </w:r>
      <w:r>
        <w:rPr>
          <w:rFonts w:hint="eastAsia" w:ascii="仿宋_GB2312" w:hAnsi="Times New Roman" w:eastAsia="仿宋_GB2312" w:cs="Wingdings"/>
          <w:sz w:val="32"/>
          <w:szCs w:val="32"/>
          <w:lang w:eastAsia="zh-CN"/>
        </w:rPr>
        <w:t>、</w:t>
      </w:r>
      <w:r>
        <w:rPr>
          <w:rFonts w:hint="eastAsia" w:ascii="仿宋_GB2312" w:hAnsi="Times New Roman" w:eastAsia="仿宋_GB2312" w:cs="Wingdings"/>
          <w:sz w:val="32"/>
          <w:szCs w:val="32"/>
        </w:rPr>
        <w:t>维修（护）费、劳务费、委托业务费、工会经费、福利费、</w:t>
      </w:r>
      <w:r>
        <w:rPr>
          <w:rFonts w:hint="eastAsia" w:ascii="仿宋_GB2312" w:hAnsi="Times New Roman" w:eastAsia="仿宋_GB2312" w:cs="Wingdings"/>
          <w:sz w:val="32"/>
          <w:szCs w:val="32"/>
          <w:lang w:eastAsia="zh-CN"/>
        </w:rPr>
        <w:t>其他交通费用</w:t>
      </w:r>
      <w:r>
        <w:rPr>
          <w:rFonts w:hint="eastAsia" w:ascii="仿宋_GB2312" w:hAnsi="Times New Roman" w:eastAsia="仿宋_GB2312" w:cs="Wingdings"/>
          <w:sz w:val="32"/>
          <w:szCs w:val="32"/>
        </w:rPr>
        <w:t>。</w:t>
      </w:r>
    </w:p>
    <w:p w14:paraId="1A634737">
      <w:pPr>
        <w:keepNext/>
        <w:keepLines/>
        <w:snapToGrid w:val="0"/>
        <w:spacing w:line="60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五、一般公共预算“三公” 经费支出决算情况说明</w:t>
      </w:r>
    </w:p>
    <w:p w14:paraId="18044C78">
      <w:pPr>
        <w:adjustRightInd w:val="0"/>
        <w:snapToGrid w:val="0"/>
        <w:spacing w:line="600" w:lineRule="exact"/>
        <w:ind w:firstLine="643" w:firstLineChars="200"/>
        <w:rPr>
          <w:rFonts w:ascii="楷体_GB2312" w:hAnsi="Times New Roman" w:eastAsia="楷体_GB2312" w:cs="Mongolian Baiti"/>
          <w:b/>
          <w:bCs/>
          <w:sz w:val="32"/>
          <w:szCs w:val="32"/>
        </w:rPr>
      </w:pPr>
      <w:r>
        <w:rPr>
          <w:rFonts w:hint="eastAsia" w:ascii="楷体_GB2312" w:hAnsi="Times New Roman" w:eastAsia="楷体_GB2312" w:cs="Mongolian Baiti"/>
          <w:b/>
          <w:bCs/>
          <w:sz w:val="32"/>
          <w:szCs w:val="32"/>
        </w:rPr>
        <w:t>（一）“三公”经费财政拨款支出决算总体情况说明</w:t>
      </w:r>
    </w:p>
    <w:p w14:paraId="4013315F">
      <w:pPr>
        <w:adjustRightInd w:val="0"/>
        <w:snapToGrid w:val="0"/>
        <w:spacing w:line="600" w:lineRule="exact"/>
        <w:ind w:firstLine="640" w:firstLineChars="200"/>
        <w:rPr>
          <w:rFonts w:ascii="仿宋_GB2312" w:hAnsi="Times New Roman" w:eastAsia="仿宋_GB2312" w:cs="Wingdings"/>
          <w:sz w:val="32"/>
          <w:szCs w:val="32"/>
        </w:rPr>
      </w:pPr>
      <w:r>
        <w:rPr>
          <w:rFonts w:hint="eastAsia" w:ascii="仿宋_GB2312" w:hAnsi="Times New Roman" w:eastAsia="仿宋_GB2312" w:cs="Wingdings"/>
          <w:sz w:val="32"/>
          <w:szCs w:val="32"/>
        </w:rPr>
        <w:t>本部门2020年度“三公”经费财政拨款支出预算为</w:t>
      </w:r>
      <w:r>
        <w:rPr>
          <w:rFonts w:hint="eastAsia" w:ascii="仿宋_GB2312" w:hAnsi="Times New Roman" w:eastAsia="仿宋_GB2312" w:cs="Wingdings"/>
          <w:sz w:val="32"/>
          <w:szCs w:val="32"/>
          <w:lang w:val="en-US" w:eastAsia="zh-CN"/>
        </w:rPr>
        <w:t>0</w:t>
      </w:r>
      <w:r>
        <w:rPr>
          <w:rFonts w:hint="eastAsia" w:ascii="仿宋_GB2312" w:hAnsi="Times New Roman" w:eastAsia="仿宋_GB2312" w:cs="Wingdings"/>
          <w:sz w:val="32"/>
          <w:szCs w:val="32"/>
        </w:rPr>
        <w:t>万元，支出决算为</w:t>
      </w:r>
      <w:r>
        <w:rPr>
          <w:rFonts w:hint="eastAsia" w:ascii="仿宋_GB2312" w:hAnsi="Times New Roman" w:eastAsia="仿宋_GB2312" w:cs="Wingdings"/>
          <w:sz w:val="32"/>
          <w:szCs w:val="32"/>
          <w:lang w:val="en-US" w:eastAsia="zh-CN"/>
        </w:rPr>
        <w:t>0</w:t>
      </w:r>
      <w:r>
        <w:rPr>
          <w:rFonts w:hint="eastAsia" w:ascii="仿宋_GB2312" w:hAnsi="Times New Roman" w:eastAsia="仿宋_GB2312" w:cs="Wingdings"/>
          <w:sz w:val="32"/>
          <w:szCs w:val="32"/>
        </w:rPr>
        <w:t>元,</w:t>
      </w:r>
      <w:r>
        <w:rPr>
          <w:rFonts w:hint="eastAsia" w:ascii="仿宋_GB2312" w:hAnsi="Times New Roman" w:eastAsia="仿宋_GB2312" w:cs="Wingdings"/>
          <w:sz w:val="32"/>
          <w:szCs w:val="32"/>
          <w:lang w:eastAsia="zh-CN"/>
        </w:rPr>
        <w:t>与</w:t>
      </w:r>
      <w:r>
        <w:rPr>
          <w:rFonts w:hint="eastAsia" w:ascii="仿宋_GB2312" w:hAnsi="Times New Roman" w:eastAsia="仿宋_GB2312" w:cs="Wingdings"/>
          <w:sz w:val="32"/>
          <w:szCs w:val="32"/>
        </w:rPr>
        <w:t>预算</w:t>
      </w:r>
      <w:r>
        <w:rPr>
          <w:rFonts w:hint="eastAsia" w:ascii="仿宋_GB2312" w:hAnsi="Times New Roman" w:eastAsia="仿宋_GB2312" w:cs="Wingdings"/>
          <w:sz w:val="32"/>
          <w:szCs w:val="32"/>
          <w:lang w:eastAsia="zh-CN"/>
        </w:rPr>
        <w:t>持平</w:t>
      </w:r>
      <w:r>
        <w:rPr>
          <w:rFonts w:hint="eastAsia" w:ascii="仿宋_GB2312" w:hAnsi="Times New Roman" w:eastAsia="仿宋_GB2312" w:cs="Wingdings"/>
          <w:sz w:val="32"/>
          <w:szCs w:val="32"/>
        </w:rPr>
        <w:t>；较2019年度减少</w:t>
      </w:r>
      <w:r>
        <w:rPr>
          <w:rFonts w:hint="eastAsia" w:ascii="仿宋_GB2312" w:hAnsi="Times New Roman" w:eastAsia="仿宋_GB2312" w:cs="Wingdings"/>
          <w:sz w:val="32"/>
          <w:szCs w:val="32"/>
          <w:lang w:val="en-US" w:eastAsia="zh-CN"/>
        </w:rPr>
        <w:t>2.2</w:t>
      </w:r>
      <w:r>
        <w:rPr>
          <w:rFonts w:hint="eastAsia" w:ascii="仿宋_GB2312" w:hAnsi="Times New Roman" w:eastAsia="仿宋_GB2312" w:cs="Wingdings"/>
          <w:sz w:val="32"/>
          <w:szCs w:val="32"/>
        </w:rPr>
        <w:t>万元，降低</w:t>
      </w:r>
      <w:r>
        <w:rPr>
          <w:rFonts w:hint="eastAsia" w:ascii="仿宋_GB2312" w:hAnsi="Times New Roman" w:eastAsia="仿宋_GB2312" w:cs="Wingdings"/>
          <w:sz w:val="32"/>
          <w:szCs w:val="32"/>
          <w:lang w:val="en-US" w:eastAsia="zh-CN"/>
        </w:rPr>
        <w:t>100</w:t>
      </w:r>
      <w:r>
        <w:rPr>
          <w:rFonts w:hint="eastAsia" w:ascii="仿宋_GB2312" w:hAnsi="Times New Roman" w:eastAsia="仿宋_GB2312" w:cs="Wingdings"/>
          <w:sz w:val="32"/>
          <w:szCs w:val="32"/>
        </w:rPr>
        <w:t>%，主要是</w:t>
      </w:r>
      <w:r>
        <w:rPr>
          <w:rFonts w:hint="eastAsia" w:ascii="仿宋_GB2312" w:hAnsi="Times New Roman" w:eastAsia="仿宋_GB2312" w:cs="DengXian-Regular"/>
          <w:sz w:val="32"/>
          <w:szCs w:val="32"/>
        </w:rPr>
        <w:t>机构改革，</w:t>
      </w:r>
      <w:r>
        <w:rPr>
          <w:rFonts w:hint="eastAsia" w:ascii="仿宋_GB2312" w:hAnsi="Times New Roman" w:eastAsia="仿宋_GB2312" w:cs="DengXian-Regular"/>
          <w:sz w:val="32"/>
          <w:szCs w:val="32"/>
          <w:lang w:eastAsia="zh-CN"/>
        </w:rPr>
        <w:t>减少</w:t>
      </w:r>
      <w:r>
        <w:rPr>
          <w:rFonts w:hint="eastAsia" w:ascii="仿宋_GB2312" w:hAnsi="Times New Roman" w:eastAsia="仿宋_GB2312" w:cs="DengXian-Regular"/>
          <w:sz w:val="32"/>
          <w:szCs w:val="32"/>
        </w:rPr>
        <w:t>下属单位</w:t>
      </w:r>
      <w:r>
        <w:rPr>
          <w:rFonts w:hint="eastAsia" w:ascii="仿宋_GB2312" w:hAnsi="Times New Roman" w:eastAsia="仿宋_GB2312" w:cs="Wingdings"/>
          <w:sz w:val="32"/>
          <w:szCs w:val="32"/>
        </w:rPr>
        <w:t>。</w:t>
      </w:r>
    </w:p>
    <w:p w14:paraId="28CEAEC9">
      <w:pPr>
        <w:adjustRightInd w:val="0"/>
        <w:snapToGrid w:val="0"/>
        <w:spacing w:line="600" w:lineRule="exact"/>
        <w:ind w:firstLine="643" w:firstLineChars="200"/>
        <w:rPr>
          <w:rFonts w:ascii="楷体_GB2312" w:hAnsi="Times New Roman" w:eastAsia="楷体_GB2312" w:cs="Mongolian Baiti"/>
          <w:b/>
          <w:bCs/>
          <w:sz w:val="32"/>
          <w:szCs w:val="32"/>
        </w:rPr>
      </w:pPr>
      <w:r>
        <w:rPr>
          <w:rFonts w:hint="eastAsia" w:ascii="楷体_GB2312" w:hAnsi="Times New Roman" w:eastAsia="楷体_GB2312" w:cs="Mongolian Baiti"/>
          <w:b/>
          <w:bCs/>
          <w:sz w:val="32"/>
          <w:szCs w:val="32"/>
        </w:rPr>
        <w:t>（二）“三公”经费财政拨款支出决算具体情况说明</w:t>
      </w:r>
    </w:p>
    <w:p w14:paraId="673C4E55">
      <w:pPr>
        <w:adjustRightInd w:val="0"/>
        <w:snapToGrid w:val="0"/>
        <w:spacing w:line="600" w:lineRule="exact"/>
        <w:ind w:firstLine="643" w:firstLineChars="200"/>
        <w:rPr>
          <w:rFonts w:ascii="仿宋_GB2312" w:hAnsi="Times New Roman" w:eastAsia="仿宋_GB2312" w:cs="Wingdings"/>
          <w:sz w:val="32"/>
          <w:szCs w:val="32"/>
        </w:rPr>
      </w:pPr>
      <w:r>
        <w:rPr>
          <w:rFonts w:hint="eastAsia" w:ascii="楷体_GB2312" w:hAnsi="Times New Roman" w:eastAsia="楷体_GB2312" w:cs="Mongolian Baiti"/>
          <w:b/>
          <w:bCs/>
          <w:sz w:val="32"/>
          <w:szCs w:val="32"/>
        </w:rPr>
        <w:t>1.因公出国（境）费。</w:t>
      </w:r>
      <w:r>
        <w:rPr>
          <w:rFonts w:hint="eastAsia" w:ascii="仿宋_GB2312" w:hAnsi="仿宋_GB2312" w:eastAsia="仿宋_GB2312" w:cs="仿宋_GB2312"/>
          <w:sz w:val="32"/>
          <w:szCs w:val="32"/>
        </w:rPr>
        <w:t>本部门2020年</w:t>
      </w:r>
      <w:r>
        <w:rPr>
          <w:rFonts w:hint="eastAsia" w:ascii="仿宋_GB2312" w:hAnsi="仿宋_GB2312" w:eastAsia="仿宋_GB2312" w:cs="仿宋_GB2312"/>
          <w:sz w:val="32"/>
          <w:szCs w:val="32"/>
          <w:lang w:eastAsia="zh-CN"/>
        </w:rPr>
        <w:t>度</w:t>
      </w:r>
      <w:r>
        <w:rPr>
          <w:rFonts w:hint="eastAsia" w:ascii="仿宋_GB2312" w:hAnsi="仿宋_GB2312" w:eastAsia="仿宋_GB2312" w:cs="仿宋_GB2312"/>
          <w:sz w:val="32"/>
          <w:szCs w:val="32"/>
        </w:rPr>
        <w:t>因公出国（境）费支出</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万元，完成预算的</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w:t>
      </w:r>
      <w:r>
        <w:rPr>
          <w:rFonts w:hint="eastAsia" w:ascii="仿宋_GB2312" w:hAnsi="Times New Roman" w:eastAsia="仿宋_GB2312" w:cs="Wingdings"/>
          <w:sz w:val="32"/>
          <w:szCs w:val="32"/>
        </w:rPr>
        <w:t>因公出国（境）团组</w:t>
      </w:r>
      <w:r>
        <w:rPr>
          <w:rFonts w:hint="eastAsia" w:ascii="仿宋_GB2312" w:hAnsi="Times New Roman" w:eastAsia="仿宋_GB2312" w:cs="Wingdings"/>
          <w:sz w:val="32"/>
          <w:szCs w:val="32"/>
          <w:lang w:val="en-US" w:eastAsia="zh-CN"/>
        </w:rPr>
        <w:t>0</w:t>
      </w:r>
      <w:r>
        <w:rPr>
          <w:rFonts w:hint="eastAsia" w:ascii="仿宋_GB2312" w:hAnsi="Times New Roman" w:eastAsia="仿宋_GB2312" w:cs="Wingdings"/>
          <w:sz w:val="32"/>
          <w:szCs w:val="32"/>
        </w:rPr>
        <w:t>个、共</w:t>
      </w:r>
      <w:r>
        <w:rPr>
          <w:rFonts w:hint="eastAsia" w:ascii="仿宋_GB2312" w:hAnsi="Times New Roman" w:eastAsia="仿宋_GB2312" w:cs="Wingdings"/>
          <w:sz w:val="32"/>
          <w:szCs w:val="32"/>
          <w:lang w:val="en-US" w:eastAsia="zh-CN"/>
        </w:rPr>
        <w:t>0</w:t>
      </w:r>
      <w:r>
        <w:rPr>
          <w:rFonts w:hint="eastAsia" w:ascii="仿宋_GB2312" w:hAnsi="Times New Roman" w:eastAsia="仿宋_GB2312" w:cs="Wingdings"/>
          <w:sz w:val="32"/>
          <w:szCs w:val="32"/>
        </w:rPr>
        <w:t>人、参加其他单位组织的因公出国（境）团组</w:t>
      </w:r>
      <w:r>
        <w:rPr>
          <w:rFonts w:hint="eastAsia" w:ascii="仿宋_GB2312" w:hAnsi="Times New Roman" w:eastAsia="仿宋_GB2312" w:cs="Wingdings"/>
          <w:sz w:val="32"/>
          <w:szCs w:val="32"/>
          <w:lang w:val="en-US" w:eastAsia="zh-CN"/>
        </w:rPr>
        <w:t>0</w:t>
      </w:r>
      <w:r>
        <w:rPr>
          <w:rFonts w:hint="eastAsia" w:ascii="仿宋_GB2312" w:hAnsi="Times New Roman" w:eastAsia="仿宋_GB2312" w:cs="Wingdings"/>
          <w:sz w:val="32"/>
          <w:szCs w:val="32"/>
        </w:rPr>
        <w:t>个、共</w:t>
      </w:r>
      <w:r>
        <w:rPr>
          <w:rFonts w:hint="eastAsia" w:ascii="仿宋_GB2312" w:hAnsi="Times New Roman" w:eastAsia="仿宋_GB2312" w:cs="Wingdings"/>
          <w:sz w:val="32"/>
          <w:szCs w:val="32"/>
          <w:lang w:val="en-US" w:eastAsia="zh-CN"/>
        </w:rPr>
        <w:t>0</w:t>
      </w:r>
      <w:r>
        <w:rPr>
          <w:rFonts w:hint="eastAsia" w:ascii="仿宋_GB2312" w:hAnsi="Times New Roman" w:eastAsia="仿宋_GB2312" w:cs="Wingdings"/>
          <w:sz w:val="32"/>
          <w:szCs w:val="32"/>
        </w:rPr>
        <w:t>人/无本单位组织的出国（境）团组。因公出国（境）费支出较预算</w:t>
      </w:r>
      <w:r>
        <w:rPr>
          <w:rFonts w:hint="eastAsia" w:ascii="仿宋_GB2312" w:hAnsi="Times New Roman" w:eastAsia="仿宋_GB2312" w:cs="Wingdings"/>
          <w:sz w:val="32"/>
          <w:szCs w:val="32"/>
          <w:lang w:eastAsia="zh-CN"/>
        </w:rPr>
        <w:t>持平</w:t>
      </w:r>
      <w:r>
        <w:rPr>
          <w:rFonts w:hint="eastAsia" w:ascii="仿宋_GB2312" w:hAnsi="Times New Roman" w:eastAsia="仿宋_GB2312" w:cs="Wingdings"/>
          <w:sz w:val="32"/>
          <w:szCs w:val="32"/>
        </w:rPr>
        <w:t>；</w:t>
      </w:r>
      <w:r>
        <w:rPr>
          <w:rFonts w:hint="eastAsia" w:ascii="仿宋_GB2312" w:hAnsi="Times New Roman" w:eastAsia="仿宋_GB2312" w:cs="Wingdings"/>
          <w:sz w:val="32"/>
          <w:szCs w:val="32"/>
          <w:lang w:eastAsia="zh-CN"/>
        </w:rPr>
        <w:t>与</w:t>
      </w:r>
      <w:r>
        <w:rPr>
          <w:rFonts w:hint="eastAsia" w:ascii="仿宋_GB2312" w:hAnsi="Times New Roman" w:eastAsia="仿宋_GB2312" w:cs="Wingdings"/>
          <w:sz w:val="32"/>
          <w:szCs w:val="32"/>
        </w:rPr>
        <w:t>上年</w:t>
      </w:r>
      <w:r>
        <w:rPr>
          <w:rFonts w:hint="eastAsia" w:ascii="仿宋_GB2312" w:hAnsi="Times New Roman" w:eastAsia="仿宋_GB2312" w:cs="Wingdings"/>
          <w:sz w:val="32"/>
          <w:szCs w:val="32"/>
          <w:lang w:eastAsia="zh-CN"/>
        </w:rPr>
        <w:t>持平</w:t>
      </w:r>
      <w:r>
        <w:rPr>
          <w:rFonts w:hint="eastAsia" w:ascii="仿宋_GB2312" w:hAnsi="Times New Roman" w:eastAsia="仿宋_GB2312" w:cs="Wingdings"/>
          <w:sz w:val="32"/>
          <w:szCs w:val="32"/>
        </w:rPr>
        <w:t>。</w:t>
      </w:r>
    </w:p>
    <w:p w14:paraId="04D6C254">
      <w:pPr>
        <w:adjustRightInd w:val="0"/>
        <w:snapToGrid w:val="0"/>
        <w:spacing w:line="600" w:lineRule="exact"/>
        <w:ind w:firstLine="643" w:firstLineChars="200"/>
        <w:rPr>
          <w:rFonts w:ascii="仿宋_GB2312" w:hAnsi="Times New Roman" w:eastAsia="仿宋_GB2312" w:cs="Mongolian Baiti"/>
          <w:b/>
          <w:bCs/>
          <w:sz w:val="32"/>
          <w:szCs w:val="32"/>
        </w:rPr>
      </w:pPr>
      <w:r>
        <w:rPr>
          <w:rFonts w:hint="eastAsia" w:ascii="楷体_GB2312" w:hAnsi="Times New Roman" w:eastAsia="楷体_GB2312" w:cs="Mongolian Baiti"/>
          <w:b/>
          <w:bCs/>
          <w:sz w:val="32"/>
          <w:szCs w:val="32"/>
        </w:rPr>
        <w:t>2.公务用车购置及运行维护费。</w:t>
      </w:r>
      <w:r>
        <w:rPr>
          <w:rFonts w:hint="eastAsia" w:ascii="仿宋_GB2312" w:hAnsi="仿宋_GB2312" w:eastAsia="仿宋_GB2312" w:cs="仿宋_GB2312"/>
          <w:sz w:val="32"/>
          <w:szCs w:val="32"/>
        </w:rPr>
        <w:t>本部门2020年</w:t>
      </w:r>
      <w:r>
        <w:rPr>
          <w:rFonts w:hint="eastAsia" w:ascii="仿宋_GB2312" w:hAnsi="仿宋_GB2312" w:eastAsia="仿宋_GB2312" w:cs="仿宋_GB2312"/>
          <w:sz w:val="32"/>
          <w:szCs w:val="32"/>
          <w:lang w:eastAsia="zh-CN"/>
        </w:rPr>
        <w:t>度</w:t>
      </w:r>
      <w:r>
        <w:rPr>
          <w:rFonts w:hint="eastAsia" w:ascii="仿宋_GB2312" w:hAnsi="仿宋_GB2312" w:eastAsia="仿宋_GB2312" w:cs="仿宋_GB2312"/>
          <w:sz w:val="32"/>
          <w:szCs w:val="32"/>
        </w:rPr>
        <w:t>公务用车购置及运行维护费支出</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万元，完成预算的</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w:t>
      </w:r>
      <w:r>
        <w:rPr>
          <w:rFonts w:hint="eastAsia" w:ascii="仿宋_GB2312" w:hAnsi="Times New Roman" w:eastAsia="仿宋_GB2312" w:cs="Wingdings"/>
          <w:sz w:val="32"/>
          <w:szCs w:val="32"/>
        </w:rPr>
        <w:t>较预算</w:t>
      </w:r>
      <w:r>
        <w:rPr>
          <w:rFonts w:hint="eastAsia" w:ascii="仿宋_GB2312" w:hAnsi="Times New Roman" w:eastAsia="仿宋_GB2312" w:cs="Wingdings"/>
          <w:sz w:val="32"/>
          <w:szCs w:val="32"/>
          <w:lang w:eastAsia="zh-CN"/>
        </w:rPr>
        <w:t>持平，无增减变化</w:t>
      </w:r>
      <w:r>
        <w:rPr>
          <w:rFonts w:hint="eastAsia" w:ascii="仿宋_GB2312" w:hAnsi="Times New Roman" w:eastAsia="仿宋_GB2312" w:cs="Wingdings"/>
          <w:sz w:val="32"/>
          <w:szCs w:val="32"/>
        </w:rPr>
        <w:t>；较上年减少</w:t>
      </w:r>
      <w:r>
        <w:rPr>
          <w:rFonts w:hint="eastAsia" w:ascii="仿宋_GB2312" w:hAnsi="Times New Roman" w:eastAsia="仿宋_GB2312" w:cs="Wingdings"/>
          <w:sz w:val="32"/>
          <w:szCs w:val="32"/>
          <w:lang w:val="en-US" w:eastAsia="zh-CN"/>
        </w:rPr>
        <w:t>2.2</w:t>
      </w:r>
      <w:r>
        <w:rPr>
          <w:rFonts w:hint="eastAsia" w:ascii="仿宋_GB2312" w:hAnsi="Times New Roman" w:eastAsia="仿宋_GB2312" w:cs="Wingdings"/>
          <w:sz w:val="32"/>
          <w:szCs w:val="32"/>
        </w:rPr>
        <w:t>万元，降低</w:t>
      </w:r>
      <w:r>
        <w:rPr>
          <w:rFonts w:hint="eastAsia" w:ascii="仿宋_GB2312" w:hAnsi="Times New Roman" w:eastAsia="仿宋_GB2312" w:cs="Wingdings"/>
          <w:sz w:val="32"/>
          <w:szCs w:val="32"/>
          <w:lang w:val="en-US" w:eastAsia="zh-CN"/>
        </w:rPr>
        <w:t>100</w:t>
      </w:r>
      <w:r>
        <w:rPr>
          <w:rFonts w:hint="eastAsia" w:ascii="仿宋_GB2312" w:hAnsi="Times New Roman" w:eastAsia="仿宋_GB2312" w:cs="Wingdings"/>
          <w:sz w:val="32"/>
          <w:szCs w:val="32"/>
        </w:rPr>
        <w:t>%,主要是</w:t>
      </w:r>
      <w:r>
        <w:rPr>
          <w:rFonts w:hint="eastAsia" w:ascii="仿宋_GB2312" w:hAnsi="Times New Roman" w:eastAsia="仿宋_GB2312" w:cs="DengXian-Regular"/>
          <w:sz w:val="32"/>
          <w:szCs w:val="32"/>
        </w:rPr>
        <w:t>机构改革，</w:t>
      </w:r>
      <w:r>
        <w:rPr>
          <w:rFonts w:hint="eastAsia" w:ascii="仿宋_GB2312" w:hAnsi="Times New Roman" w:eastAsia="仿宋_GB2312" w:cs="DengXian-Regular"/>
          <w:sz w:val="32"/>
          <w:szCs w:val="32"/>
          <w:lang w:eastAsia="zh-CN"/>
        </w:rPr>
        <w:t>减少</w:t>
      </w:r>
      <w:r>
        <w:rPr>
          <w:rFonts w:hint="eastAsia" w:ascii="仿宋_GB2312" w:hAnsi="Times New Roman" w:eastAsia="仿宋_GB2312" w:cs="DengXian-Regular"/>
          <w:sz w:val="32"/>
          <w:szCs w:val="32"/>
        </w:rPr>
        <w:t>下属单位，经费</w:t>
      </w:r>
      <w:r>
        <w:rPr>
          <w:rFonts w:hint="eastAsia" w:ascii="仿宋_GB2312" w:hAnsi="Times New Roman" w:eastAsia="仿宋_GB2312" w:cs="DengXian-Regular"/>
          <w:sz w:val="32"/>
          <w:szCs w:val="32"/>
          <w:lang w:eastAsia="zh-CN"/>
        </w:rPr>
        <w:t>减少</w:t>
      </w:r>
      <w:r>
        <w:rPr>
          <w:rFonts w:hint="eastAsia" w:ascii="仿宋_GB2312" w:hAnsi="Times New Roman" w:eastAsia="仿宋_GB2312" w:cs="Wingdings"/>
          <w:sz w:val="32"/>
          <w:szCs w:val="32"/>
        </w:rPr>
        <w:t>。</w:t>
      </w:r>
      <w:r>
        <w:rPr>
          <w:rFonts w:hint="eastAsia" w:ascii="仿宋_GB2312" w:hAnsi="Times New Roman" w:eastAsia="仿宋_GB2312" w:cs="Mongolian Baiti"/>
          <w:b/>
          <w:bCs/>
          <w:sz w:val="32"/>
          <w:szCs w:val="32"/>
        </w:rPr>
        <w:t>其中：</w:t>
      </w:r>
    </w:p>
    <w:p w14:paraId="2CE76833">
      <w:pPr>
        <w:adjustRightInd w:val="0"/>
        <w:snapToGrid w:val="0"/>
        <w:spacing w:line="600" w:lineRule="exact"/>
        <w:ind w:firstLine="643" w:firstLineChars="200"/>
        <w:rPr>
          <w:rFonts w:ascii="仿宋_GB2312" w:hAnsi="Times New Roman" w:eastAsia="仿宋_GB2312" w:cs="Wingdings"/>
          <w:sz w:val="32"/>
          <w:szCs w:val="32"/>
        </w:rPr>
      </w:pPr>
      <w:r>
        <w:rPr>
          <w:rFonts w:hint="eastAsia" w:ascii="仿宋_GB2312" w:hAnsi="Times New Roman" w:eastAsia="仿宋_GB2312" w:cs="Wingdings"/>
          <w:b/>
          <w:sz w:val="32"/>
          <w:szCs w:val="32"/>
        </w:rPr>
        <w:t>公务用车购置费支出：</w:t>
      </w:r>
      <w:r>
        <w:rPr>
          <w:rFonts w:hint="eastAsia" w:ascii="仿宋_GB2312" w:hAnsi="Times New Roman" w:eastAsia="仿宋_GB2312" w:cs="Wingdings"/>
          <w:sz w:val="32"/>
          <w:szCs w:val="32"/>
        </w:rPr>
        <w:t>本部门2020年度公务用车购置量</w:t>
      </w:r>
      <w:r>
        <w:rPr>
          <w:rFonts w:hint="eastAsia" w:ascii="仿宋_GB2312" w:hAnsi="Times New Roman" w:eastAsia="仿宋_GB2312" w:cs="Wingdings"/>
          <w:sz w:val="32"/>
          <w:szCs w:val="32"/>
          <w:lang w:val="en-US" w:eastAsia="zh-CN"/>
        </w:rPr>
        <w:t>0</w:t>
      </w:r>
      <w:r>
        <w:rPr>
          <w:rFonts w:hint="eastAsia" w:ascii="仿宋_GB2312" w:hAnsi="Times New Roman" w:eastAsia="仿宋_GB2312" w:cs="Wingdings"/>
          <w:sz w:val="32"/>
          <w:szCs w:val="32"/>
        </w:rPr>
        <w:t>辆，发生“公务用车购置”经费支出</w:t>
      </w:r>
      <w:r>
        <w:rPr>
          <w:rFonts w:hint="eastAsia" w:ascii="仿宋_GB2312" w:hAnsi="Times New Roman" w:eastAsia="仿宋_GB2312" w:cs="Wingdings"/>
          <w:sz w:val="32"/>
          <w:szCs w:val="32"/>
          <w:lang w:val="en-US" w:eastAsia="zh-CN"/>
        </w:rPr>
        <w:t>0</w:t>
      </w:r>
      <w:r>
        <w:rPr>
          <w:rFonts w:hint="eastAsia" w:ascii="仿宋_GB2312" w:hAnsi="Times New Roman" w:eastAsia="仿宋_GB2312" w:cs="Wingdings"/>
          <w:sz w:val="32"/>
          <w:szCs w:val="32"/>
        </w:rPr>
        <w:t>万元。公务用车购置费支出</w:t>
      </w:r>
      <w:r>
        <w:rPr>
          <w:rFonts w:hint="eastAsia" w:ascii="仿宋_GB2312" w:hAnsi="Times New Roman" w:eastAsia="仿宋_GB2312" w:cs="Wingdings"/>
          <w:sz w:val="32"/>
          <w:szCs w:val="32"/>
          <w:lang w:eastAsia="zh-CN"/>
        </w:rPr>
        <w:t>与</w:t>
      </w:r>
      <w:r>
        <w:rPr>
          <w:rFonts w:hint="eastAsia" w:ascii="仿宋_GB2312" w:hAnsi="Times New Roman" w:eastAsia="仿宋_GB2312" w:cs="Wingdings"/>
          <w:sz w:val="32"/>
          <w:szCs w:val="32"/>
        </w:rPr>
        <w:t>预算</w:t>
      </w:r>
      <w:r>
        <w:rPr>
          <w:rFonts w:hint="eastAsia" w:ascii="仿宋_GB2312" w:hAnsi="Times New Roman" w:eastAsia="仿宋_GB2312" w:cs="Wingdings"/>
          <w:sz w:val="32"/>
          <w:szCs w:val="32"/>
          <w:lang w:eastAsia="zh-CN"/>
        </w:rPr>
        <w:t>持平，无增减变化</w:t>
      </w:r>
      <w:r>
        <w:rPr>
          <w:rFonts w:hint="eastAsia" w:ascii="仿宋_GB2312" w:hAnsi="Times New Roman" w:eastAsia="仿宋_GB2312" w:cs="Wingdings"/>
          <w:sz w:val="32"/>
          <w:szCs w:val="32"/>
        </w:rPr>
        <w:t>；</w:t>
      </w:r>
      <w:r>
        <w:rPr>
          <w:rFonts w:hint="eastAsia" w:ascii="仿宋_GB2312" w:hAnsi="Times New Roman" w:eastAsia="仿宋_GB2312" w:cs="Wingdings"/>
          <w:sz w:val="32"/>
          <w:szCs w:val="32"/>
          <w:lang w:eastAsia="zh-CN"/>
        </w:rPr>
        <w:t>与上年持平</w:t>
      </w:r>
      <w:r>
        <w:rPr>
          <w:rFonts w:hint="eastAsia" w:ascii="仿宋_GB2312" w:hAnsi="Times New Roman" w:eastAsia="仿宋_GB2312" w:cs="Wingdings"/>
          <w:sz w:val="32"/>
          <w:szCs w:val="32"/>
        </w:rPr>
        <w:t>，</w:t>
      </w:r>
      <w:r>
        <w:rPr>
          <w:rFonts w:hint="eastAsia" w:ascii="仿宋_GB2312" w:hAnsi="Times New Roman" w:eastAsia="仿宋_GB2312" w:cs="Wingdings"/>
          <w:sz w:val="32"/>
          <w:szCs w:val="32"/>
          <w:lang w:eastAsia="zh-CN"/>
        </w:rPr>
        <w:t>无增减变化。</w:t>
      </w:r>
    </w:p>
    <w:p w14:paraId="6E054E73">
      <w:pPr>
        <w:adjustRightInd w:val="0"/>
        <w:snapToGrid w:val="0"/>
        <w:spacing w:line="600" w:lineRule="exact"/>
        <w:ind w:firstLine="643" w:firstLineChars="200"/>
        <w:rPr>
          <w:rFonts w:ascii="仿宋_GB2312" w:hAnsi="Times New Roman" w:eastAsia="仿宋_GB2312" w:cs="Wingdings"/>
          <w:sz w:val="32"/>
          <w:szCs w:val="32"/>
        </w:rPr>
      </w:pPr>
      <w:r>
        <w:rPr>
          <w:rFonts w:hint="eastAsia" w:ascii="仿宋_GB2312" w:hAnsi="Times New Roman" w:eastAsia="仿宋_GB2312" w:cs="Wingdings"/>
          <w:b/>
          <w:sz w:val="32"/>
          <w:szCs w:val="32"/>
        </w:rPr>
        <w:t>公务用车运行维护费支出：</w:t>
      </w:r>
      <w:r>
        <w:rPr>
          <w:rFonts w:hint="eastAsia" w:ascii="仿宋_GB2312" w:hAnsi="Times New Roman" w:eastAsia="仿宋_GB2312" w:cs="Wingdings"/>
          <w:sz w:val="32"/>
          <w:szCs w:val="32"/>
        </w:rPr>
        <w:t>本部门2020年度单位公务用车保有量</w:t>
      </w:r>
      <w:r>
        <w:rPr>
          <w:rFonts w:hint="eastAsia" w:ascii="仿宋_GB2312" w:hAnsi="Times New Roman" w:eastAsia="仿宋_GB2312" w:cs="Wingdings"/>
          <w:sz w:val="32"/>
          <w:szCs w:val="32"/>
          <w:lang w:val="en-US" w:eastAsia="zh-CN"/>
        </w:rPr>
        <w:t>0</w:t>
      </w:r>
      <w:r>
        <w:rPr>
          <w:rFonts w:hint="eastAsia" w:ascii="仿宋_GB2312" w:hAnsi="Times New Roman" w:eastAsia="仿宋_GB2312" w:cs="Wingdings"/>
          <w:sz w:val="32"/>
          <w:szCs w:val="32"/>
        </w:rPr>
        <w:t>辆,发生运行维护费支出</w:t>
      </w:r>
      <w:r>
        <w:rPr>
          <w:rFonts w:hint="eastAsia" w:ascii="仿宋_GB2312" w:hAnsi="Times New Roman" w:eastAsia="仿宋_GB2312" w:cs="Wingdings"/>
          <w:sz w:val="32"/>
          <w:szCs w:val="32"/>
          <w:lang w:val="en-US" w:eastAsia="zh-CN"/>
        </w:rPr>
        <w:t>0</w:t>
      </w:r>
      <w:r>
        <w:rPr>
          <w:rFonts w:hint="eastAsia" w:ascii="仿宋_GB2312" w:hAnsi="Times New Roman" w:eastAsia="仿宋_GB2312" w:cs="Wingdings"/>
          <w:sz w:val="32"/>
          <w:szCs w:val="32"/>
        </w:rPr>
        <w:t>万元。公车运行维护费支出</w:t>
      </w:r>
      <w:r>
        <w:rPr>
          <w:rFonts w:hint="eastAsia" w:ascii="仿宋_GB2312" w:hAnsi="Times New Roman" w:eastAsia="仿宋_GB2312" w:cs="Wingdings"/>
          <w:sz w:val="32"/>
          <w:szCs w:val="32"/>
          <w:lang w:eastAsia="zh-CN"/>
        </w:rPr>
        <w:t>与</w:t>
      </w:r>
      <w:r>
        <w:rPr>
          <w:rFonts w:hint="eastAsia" w:ascii="仿宋_GB2312" w:hAnsi="Times New Roman" w:eastAsia="仿宋_GB2312" w:cs="Wingdings"/>
          <w:sz w:val="32"/>
          <w:szCs w:val="32"/>
        </w:rPr>
        <w:t>预算</w:t>
      </w:r>
      <w:r>
        <w:rPr>
          <w:rFonts w:hint="eastAsia" w:ascii="仿宋_GB2312" w:hAnsi="Times New Roman" w:eastAsia="仿宋_GB2312" w:cs="Wingdings"/>
          <w:sz w:val="32"/>
          <w:szCs w:val="32"/>
          <w:lang w:eastAsia="zh-CN"/>
        </w:rPr>
        <w:t>持平</w:t>
      </w:r>
      <w:r>
        <w:rPr>
          <w:rFonts w:hint="eastAsia" w:ascii="仿宋_GB2312" w:hAnsi="Times New Roman" w:eastAsia="仿宋_GB2312" w:cs="Wingdings"/>
          <w:sz w:val="32"/>
          <w:szCs w:val="32"/>
        </w:rPr>
        <w:t>；较上年减少</w:t>
      </w:r>
      <w:r>
        <w:rPr>
          <w:rFonts w:hint="eastAsia" w:ascii="仿宋_GB2312" w:hAnsi="Times New Roman" w:eastAsia="仿宋_GB2312" w:cs="Wingdings"/>
          <w:sz w:val="32"/>
          <w:szCs w:val="32"/>
          <w:lang w:val="en-US" w:eastAsia="zh-CN"/>
        </w:rPr>
        <w:t>2.2</w:t>
      </w:r>
      <w:r>
        <w:rPr>
          <w:rFonts w:hint="eastAsia" w:ascii="仿宋_GB2312" w:hAnsi="Times New Roman" w:eastAsia="仿宋_GB2312" w:cs="Wingdings"/>
          <w:sz w:val="32"/>
          <w:szCs w:val="32"/>
        </w:rPr>
        <w:t>万元，降低</w:t>
      </w:r>
      <w:r>
        <w:rPr>
          <w:rFonts w:hint="eastAsia" w:ascii="仿宋_GB2312" w:hAnsi="Times New Roman" w:eastAsia="仿宋_GB2312" w:cs="Wingdings"/>
          <w:sz w:val="32"/>
          <w:szCs w:val="32"/>
          <w:lang w:val="en-US" w:eastAsia="zh-CN"/>
        </w:rPr>
        <w:t>100</w:t>
      </w:r>
      <w:r>
        <w:rPr>
          <w:rFonts w:hint="eastAsia" w:ascii="仿宋_GB2312" w:hAnsi="Times New Roman" w:eastAsia="仿宋_GB2312" w:cs="Wingdings"/>
          <w:sz w:val="32"/>
          <w:szCs w:val="32"/>
        </w:rPr>
        <w:t>%，主要是</w:t>
      </w:r>
      <w:r>
        <w:rPr>
          <w:rFonts w:hint="eastAsia" w:ascii="仿宋_GB2312" w:hAnsi="Times New Roman" w:eastAsia="仿宋_GB2312" w:cs="DengXian-Regular"/>
          <w:sz w:val="32"/>
          <w:szCs w:val="32"/>
        </w:rPr>
        <w:t>机构改革，</w:t>
      </w:r>
      <w:r>
        <w:rPr>
          <w:rFonts w:hint="eastAsia" w:ascii="仿宋_GB2312" w:hAnsi="Times New Roman" w:eastAsia="仿宋_GB2312" w:cs="DengXian-Regular"/>
          <w:sz w:val="32"/>
          <w:szCs w:val="32"/>
          <w:lang w:eastAsia="zh-CN"/>
        </w:rPr>
        <w:t>减少</w:t>
      </w:r>
      <w:r>
        <w:rPr>
          <w:rFonts w:hint="eastAsia" w:ascii="仿宋_GB2312" w:hAnsi="Times New Roman" w:eastAsia="仿宋_GB2312" w:cs="DengXian-Regular"/>
          <w:sz w:val="32"/>
          <w:szCs w:val="32"/>
        </w:rPr>
        <w:t>下属单位，经费</w:t>
      </w:r>
      <w:r>
        <w:rPr>
          <w:rFonts w:hint="eastAsia" w:ascii="仿宋_GB2312" w:hAnsi="Times New Roman" w:eastAsia="仿宋_GB2312" w:cs="DengXian-Regular"/>
          <w:sz w:val="32"/>
          <w:szCs w:val="32"/>
          <w:lang w:eastAsia="zh-CN"/>
        </w:rPr>
        <w:t>减少</w:t>
      </w:r>
      <w:r>
        <w:rPr>
          <w:rFonts w:hint="eastAsia" w:ascii="仿宋_GB2312" w:hAnsi="Times New Roman" w:eastAsia="仿宋_GB2312" w:cs="Wingdings"/>
          <w:sz w:val="32"/>
          <w:szCs w:val="32"/>
        </w:rPr>
        <w:t>。</w:t>
      </w:r>
    </w:p>
    <w:p w14:paraId="2893BC99">
      <w:pPr>
        <w:adjustRightInd w:val="0"/>
        <w:snapToGrid w:val="0"/>
        <w:spacing w:line="600" w:lineRule="exact"/>
        <w:ind w:firstLine="643" w:firstLineChars="200"/>
        <w:rPr>
          <w:rFonts w:ascii="仿宋_GB2312" w:hAnsi="Times New Roman" w:eastAsia="仿宋_GB2312" w:cs="Wingdings"/>
          <w:sz w:val="32"/>
          <w:szCs w:val="32"/>
        </w:rPr>
      </w:pPr>
      <w:r>
        <w:rPr>
          <w:rFonts w:hint="eastAsia" w:ascii="楷体_GB2312" w:hAnsi="Times New Roman" w:eastAsia="楷体_GB2312" w:cs="Mongolian Baiti"/>
          <w:b/>
          <w:bCs/>
          <w:sz w:val="32"/>
          <w:szCs w:val="32"/>
        </w:rPr>
        <w:t>3.公务接待费。</w:t>
      </w:r>
      <w:r>
        <w:rPr>
          <w:rFonts w:hint="eastAsia" w:ascii="仿宋_GB2312" w:hAnsi="仿宋_GB2312" w:eastAsia="仿宋_GB2312" w:cs="仿宋_GB2312"/>
          <w:sz w:val="32"/>
          <w:szCs w:val="32"/>
        </w:rPr>
        <w:t>本部门2020年</w:t>
      </w:r>
      <w:r>
        <w:rPr>
          <w:rFonts w:hint="eastAsia" w:ascii="仿宋_GB2312" w:hAnsi="仿宋_GB2312" w:eastAsia="仿宋_GB2312" w:cs="仿宋_GB2312"/>
          <w:sz w:val="32"/>
          <w:szCs w:val="32"/>
          <w:lang w:eastAsia="zh-CN"/>
        </w:rPr>
        <w:t>度</w:t>
      </w:r>
      <w:r>
        <w:rPr>
          <w:rFonts w:hint="eastAsia" w:ascii="仿宋_GB2312" w:hAnsi="仿宋_GB2312" w:eastAsia="仿宋_GB2312" w:cs="仿宋_GB2312"/>
          <w:sz w:val="32"/>
          <w:szCs w:val="32"/>
        </w:rPr>
        <w:t>公务接待费支出</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万元，完成预算的</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%。发生</w:t>
      </w:r>
      <w:r>
        <w:rPr>
          <w:rFonts w:hint="eastAsia" w:ascii="仿宋_GB2312" w:hAnsi="Times New Roman" w:eastAsia="仿宋_GB2312" w:cs="Wingdings"/>
          <w:sz w:val="32"/>
          <w:szCs w:val="32"/>
        </w:rPr>
        <w:t>公务接待共</w:t>
      </w:r>
      <w:r>
        <w:rPr>
          <w:rFonts w:hint="eastAsia" w:ascii="仿宋_GB2312" w:hAnsi="Times New Roman" w:eastAsia="仿宋_GB2312" w:cs="Wingdings"/>
          <w:sz w:val="32"/>
          <w:szCs w:val="32"/>
          <w:lang w:val="en-US" w:eastAsia="zh-CN"/>
        </w:rPr>
        <w:t>0</w:t>
      </w:r>
      <w:r>
        <w:rPr>
          <w:rFonts w:hint="eastAsia" w:ascii="仿宋_GB2312" w:hAnsi="Times New Roman" w:eastAsia="仿宋_GB2312" w:cs="Wingdings"/>
          <w:sz w:val="32"/>
          <w:szCs w:val="32"/>
        </w:rPr>
        <w:t>批次、</w:t>
      </w:r>
      <w:r>
        <w:rPr>
          <w:rFonts w:hint="eastAsia" w:ascii="仿宋_GB2312" w:hAnsi="Times New Roman" w:eastAsia="仿宋_GB2312" w:cs="Wingdings"/>
          <w:sz w:val="32"/>
          <w:szCs w:val="32"/>
          <w:lang w:val="en-US" w:eastAsia="zh-CN"/>
        </w:rPr>
        <w:t>0</w:t>
      </w:r>
      <w:r>
        <w:rPr>
          <w:rFonts w:hint="eastAsia" w:ascii="仿宋_GB2312" w:hAnsi="Times New Roman" w:eastAsia="仿宋_GB2312" w:cs="Wingdings"/>
          <w:sz w:val="32"/>
          <w:szCs w:val="32"/>
        </w:rPr>
        <w:t>人次。公务接待费支出</w:t>
      </w:r>
      <w:r>
        <w:rPr>
          <w:rFonts w:hint="eastAsia" w:ascii="仿宋_GB2312" w:hAnsi="Times New Roman" w:eastAsia="仿宋_GB2312" w:cs="Wingdings"/>
          <w:sz w:val="32"/>
          <w:szCs w:val="32"/>
          <w:lang w:eastAsia="zh-CN"/>
        </w:rPr>
        <w:t>与</w:t>
      </w:r>
      <w:r>
        <w:rPr>
          <w:rFonts w:hint="eastAsia" w:ascii="仿宋_GB2312" w:hAnsi="Times New Roman" w:eastAsia="仿宋_GB2312" w:cs="Wingdings"/>
          <w:sz w:val="32"/>
          <w:szCs w:val="32"/>
        </w:rPr>
        <w:t>预算</w:t>
      </w:r>
      <w:r>
        <w:rPr>
          <w:rFonts w:hint="eastAsia" w:ascii="仿宋_GB2312" w:hAnsi="Times New Roman" w:eastAsia="仿宋_GB2312" w:cs="Wingdings"/>
          <w:sz w:val="32"/>
          <w:szCs w:val="32"/>
          <w:lang w:eastAsia="zh-CN"/>
        </w:rPr>
        <w:t>持平</w:t>
      </w:r>
      <w:r>
        <w:rPr>
          <w:rFonts w:hint="eastAsia" w:ascii="仿宋_GB2312" w:hAnsi="Times New Roman" w:eastAsia="仿宋_GB2312" w:cs="Wingdings"/>
          <w:sz w:val="32"/>
          <w:szCs w:val="32"/>
        </w:rPr>
        <w:t>；</w:t>
      </w:r>
      <w:r>
        <w:rPr>
          <w:rFonts w:hint="eastAsia" w:ascii="仿宋_GB2312" w:hAnsi="Times New Roman" w:eastAsia="仿宋_GB2312" w:cs="Wingdings"/>
          <w:sz w:val="32"/>
          <w:szCs w:val="32"/>
          <w:lang w:eastAsia="zh-CN"/>
        </w:rPr>
        <w:t>与</w:t>
      </w:r>
      <w:r>
        <w:rPr>
          <w:rFonts w:hint="eastAsia" w:ascii="仿宋_GB2312" w:hAnsi="Times New Roman" w:eastAsia="仿宋_GB2312" w:cs="Wingdings"/>
          <w:sz w:val="32"/>
          <w:szCs w:val="32"/>
        </w:rPr>
        <w:t>上年度</w:t>
      </w:r>
      <w:r>
        <w:rPr>
          <w:rFonts w:hint="eastAsia" w:ascii="仿宋_GB2312" w:hAnsi="Times New Roman" w:eastAsia="仿宋_GB2312" w:cs="Wingdings"/>
          <w:sz w:val="32"/>
          <w:szCs w:val="32"/>
          <w:lang w:eastAsia="zh-CN"/>
        </w:rPr>
        <w:t>持平。</w:t>
      </w:r>
    </w:p>
    <w:p w14:paraId="433BD352">
      <w:pPr>
        <w:adjustRightInd w:val="0"/>
        <w:snapToGrid w:val="0"/>
        <w:spacing w:line="600" w:lineRule="exact"/>
        <w:ind w:firstLine="640" w:firstLineChars="200"/>
        <w:rPr>
          <w:rFonts w:ascii="黑体" w:hAnsi="Times New Roman" w:eastAsia="黑体" w:cs="Times New Roman"/>
          <w:sz w:val="32"/>
          <w:szCs w:val="40"/>
        </w:rPr>
      </w:pPr>
      <w:r>
        <w:rPr>
          <w:rFonts w:hint="eastAsia" w:ascii="黑体" w:hAnsi="Times New Roman" w:eastAsia="黑体" w:cs="Times New Roman"/>
          <w:sz w:val="32"/>
          <w:szCs w:val="40"/>
        </w:rPr>
        <w:t>六、预算绩效情况说明</w:t>
      </w:r>
    </w:p>
    <w:p w14:paraId="3F91FCC2">
      <w:pPr>
        <w:adjustRightInd w:val="0"/>
        <w:snapToGrid w:val="0"/>
        <w:spacing w:line="600" w:lineRule="exact"/>
        <w:ind w:firstLine="643" w:firstLineChars="200"/>
        <w:rPr>
          <w:rFonts w:ascii="楷体_GB2312" w:hAnsi="楷体_GB2312" w:eastAsia="楷体_GB2312" w:cs="楷体_GB2312"/>
          <w:b/>
          <w:bCs/>
          <w:sz w:val="32"/>
          <w:szCs w:val="32"/>
        </w:rPr>
      </w:pPr>
      <w:r>
        <w:rPr>
          <w:rFonts w:hint="eastAsia" w:ascii="楷体_GB2312" w:hAnsi="楷体_GB2312" w:eastAsia="楷体_GB2312" w:cs="楷体_GB2312"/>
          <w:b/>
          <w:bCs/>
          <w:sz w:val="32"/>
          <w:szCs w:val="32"/>
        </w:rPr>
        <w:t>（一）预算绩效管理工作开展情况</w:t>
      </w:r>
    </w:p>
    <w:p w14:paraId="5AE6A328">
      <w:pPr>
        <w:adjustRightInd w:val="0"/>
        <w:snapToGrid w:val="0"/>
        <w:spacing w:line="60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根据预算绩效管理要求，本部门组织对2020年度项目支出全面开展绩效自评，其中，一般公共预算项目</w:t>
      </w:r>
      <w:r>
        <w:rPr>
          <w:rFonts w:hint="eastAsia" w:ascii="仿宋_GB2312" w:hAnsi="仿宋_GB2312" w:eastAsia="仿宋_GB2312" w:cs="仿宋_GB2312"/>
          <w:sz w:val="32"/>
          <w:szCs w:val="32"/>
          <w:lang w:val="en-US" w:eastAsia="zh-CN"/>
        </w:rPr>
        <w:t>27</w:t>
      </w:r>
      <w:r>
        <w:rPr>
          <w:rFonts w:hint="eastAsia" w:ascii="仿宋_GB2312" w:hAnsi="仿宋_GB2312" w:eastAsia="仿宋_GB2312" w:cs="仿宋_GB2312"/>
          <w:sz w:val="32"/>
          <w:szCs w:val="32"/>
        </w:rPr>
        <w:t>个，共涉及资金</w:t>
      </w:r>
      <w:r>
        <w:rPr>
          <w:rFonts w:hint="eastAsia" w:ascii="仿宋_GB2312" w:hAnsi="仿宋_GB2312" w:eastAsia="仿宋_GB2312" w:cs="仿宋_GB2312"/>
          <w:sz w:val="32"/>
          <w:szCs w:val="32"/>
          <w:lang w:val="en-US" w:eastAsia="zh-CN"/>
        </w:rPr>
        <w:t>441.67</w:t>
      </w:r>
      <w:r>
        <w:rPr>
          <w:rFonts w:hint="eastAsia" w:ascii="仿宋_GB2312" w:hAnsi="仿宋_GB2312" w:eastAsia="仿宋_GB2312" w:cs="仿宋_GB2312"/>
          <w:sz w:val="32"/>
          <w:szCs w:val="32"/>
        </w:rPr>
        <w:t>万元，占一般公共预算项目支出总额的</w:t>
      </w:r>
      <w:r>
        <w:rPr>
          <w:rFonts w:hint="eastAsia" w:ascii="仿宋_GB2312" w:hAnsi="仿宋_GB2312" w:eastAsia="仿宋_GB2312" w:cs="仿宋_GB2312"/>
          <w:sz w:val="32"/>
          <w:szCs w:val="32"/>
          <w:lang w:val="en-US" w:eastAsia="zh-CN"/>
        </w:rPr>
        <w:t>54.52</w:t>
      </w:r>
      <w:r>
        <w:rPr>
          <w:rFonts w:hint="eastAsia" w:ascii="仿宋_GB2312" w:hAnsi="仿宋_GB2312" w:eastAsia="仿宋_GB2312" w:cs="仿宋_GB2312"/>
          <w:sz w:val="32"/>
          <w:szCs w:val="32"/>
        </w:rPr>
        <w:t>%；政府性基金预算项目</w:t>
      </w:r>
      <w:r>
        <w:rPr>
          <w:rFonts w:hint="eastAsia" w:ascii="仿宋_GB2312" w:hAnsi="仿宋_GB2312" w:eastAsia="仿宋_GB2312" w:cs="仿宋_GB2312"/>
          <w:sz w:val="32"/>
          <w:szCs w:val="32"/>
          <w:lang w:val="en-US" w:eastAsia="zh-CN"/>
        </w:rPr>
        <w:t>1</w:t>
      </w:r>
      <w:r>
        <w:rPr>
          <w:rFonts w:hint="eastAsia" w:ascii="仿宋_GB2312" w:hAnsi="仿宋_GB2312" w:eastAsia="仿宋_GB2312" w:cs="仿宋_GB2312"/>
          <w:sz w:val="32"/>
          <w:szCs w:val="32"/>
        </w:rPr>
        <w:t>个,共涉及资金</w:t>
      </w:r>
      <w:r>
        <w:rPr>
          <w:rFonts w:hint="eastAsia" w:ascii="仿宋_GB2312" w:hAnsi="仿宋_GB2312" w:eastAsia="仿宋_GB2312" w:cs="仿宋_GB2312"/>
          <w:sz w:val="32"/>
          <w:szCs w:val="32"/>
          <w:lang w:val="en-US" w:eastAsia="zh-CN"/>
        </w:rPr>
        <w:t>2.59</w:t>
      </w:r>
      <w:r>
        <w:rPr>
          <w:rFonts w:hint="eastAsia" w:ascii="仿宋_GB2312" w:hAnsi="仿宋_GB2312" w:eastAsia="仿宋_GB2312" w:cs="仿宋_GB2312"/>
          <w:sz w:val="32"/>
          <w:szCs w:val="32"/>
        </w:rPr>
        <w:t>万元，占政府性基金预算项目支出总额的</w:t>
      </w:r>
      <w:r>
        <w:rPr>
          <w:rFonts w:hint="eastAsia" w:ascii="仿宋_GB2312" w:hAnsi="仿宋_GB2312" w:eastAsia="仿宋_GB2312" w:cs="仿宋_GB2312"/>
          <w:sz w:val="32"/>
          <w:szCs w:val="32"/>
          <w:lang w:val="en-US" w:eastAsia="zh-CN"/>
        </w:rPr>
        <w:t>100</w:t>
      </w:r>
      <w:r>
        <w:rPr>
          <w:rFonts w:hint="eastAsia" w:ascii="仿宋_GB2312" w:hAnsi="仿宋_GB2312" w:eastAsia="仿宋_GB2312" w:cs="仿宋_GB2312"/>
          <w:sz w:val="32"/>
          <w:szCs w:val="32"/>
        </w:rPr>
        <w:t>%。</w:t>
      </w:r>
    </w:p>
    <w:p w14:paraId="6C0468FC">
      <w:pPr>
        <w:adjustRightInd w:val="0"/>
        <w:snapToGrid w:val="0"/>
        <w:spacing w:line="600" w:lineRule="exact"/>
        <w:ind w:firstLine="643" w:firstLineChars="200"/>
        <w:rPr>
          <w:rFonts w:ascii="楷体_GB2312" w:hAnsi="楷体_GB2312" w:eastAsia="楷体_GB2312" w:cs="楷体_GB2312"/>
          <w:b/>
          <w:bCs/>
          <w:sz w:val="32"/>
          <w:szCs w:val="32"/>
        </w:rPr>
      </w:pPr>
      <w:r>
        <w:rPr>
          <w:rFonts w:hint="eastAsia" w:ascii="楷体_GB2312" w:hAnsi="楷体_GB2312" w:eastAsia="楷体_GB2312" w:cs="楷体_GB2312"/>
          <w:b/>
          <w:bCs/>
          <w:sz w:val="32"/>
          <w:szCs w:val="32"/>
        </w:rPr>
        <w:t>（二） 部门决算中项目绩效自评结果</w:t>
      </w:r>
    </w:p>
    <w:p w14:paraId="76726D37">
      <w:pPr>
        <w:adjustRightInd w:val="0"/>
        <w:snapToGrid w:val="0"/>
        <w:spacing w:line="58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组织对“精神文明建设及创城经费”、“宣传文化事务经费”等项目开展了部门重点评价，涉及一般公共预算支出</w:t>
      </w:r>
      <w:r>
        <w:rPr>
          <w:rFonts w:hint="eastAsia" w:ascii="仿宋_GB2312" w:hAnsi="仿宋_GB2312" w:eastAsia="仿宋_GB2312" w:cs="仿宋_GB2312"/>
          <w:sz w:val="32"/>
          <w:szCs w:val="32"/>
          <w:lang w:val="en-US" w:eastAsia="zh-CN"/>
        </w:rPr>
        <w:t>441.67</w:t>
      </w:r>
      <w:r>
        <w:rPr>
          <w:rFonts w:hint="eastAsia" w:ascii="仿宋_GB2312" w:hAnsi="仿宋_GB2312" w:eastAsia="仿宋_GB2312" w:cs="仿宋_GB2312"/>
          <w:sz w:val="32"/>
          <w:szCs w:val="32"/>
        </w:rPr>
        <w:t>万元，政府性基金预算支出</w:t>
      </w:r>
      <w:r>
        <w:rPr>
          <w:rFonts w:hint="eastAsia" w:ascii="仿宋_GB2312" w:hAnsi="仿宋_GB2312" w:eastAsia="仿宋_GB2312" w:cs="仿宋_GB2312"/>
          <w:sz w:val="32"/>
          <w:szCs w:val="32"/>
          <w:lang w:val="en-US" w:eastAsia="zh-CN"/>
        </w:rPr>
        <w:t>2.59</w:t>
      </w:r>
      <w:r>
        <w:rPr>
          <w:rFonts w:hint="eastAsia" w:ascii="仿宋_GB2312" w:hAnsi="仿宋_GB2312" w:eastAsia="仿宋_GB2312" w:cs="仿宋_GB2312"/>
          <w:sz w:val="32"/>
          <w:szCs w:val="32"/>
        </w:rPr>
        <w:t>万元。其中，对“精神文明建设及创城经费”“宣传文化事务经费”等项目分别委托部门内评审机构开展绩效评价。从评价情况来看，自评总体情况良好。我单位不断强化依法理财、科学理财的意识，以绩效为导向，预算支出管理较为规范，能按照有关规章制度开展工作。重大支出项目立项规范，资金到位及时，资金使用较合理规范，实现了部门职责绩效目标。</w:t>
      </w:r>
    </w:p>
    <w:p w14:paraId="231D8876">
      <w:pPr>
        <w:numPr>
          <w:ilvl w:val="0"/>
          <w:numId w:val="4"/>
        </w:numPr>
        <w:adjustRightInd w:val="0"/>
        <w:snapToGrid w:val="0"/>
        <w:spacing w:line="60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理论学习理论宣讲项目绩效自评综述：根据年初设定的绩效目标，理论学习理论宣讲项目绩效自评得分为</w:t>
      </w:r>
      <w:r>
        <w:rPr>
          <w:rFonts w:hint="eastAsia" w:ascii="仿宋_GB2312" w:hAnsi="仿宋_GB2312" w:eastAsia="仿宋_GB2312" w:cs="仿宋_GB2312"/>
          <w:sz w:val="32"/>
          <w:szCs w:val="32"/>
          <w:lang w:val="en-US" w:eastAsia="zh-CN"/>
        </w:rPr>
        <w:t>100</w:t>
      </w:r>
      <w:r>
        <w:rPr>
          <w:rFonts w:hint="eastAsia" w:ascii="仿宋_GB2312" w:hAnsi="仿宋_GB2312" w:eastAsia="仿宋_GB2312" w:cs="仿宋_GB2312"/>
          <w:sz w:val="32"/>
          <w:szCs w:val="32"/>
        </w:rPr>
        <w:t>分（绩效自评表附后）。全年预算数为</w:t>
      </w:r>
      <w:r>
        <w:rPr>
          <w:rFonts w:hint="eastAsia" w:ascii="仿宋_GB2312" w:hAnsi="仿宋_GB2312" w:eastAsia="仿宋_GB2312" w:cs="仿宋_GB2312"/>
          <w:sz w:val="32"/>
          <w:szCs w:val="32"/>
          <w:lang w:val="en-US" w:eastAsia="zh-CN"/>
        </w:rPr>
        <w:t>4</w:t>
      </w:r>
      <w:r>
        <w:rPr>
          <w:rFonts w:hint="eastAsia" w:ascii="仿宋_GB2312" w:hAnsi="仿宋_GB2312" w:eastAsia="仿宋_GB2312" w:cs="仿宋_GB2312"/>
          <w:sz w:val="32"/>
          <w:szCs w:val="32"/>
        </w:rPr>
        <w:t>万元，执行数为</w:t>
      </w:r>
      <w:r>
        <w:rPr>
          <w:rFonts w:hint="eastAsia" w:ascii="仿宋_GB2312" w:hAnsi="仿宋_GB2312" w:eastAsia="仿宋_GB2312" w:cs="仿宋_GB2312"/>
          <w:sz w:val="32"/>
          <w:szCs w:val="32"/>
          <w:lang w:val="en-US" w:eastAsia="zh-CN"/>
        </w:rPr>
        <w:t>4</w:t>
      </w:r>
      <w:r>
        <w:rPr>
          <w:rFonts w:hint="eastAsia" w:ascii="仿宋_GB2312" w:hAnsi="仿宋_GB2312" w:eastAsia="仿宋_GB2312" w:cs="仿宋_GB2312"/>
          <w:sz w:val="32"/>
          <w:szCs w:val="32"/>
        </w:rPr>
        <w:t>万元，完成预算的</w:t>
      </w:r>
      <w:r>
        <w:rPr>
          <w:rFonts w:hint="eastAsia" w:ascii="仿宋_GB2312" w:hAnsi="仿宋_GB2312" w:eastAsia="仿宋_GB2312" w:cs="仿宋_GB2312"/>
          <w:sz w:val="32"/>
          <w:szCs w:val="32"/>
          <w:lang w:val="en-US" w:eastAsia="zh-CN"/>
        </w:rPr>
        <w:t>100%</w:t>
      </w:r>
      <w:r>
        <w:rPr>
          <w:rFonts w:hint="eastAsia" w:ascii="仿宋_GB2312" w:hAnsi="仿宋_GB2312" w:eastAsia="仿宋_GB2312" w:cs="仿宋_GB2312"/>
          <w:sz w:val="32"/>
          <w:szCs w:val="32"/>
        </w:rPr>
        <w:t>。项目绩效目标完成情况：</w:t>
      </w:r>
      <w:r>
        <w:rPr>
          <w:rFonts w:hint="eastAsia" w:ascii="仿宋_GB2312" w:hAnsi="仿宋_GB2312" w:eastAsia="仿宋_GB2312" w:cs="仿宋_GB2312"/>
          <w:sz w:val="32"/>
          <w:szCs w:val="32"/>
          <w:lang w:eastAsia="zh-CN"/>
        </w:rPr>
        <w:t>一是</w:t>
      </w:r>
      <w:r>
        <w:rPr>
          <w:rFonts w:hint="eastAsia" w:ascii="仿宋_GB2312" w:hAnsi="仿宋_GB2312" w:eastAsia="仿宋_GB2312" w:cs="仿宋_GB2312"/>
          <w:sz w:val="32"/>
          <w:szCs w:val="32"/>
        </w:rPr>
        <w:t>完成理论学习中心组学习任务，提升理论研究水平，为全区经济社会发展提供理论支持；</w:t>
      </w:r>
      <w:r>
        <w:rPr>
          <w:rFonts w:hint="eastAsia" w:ascii="仿宋_GB2312" w:hAnsi="仿宋_GB2312" w:eastAsia="仿宋_GB2312" w:cs="仿宋_GB2312"/>
          <w:sz w:val="32"/>
          <w:szCs w:val="32"/>
          <w:lang w:eastAsia="zh-CN"/>
        </w:rPr>
        <w:t>二是</w:t>
      </w:r>
      <w:r>
        <w:rPr>
          <w:rFonts w:hint="eastAsia" w:ascii="仿宋_GB2312" w:hAnsi="仿宋_GB2312" w:eastAsia="仿宋_GB2312" w:cs="仿宋_GB2312"/>
          <w:sz w:val="32"/>
          <w:szCs w:val="32"/>
        </w:rPr>
        <w:t>提高干部群众运用科学理论解决实际问题的能力；增强干部群众理论自信、道路自信、制度自信、不断巩固全区人民团结奋斗的共同思想基。发现的主要问题及原因：宣讲偏重理论知识，故事性、感染力需要进一步提升。下一步改进措施：在全区选取各行业典型模范加入宣讲团，让身边人讲身边事，用真实故事打动人，用真情实感教化人。</w:t>
      </w:r>
    </w:p>
    <w:p w14:paraId="1384936C">
      <w:pPr>
        <w:numPr>
          <w:ilvl w:val="0"/>
          <w:numId w:val="5"/>
        </w:numPr>
        <w:adjustRightInd w:val="0"/>
        <w:snapToGrid w:val="0"/>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新闻宣传经费项目绩效自评综述：根据年初设定的绩效目标，新闻宣传经费项目绩效自评得分为</w:t>
      </w:r>
      <w:r>
        <w:rPr>
          <w:rFonts w:hint="eastAsia" w:ascii="仿宋_GB2312" w:hAnsi="仿宋_GB2312" w:eastAsia="仿宋_GB2312" w:cs="仿宋_GB2312"/>
          <w:sz w:val="32"/>
          <w:szCs w:val="32"/>
          <w:lang w:val="en-US" w:eastAsia="zh-CN"/>
        </w:rPr>
        <w:t>97</w:t>
      </w:r>
      <w:r>
        <w:rPr>
          <w:rFonts w:hint="eastAsia" w:ascii="仿宋_GB2312" w:hAnsi="仿宋_GB2312" w:eastAsia="仿宋_GB2312" w:cs="仿宋_GB2312"/>
          <w:sz w:val="32"/>
          <w:szCs w:val="32"/>
        </w:rPr>
        <w:t>分（绩效自评表附后）。全年预算数为</w:t>
      </w:r>
      <w:r>
        <w:rPr>
          <w:rFonts w:hint="eastAsia" w:ascii="仿宋_GB2312" w:hAnsi="仿宋_GB2312" w:eastAsia="仿宋_GB2312" w:cs="仿宋_GB2312"/>
          <w:sz w:val="32"/>
          <w:szCs w:val="32"/>
          <w:lang w:val="en-US" w:eastAsia="zh-CN"/>
        </w:rPr>
        <w:t>7.2</w:t>
      </w:r>
      <w:r>
        <w:rPr>
          <w:rFonts w:hint="eastAsia" w:ascii="仿宋_GB2312" w:hAnsi="仿宋_GB2312" w:eastAsia="仿宋_GB2312" w:cs="仿宋_GB2312"/>
          <w:sz w:val="32"/>
          <w:szCs w:val="32"/>
        </w:rPr>
        <w:t>万元，执行数为</w:t>
      </w:r>
      <w:r>
        <w:rPr>
          <w:rFonts w:hint="eastAsia" w:ascii="仿宋_GB2312" w:hAnsi="仿宋_GB2312" w:eastAsia="仿宋_GB2312" w:cs="仿宋_GB2312"/>
          <w:sz w:val="32"/>
          <w:szCs w:val="32"/>
          <w:lang w:val="en-US" w:eastAsia="zh-CN"/>
        </w:rPr>
        <w:t>7.2</w:t>
      </w:r>
      <w:r>
        <w:rPr>
          <w:rFonts w:hint="eastAsia" w:ascii="仿宋_GB2312" w:hAnsi="仿宋_GB2312" w:eastAsia="仿宋_GB2312" w:cs="仿宋_GB2312"/>
          <w:sz w:val="32"/>
          <w:szCs w:val="32"/>
        </w:rPr>
        <w:t>万元，完成预算的</w:t>
      </w:r>
      <w:r>
        <w:rPr>
          <w:rFonts w:hint="eastAsia" w:ascii="仿宋_GB2312" w:hAnsi="仿宋_GB2312" w:eastAsia="仿宋_GB2312" w:cs="仿宋_GB2312"/>
          <w:sz w:val="32"/>
          <w:szCs w:val="32"/>
          <w:lang w:val="en-US" w:eastAsia="zh-CN"/>
        </w:rPr>
        <w:t>100%</w:t>
      </w:r>
      <w:r>
        <w:rPr>
          <w:rFonts w:hint="eastAsia" w:ascii="仿宋_GB2312" w:hAnsi="仿宋_GB2312" w:eastAsia="仿宋_GB2312" w:cs="仿宋_GB2312"/>
          <w:sz w:val="32"/>
          <w:szCs w:val="32"/>
        </w:rPr>
        <w:t>。项目绩效目标完成情况：</w:t>
      </w:r>
      <w:r>
        <w:rPr>
          <w:rFonts w:hint="eastAsia" w:ascii="仿宋_GB2312" w:hAnsi="仿宋_GB2312" w:eastAsia="仿宋_GB2312" w:cs="仿宋_GB2312"/>
          <w:sz w:val="32"/>
          <w:szCs w:val="32"/>
          <w:lang w:eastAsia="zh-CN"/>
        </w:rPr>
        <w:t>一是</w:t>
      </w:r>
      <w:r>
        <w:rPr>
          <w:rFonts w:hint="eastAsia" w:ascii="仿宋_GB2312" w:eastAsia="仿宋_GB2312"/>
          <w:sz w:val="32"/>
          <w:szCs w:val="32"/>
        </w:rPr>
        <w:t>为藁城经济社会发展提供有力舆论支持；配合上级新闻媒体到藁城开展采访报道</w:t>
      </w:r>
      <w:r>
        <w:rPr>
          <w:rFonts w:hint="eastAsia" w:ascii="仿宋_GB2312" w:eastAsia="仿宋_GB2312"/>
          <w:sz w:val="32"/>
          <w:szCs w:val="32"/>
          <w:lang w:eastAsia="zh-CN"/>
        </w:rPr>
        <w:t>；二是</w:t>
      </w:r>
      <w:r>
        <w:rPr>
          <w:rFonts w:hint="eastAsia" w:ascii="仿宋_GB2312" w:eastAsia="仿宋_GB2312"/>
          <w:sz w:val="32"/>
          <w:szCs w:val="32"/>
        </w:rPr>
        <w:t>提高基层通讯员新闻写作能力，提升各部门领导应对新闻媒体能力；指导相关单位及时化解、妥善处理有关负面舆情。</w:t>
      </w:r>
      <w:r>
        <w:rPr>
          <w:rFonts w:hint="eastAsia" w:ascii="仿宋_GB2312" w:hAnsi="仿宋_GB2312" w:eastAsia="仿宋_GB2312" w:cs="仿宋_GB2312"/>
          <w:sz w:val="32"/>
          <w:szCs w:val="32"/>
        </w:rPr>
        <w:t>发现的主要问题：无。下一步改进措施：无。</w:t>
      </w:r>
    </w:p>
    <w:p w14:paraId="6939E68A">
      <w:pPr>
        <w:numPr>
          <w:ilvl w:val="0"/>
          <w:numId w:val="0"/>
        </w:numPr>
        <w:adjustRightInd w:val="0"/>
        <w:snapToGrid w:val="0"/>
        <w:spacing w:line="600" w:lineRule="exact"/>
        <w:rPr>
          <w:rFonts w:ascii="仿宋_GB2312" w:hAnsi="仿宋_GB2312" w:eastAsia="仿宋_GB2312" w:cs="仿宋_GB2312"/>
          <w:sz w:val="32"/>
          <w:szCs w:val="32"/>
        </w:rPr>
      </w:pPr>
    </w:p>
    <w:tbl>
      <w:tblPr>
        <w:tblStyle w:val="6"/>
        <w:tblW w:w="9060" w:type="dxa"/>
        <w:tblInd w:w="93" w:type="dxa"/>
        <w:shd w:val="clear" w:color="auto" w:fill="auto"/>
        <w:tblLayout w:type="autofit"/>
        <w:tblCellMar>
          <w:top w:w="0" w:type="dxa"/>
          <w:left w:w="108" w:type="dxa"/>
          <w:bottom w:w="0" w:type="dxa"/>
          <w:right w:w="108" w:type="dxa"/>
        </w:tblCellMar>
      </w:tblPr>
      <w:tblGrid>
        <w:gridCol w:w="1071"/>
        <w:gridCol w:w="1016"/>
        <w:gridCol w:w="903"/>
        <w:gridCol w:w="1098"/>
        <w:gridCol w:w="1230"/>
        <w:gridCol w:w="953"/>
        <w:gridCol w:w="953"/>
        <w:gridCol w:w="1836"/>
      </w:tblGrid>
      <w:tr w14:paraId="397FD635">
        <w:tblPrEx>
          <w:tblCellMar>
            <w:top w:w="0" w:type="dxa"/>
            <w:left w:w="108" w:type="dxa"/>
            <w:bottom w:w="0" w:type="dxa"/>
            <w:right w:w="108" w:type="dxa"/>
          </w:tblCellMar>
        </w:tblPrEx>
        <w:trPr>
          <w:trHeight w:val="620" w:hRule="atLeast"/>
        </w:trPr>
        <w:tc>
          <w:tcPr>
            <w:tcW w:w="9060" w:type="dxa"/>
            <w:gridSpan w:val="8"/>
            <w:tcBorders>
              <w:top w:val="nil"/>
              <w:left w:val="nil"/>
              <w:bottom w:val="nil"/>
              <w:right w:val="nil"/>
            </w:tcBorders>
            <w:shd w:val="clear" w:color="auto" w:fill="auto"/>
            <w:noWrap/>
            <w:vAlign w:val="center"/>
          </w:tcPr>
          <w:p w14:paraId="34467C47">
            <w:pPr>
              <w:keepNext w:val="0"/>
              <w:keepLines w:val="0"/>
              <w:widowControl/>
              <w:suppressLineNumbers w:val="0"/>
              <w:jc w:val="center"/>
              <w:textAlignment w:val="center"/>
              <w:rPr>
                <w:rFonts w:ascii="方正小标宋_GBK" w:hAnsi="方正小标宋_GBK" w:eastAsia="方正小标宋_GBK" w:cs="方正小标宋_GBK"/>
                <w:i w:val="0"/>
                <w:iCs w:val="0"/>
                <w:color w:val="000000"/>
                <w:sz w:val="40"/>
                <w:szCs w:val="40"/>
                <w:u w:val="none"/>
              </w:rPr>
            </w:pPr>
            <w:r>
              <w:rPr>
                <w:rFonts w:hint="eastAsia" w:ascii="方正小标宋_GBK" w:hAnsi="方正小标宋_GBK" w:eastAsia="方正小标宋_GBK" w:cs="方正小标宋_GBK"/>
                <w:i w:val="0"/>
                <w:iCs w:val="0"/>
                <w:color w:val="000000"/>
                <w:kern w:val="0"/>
                <w:sz w:val="40"/>
                <w:szCs w:val="40"/>
                <w:u w:val="none"/>
                <w:lang w:val="en-US" w:eastAsia="zh-CN" w:bidi="ar"/>
              </w:rPr>
              <w:t>区级部门预算项目绩效自评表</w:t>
            </w:r>
          </w:p>
        </w:tc>
      </w:tr>
      <w:tr w14:paraId="4CAA92E5">
        <w:tblPrEx>
          <w:shd w:val="clear" w:color="auto" w:fill="auto"/>
          <w:tblCellMar>
            <w:top w:w="0" w:type="dxa"/>
            <w:left w:w="108" w:type="dxa"/>
            <w:bottom w:w="0" w:type="dxa"/>
            <w:right w:w="108" w:type="dxa"/>
          </w:tblCellMar>
        </w:tblPrEx>
        <w:trPr>
          <w:trHeight w:val="310" w:hRule="atLeast"/>
        </w:trPr>
        <w:tc>
          <w:tcPr>
            <w:tcW w:w="0" w:type="auto"/>
            <w:gridSpan w:val="8"/>
            <w:tcBorders>
              <w:top w:val="nil"/>
              <w:left w:val="nil"/>
              <w:bottom w:val="nil"/>
              <w:right w:val="nil"/>
            </w:tcBorders>
            <w:shd w:val="clear" w:color="auto" w:fill="auto"/>
            <w:noWrap/>
            <w:vAlign w:val="bottom"/>
          </w:tcPr>
          <w:p w14:paraId="3038EAA0">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（2020 年度）</w:t>
            </w:r>
          </w:p>
        </w:tc>
      </w:tr>
      <w:tr w14:paraId="16D3885F">
        <w:tblPrEx>
          <w:shd w:val="clear" w:color="auto" w:fill="auto"/>
          <w:tblCellMar>
            <w:top w:w="0" w:type="dxa"/>
            <w:left w:w="108" w:type="dxa"/>
            <w:bottom w:w="0" w:type="dxa"/>
            <w:right w:w="108" w:type="dxa"/>
          </w:tblCellMar>
        </w:tblPrEx>
        <w:trPr>
          <w:trHeight w:val="315" w:hRule="atLeast"/>
        </w:trPr>
        <w:tc>
          <w:tcPr>
            <w:tcW w:w="0" w:type="auto"/>
            <w:tcBorders>
              <w:top w:val="nil"/>
              <w:left w:val="nil"/>
              <w:bottom w:val="nil"/>
              <w:right w:val="nil"/>
            </w:tcBorders>
            <w:shd w:val="clear" w:color="auto" w:fill="auto"/>
            <w:noWrap/>
            <w:vAlign w:val="center"/>
          </w:tcPr>
          <w:p w14:paraId="4BFACF94">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填报单位：</w:t>
            </w:r>
          </w:p>
        </w:tc>
        <w:tc>
          <w:tcPr>
            <w:tcW w:w="0" w:type="auto"/>
            <w:tcBorders>
              <w:top w:val="nil"/>
              <w:left w:val="nil"/>
              <w:bottom w:val="nil"/>
              <w:right w:val="nil"/>
            </w:tcBorders>
            <w:shd w:val="clear" w:color="auto" w:fill="auto"/>
            <w:noWrap/>
            <w:vAlign w:val="center"/>
          </w:tcPr>
          <w:p w14:paraId="6E1AB35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区委宣传部</w:t>
            </w:r>
          </w:p>
        </w:tc>
        <w:tc>
          <w:tcPr>
            <w:tcW w:w="0" w:type="auto"/>
            <w:tcBorders>
              <w:top w:val="nil"/>
              <w:left w:val="nil"/>
              <w:bottom w:val="nil"/>
              <w:right w:val="nil"/>
            </w:tcBorders>
            <w:shd w:val="clear" w:color="auto" w:fill="auto"/>
            <w:noWrap/>
            <w:vAlign w:val="center"/>
          </w:tcPr>
          <w:p w14:paraId="1F048582">
            <w:pPr>
              <w:jc w:val="center"/>
              <w:rPr>
                <w:rFonts w:hint="eastAsia" w:ascii="宋体" w:hAnsi="宋体" w:eastAsia="宋体" w:cs="宋体"/>
                <w:i w:val="0"/>
                <w:iCs w:val="0"/>
                <w:color w:val="000000"/>
                <w:sz w:val="16"/>
                <w:szCs w:val="16"/>
                <w:u w:val="none"/>
              </w:rPr>
            </w:pPr>
          </w:p>
        </w:tc>
        <w:tc>
          <w:tcPr>
            <w:tcW w:w="0" w:type="auto"/>
            <w:tcBorders>
              <w:top w:val="nil"/>
              <w:left w:val="nil"/>
              <w:bottom w:val="nil"/>
              <w:right w:val="nil"/>
            </w:tcBorders>
            <w:shd w:val="clear" w:color="auto" w:fill="auto"/>
            <w:noWrap/>
            <w:vAlign w:val="center"/>
          </w:tcPr>
          <w:p w14:paraId="343BDF59">
            <w:pPr>
              <w:jc w:val="center"/>
              <w:rPr>
                <w:rFonts w:hint="eastAsia" w:ascii="宋体" w:hAnsi="宋体" w:eastAsia="宋体" w:cs="宋体"/>
                <w:i w:val="0"/>
                <w:iCs w:val="0"/>
                <w:color w:val="000000"/>
                <w:sz w:val="16"/>
                <w:szCs w:val="16"/>
                <w:u w:val="none"/>
              </w:rPr>
            </w:pPr>
          </w:p>
        </w:tc>
        <w:tc>
          <w:tcPr>
            <w:tcW w:w="0" w:type="auto"/>
            <w:tcBorders>
              <w:top w:val="nil"/>
              <w:left w:val="nil"/>
              <w:bottom w:val="nil"/>
              <w:right w:val="nil"/>
            </w:tcBorders>
            <w:shd w:val="clear" w:color="auto" w:fill="auto"/>
            <w:noWrap/>
            <w:vAlign w:val="center"/>
          </w:tcPr>
          <w:p w14:paraId="7C79691C">
            <w:pPr>
              <w:jc w:val="center"/>
              <w:rPr>
                <w:rFonts w:hint="eastAsia" w:ascii="宋体" w:hAnsi="宋体" w:eastAsia="宋体" w:cs="宋体"/>
                <w:i w:val="0"/>
                <w:iCs w:val="0"/>
                <w:color w:val="000000"/>
                <w:sz w:val="16"/>
                <w:szCs w:val="16"/>
                <w:u w:val="none"/>
              </w:rPr>
            </w:pPr>
          </w:p>
        </w:tc>
        <w:tc>
          <w:tcPr>
            <w:tcW w:w="0" w:type="auto"/>
            <w:tcBorders>
              <w:top w:val="nil"/>
              <w:left w:val="nil"/>
              <w:bottom w:val="nil"/>
              <w:right w:val="nil"/>
            </w:tcBorders>
            <w:shd w:val="clear" w:color="auto" w:fill="auto"/>
            <w:noWrap/>
            <w:vAlign w:val="center"/>
          </w:tcPr>
          <w:p w14:paraId="693B9597">
            <w:pPr>
              <w:jc w:val="center"/>
              <w:rPr>
                <w:rFonts w:hint="eastAsia" w:ascii="宋体" w:hAnsi="宋体" w:eastAsia="宋体" w:cs="宋体"/>
                <w:i w:val="0"/>
                <w:iCs w:val="0"/>
                <w:color w:val="000000"/>
                <w:sz w:val="16"/>
                <w:szCs w:val="16"/>
                <w:u w:val="none"/>
              </w:rPr>
            </w:pPr>
          </w:p>
        </w:tc>
        <w:tc>
          <w:tcPr>
            <w:tcW w:w="0" w:type="auto"/>
            <w:tcBorders>
              <w:top w:val="nil"/>
              <w:left w:val="nil"/>
              <w:bottom w:val="nil"/>
              <w:right w:val="nil"/>
            </w:tcBorders>
            <w:shd w:val="clear" w:color="auto" w:fill="auto"/>
            <w:noWrap/>
            <w:vAlign w:val="center"/>
          </w:tcPr>
          <w:p w14:paraId="3B9F93F5">
            <w:pPr>
              <w:jc w:val="center"/>
              <w:rPr>
                <w:rFonts w:hint="eastAsia" w:ascii="宋体" w:hAnsi="宋体" w:eastAsia="宋体" w:cs="宋体"/>
                <w:i w:val="0"/>
                <w:iCs w:val="0"/>
                <w:color w:val="000000"/>
                <w:sz w:val="16"/>
                <w:szCs w:val="16"/>
                <w:u w:val="none"/>
              </w:rPr>
            </w:pPr>
          </w:p>
        </w:tc>
        <w:tc>
          <w:tcPr>
            <w:tcW w:w="0" w:type="auto"/>
            <w:tcBorders>
              <w:top w:val="nil"/>
              <w:left w:val="nil"/>
              <w:bottom w:val="nil"/>
              <w:right w:val="nil"/>
            </w:tcBorders>
            <w:shd w:val="clear" w:color="auto" w:fill="auto"/>
            <w:noWrap/>
            <w:vAlign w:val="center"/>
          </w:tcPr>
          <w:p w14:paraId="5090286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金额单位：万元</w:t>
            </w:r>
          </w:p>
        </w:tc>
      </w:tr>
      <w:tr w14:paraId="06686E0C">
        <w:tblPrEx>
          <w:shd w:val="clear" w:color="auto" w:fill="auto"/>
          <w:tblCellMar>
            <w:top w:w="0" w:type="dxa"/>
            <w:left w:w="108" w:type="dxa"/>
            <w:bottom w:w="0" w:type="dxa"/>
            <w:right w:w="108" w:type="dxa"/>
          </w:tblCellMar>
        </w:tblPrEx>
        <w:trPr>
          <w:trHeight w:val="630" w:hRule="atLeast"/>
        </w:trPr>
        <w:tc>
          <w:tcPr>
            <w:tcW w:w="1071" w:type="dxa"/>
            <w:tcBorders>
              <w:top w:val="single" w:color="000000" w:sz="4" w:space="0"/>
              <w:left w:val="single" w:color="000000" w:sz="4" w:space="0"/>
              <w:bottom w:val="nil"/>
              <w:right w:val="single" w:color="000000" w:sz="4" w:space="0"/>
            </w:tcBorders>
            <w:shd w:val="clear" w:color="auto" w:fill="auto"/>
            <w:vAlign w:val="center"/>
          </w:tcPr>
          <w:p w14:paraId="656CB860">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一、</w:t>
            </w:r>
            <w:r>
              <w:rPr>
                <w:rStyle w:val="14"/>
                <w:rFonts w:eastAsia="宋体"/>
                <w:lang w:val="en-US" w:eastAsia="zh-CN" w:bidi="ar"/>
              </w:rPr>
              <w:t xml:space="preserve"> </w:t>
            </w:r>
            <w:r>
              <w:rPr>
                <w:rFonts w:hint="eastAsia" w:ascii="宋体" w:hAnsi="宋体" w:eastAsia="宋体" w:cs="宋体"/>
                <w:i w:val="0"/>
                <w:iCs w:val="0"/>
                <w:color w:val="000000"/>
                <w:kern w:val="0"/>
                <w:sz w:val="16"/>
                <w:szCs w:val="16"/>
                <w:u w:val="none"/>
                <w:lang w:val="en-US" w:eastAsia="zh-CN" w:bidi="ar"/>
              </w:rPr>
              <w:t>基本情况</w:t>
            </w:r>
          </w:p>
        </w:tc>
        <w:tc>
          <w:tcPr>
            <w:tcW w:w="96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4F315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项目名称</w:t>
            </w:r>
          </w:p>
        </w:tc>
        <w:tc>
          <w:tcPr>
            <w:tcW w:w="204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A0C2ED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理论学习理论宣讲（非专项资金）</w:t>
            </w:r>
          </w:p>
        </w:tc>
        <w:tc>
          <w:tcPr>
            <w:tcW w:w="12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02C6A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实施(主管）单位</w:t>
            </w:r>
          </w:p>
        </w:tc>
        <w:tc>
          <w:tcPr>
            <w:tcW w:w="3742"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4C90F4A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区委宣传部</w:t>
            </w:r>
          </w:p>
        </w:tc>
      </w:tr>
      <w:tr w14:paraId="288351EC">
        <w:tblPrEx>
          <w:shd w:val="clear" w:color="auto" w:fill="auto"/>
          <w:tblCellMar>
            <w:top w:w="0" w:type="dxa"/>
            <w:left w:w="108" w:type="dxa"/>
            <w:bottom w:w="0" w:type="dxa"/>
            <w:right w:w="108" w:type="dxa"/>
          </w:tblCellMar>
        </w:tblPrEx>
        <w:trPr>
          <w:trHeight w:val="320" w:hRule="atLeast"/>
        </w:trPr>
        <w:tc>
          <w:tcPr>
            <w:tcW w:w="1071"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0FBD38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二、预算执行情况</w:t>
            </w:r>
          </w:p>
        </w:tc>
        <w:tc>
          <w:tcPr>
            <w:tcW w:w="190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A1E15F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预算安排情况（调整后）</w:t>
            </w:r>
          </w:p>
        </w:tc>
        <w:tc>
          <w:tcPr>
            <w:tcW w:w="234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77716B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资金到位情况</w:t>
            </w:r>
          </w:p>
        </w:tc>
        <w:tc>
          <w:tcPr>
            <w:tcW w:w="190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4B29A2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资金执行情况</w:t>
            </w:r>
          </w:p>
        </w:tc>
        <w:tc>
          <w:tcPr>
            <w:tcW w:w="18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21C88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预算执行进度</w:t>
            </w:r>
          </w:p>
        </w:tc>
      </w:tr>
      <w:tr w14:paraId="1D52A900">
        <w:tblPrEx>
          <w:shd w:val="clear" w:color="auto" w:fill="auto"/>
          <w:tblCellMar>
            <w:top w:w="0" w:type="dxa"/>
            <w:left w:w="108" w:type="dxa"/>
            <w:bottom w:w="0" w:type="dxa"/>
            <w:right w:w="108" w:type="dxa"/>
          </w:tblCellMar>
        </w:tblPrEx>
        <w:trPr>
          <w:trHeight w:val="320" w:hRule="atLeast"/>
        </w:trPr>
        <w:tc>
          <w:tcPr>
            <w:tcW w:w="107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0E05658">
            <w:pPr>
              <w:jc w:val="center"/>
              <w:rPr>
                <w:rFonts w:hint="eastAsia" w:ascii="宋体" w:hAnsi="宋体" w:eastAsia="宋体" w:cs="宋体"/>
                <w:i w:val="0"/>
                <w:iCs w:val="0"/>
                <w:color w:val="000000"/>
                <w:sz w:val="16"/>
                <w:szCs w:val="16"/>
                <w:u w:val="none"/>
              </w:rPr>
            </w:pPr>
          </w:p>
        </w:tc>
        <w:tc>
          <w:tcPr>
            <w:tcW w:w="96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3414A6">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预算数：</w:t>
            </w:r>
          </w:p>
        </w:tc>
        <w:tc>
          <w:tcPr>
            <w:tcW w:w="94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FF8C61">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4</w:t>
            </w:r>
          </w:p>
        </w:tc>
        <w:tc>
          <w:tcPr>
            <w:tcW w:w="10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93CA8D">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到位数：</w:t>
            </w:r>
          </w:p>
        </w:tc>
        <w:tc>
          <w:tcPr>
            <w:tcW w:w="12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36BDC4">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4</w:t>
            </w:r>
          </w:p>
        </w:tc>
        <w:tc>
          <w:tcPr>
            <w:tcW w:w="9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3DFC31">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执行数：</w:t>
            </w:r>
          </w:p>
        </w:tc>
        <w:tc>
          <w:tcPr>
            <w:tcW w:w="9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F6F6E3">
            <w:pPr>
              <w:keepNext w:val="0"/>
              <w:keepLines w:val="0"/>
              <w:widowControl/>
              <w:suppressLineNumbers w:val="0"/>
              <w:jc w:val="right"/>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4</w:t>
            </w:r>
          </w:p>
        </w:tc>
        <w:tc>
          <w:tcPr>
            <w:tcW w:w="183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715AD3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100%</w:t>
            </w:r>
          </w:p>
        </w:tc>
      </w:tr>
      <w:tr w14:paraId="5E26CF66">
        <w:tblPrEx>
          <w:shd w:val="clear" w:color="auto" w:fill="auto"/>
          <w:tblCellMar>
            <w:top w:w="0" w:type="dxa"/>
            <w:left w:w="108" w:type="dxa"/>
            <w:bottom w:w="0" w:type="dxa"/>
            <w:right w:w="108" w:type="dxa"/>
          </w:tblCellMar>
        </w:tblPrEx>
        <w:trPr>
          <w:trHeight w:val="630" w:hRule="atLeast"/>
        </w:trPr>
        <w:tc>
          <w:tcPr>
            <w:tcW w:w="107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8460AC8">
            <w:pPr>
              <w:jc w:val="center"/>
              <w:rPr>
                <w:rFonts w:hint="eastAsia" w:ascii="宋体" w:hAnsi="宋体" w:eastAsia="宋体" w:cs="宋体"/>
                <w:i w:val="0"/>
                <w:iCs w:val="0"/>
                <w:color w:val="000000"/>
                <w:sz w:val="16"/>
                <w:szCs w:val="16"/>
                <w:u w:val="none"/>
              </w:rPr>
            </w:pPr>
          </w:p>
        </w:tc>
        <w:tc>
          <w:tcPr>
            <w:tcW w:w="96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A53B92">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其中：财政资金</w:t>
            </w:r>
          </w:p>
        </w:tc>
        <w:tc>
          <w:tcPr>
            <w:tcW w:w="94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6D4102">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4</w:t>
            </w:r>
          </w:p>
        </w:tc>
        <w:tc>
          <w:tcPr>
            <w:tcW w:w="10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BC328F">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其中：财政资金</w:t>
            </w:r>
          </w:p>
        </w:tc>
        <w:tc>
          <w:tcPr>
            <w:tcW w:w="12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7E8C90">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4</w:t>
            </w:r>
          </w:p>
        </w:tc>
        <w:tc>
          <w:tcPr>
            <w:tcW w:w="9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BEFFEA">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其中：财政资金</w:t>
            </w:r>
          </w:p>
        </w:tc>
        <w:tc>
          <w:tcPr>
            <w:tcW w:w="9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47318F">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4</w:t>
            </w:r>
          </w:p>
        </w:tc>
        <w:tc>
          <w:tcPr>
            <w:tcW w:w="183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747B3E0">
            <w:pPr>
              <w:jc w:val="center"/>
              <w:rPr>
                <w:rFonts w:hint="eastAsia" w:ascii="宋体" w:hAnsi="宋体" w:eastAsia="宋体" w:cs="宋体"/>
                <w:i w:val="0"/>
                <w:iCs w:val="0"/>
                <w:color w:val="000000"/>
                <w:sz w:val="16"/>
                <w:szCs w:val="16"/>
                <w:u w:val="none"/>
              </w:rPr>
            </w:pPr>
          </w:p>
        </w:tc>
      </w:tr>
      <w:tr w14:paraId="64C300A8">
        <w:tblPrEx>
          <w:shd w:val="clear" w:color="auto" w:fill="auto"/>
          <w:tblCellMar>
            <w:top w:w="0" w:type="dxa"/>
            <w:left w:w="108" w:type="dxa"/>
            <w:bottom w:w="0" w:type="dxa"/>
            <w:right w:w="108" w:type="dxa"/>
          </w:tblCellMar>
        </w:tblPrEx>
        <w:trPr>
          <w:trHeight w:val="320" w:hRule="atLeast"/>
        </w:trPr>
        <w:tc>
          <w:tcPr>
            <w:tcW w:w="107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891A7F9">
            <w:pPr>
              <w:jc w:val="center"/>
              <w:rPr>
                <w:rFonts w:hint="eastAsia" w:ascii="宋体" w:hAnsi="宋体" w:eastAsia="宋体" w:cs="宋体"/>
                <w:i w:val="0"/>
                <w:iCs w:val="0"/>
                <w:color w:val="000000"/>
                <w:sz w:val="16"/>
                <w:szCs w:val="16"/>
                <w:u w:val="none"/>
              </w:rPr>
            </w:pPr>
          </w:p>
        </w:tc>
        <w:tc>
          <w:tcPr>
            <w:tcW w:w="96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CC4BE1">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其他</w:t>
            </w:r>
          </w:p>
        </w:tc>
        <w:tc>
          <w:tcPr>
            <w:tcW w:w="94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631603">
            <w:pPr>
              <w:rPr>
                <w:rFonts w:hint="default" w:ascii="Calibri" w:hAnsi="Calibri" w:eastAsia="宋体" w:cs="Calibri"/>
                <w:i w:val="0"/>
                <w:iCs w:val="0"/>
                <w:color w:val="000000"/>
                <w:sz w:val="21"/>
                <w:szCs w:val="21"/>
                <w:u w:val="none"/>
              </w:rPr>
            </w:pPr>
          </w:p>
        </w:tc>
        <w:tc>
          <w:tcPr>
            <w:tcW w:w="10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9D43FF">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其他</w:t>
            </w:r>
          </w:p>
        </w:tc>
        <w:tc>
          <w:tcPr>
            <w:tcW w:w="12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F8E859">
            <w:pPr>
              <w:rPr>
                <w:rFonts w:hint="eastAsia" w:ascii="宋体" w:hAnsi="宋体" w:eastAsia="宋体" w:cs="宋体"/>
                <w:i w:val="0"/>
                <w:iCs w:val="0"/>
                <w:color w:val="000000"/>
                <w:sz w:val="16"/>
                <w:szCs w:val="16"/>
                <w:u w:val="none"/>
              </w:rPr>
            </w:pPr>
          </w:p>
        </w:tc>
        <w:tc>
          <w:tcPr>
            <w:tcW w:w="9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D7B55C">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其他</w:t>
            </w:r>
          </w:p>
        </w:tc>
        <w:tc>
          <w:tcPr>
            <w:tcW w:w="9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E40B79">
            <w:pPr>
              <w:rPr>
                <w:rFonts w:hint="eastAsia" w:ascii="宋体" w:hAnsi="宋体" w:eastAsia="宋体" w:cs="宋体"/>
                <w:i w:val="0"/>
                <w:iCs w:val="0"/>
                <w:color w:val="000000"/>
                <w:sz w:val="16"/>
                <w:szCs w:val="16"/>
                <w:u w:val="none"/>
              </w:rPr>
            </w:pPr>
          </w:p>
        </w:tc>
        <w:tc>
          <w:tcPr>
            <w:tcW w:w="183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52292A0">
            <w:pPr>
              <w:jc w:val="center"/>
              <w:rPr>
                <w:rFonts w:hint="eastAsia" w:ascii="宋体" w:hAnsi="宋体" w:eastAsia="宋体" w:cs="宋体"/>
                <w:i w:val="0"/>
                <w:iCs w:val="0"/>
                <w:color w:val="000000"/>
                <w:sz w:val="16"/>
                <w:szCs w:val="16"/>
                <w:u w:val="none"/>
              </w:rPr>
            </w:pPr>
          </w:p>
        </w:tc>
      </w:tr>
      <w:tr w14:paraId="6382FFC6">
        <w:tblPrEx>
          <w:shd w:val="clear" w:color="auto" w:fill="auto"/>
          <w:tblCellMar>
            <w:top w:w="0" w:type="dxa"/>
            <w:left w:w="108" w:type="dxa"/>
            <w:bottom w:w="0" w:type="dxa"/>
            <w:right w:w="108" w:type="dxa"/>
          </w:tblCellMar>
        </w:tblPrEx>
        <w:trPr>
          <w:trHeight w:val="320" w:hRule="atLeast"/>
        </w:trPr>
        <w:tc>
          <w:tcPr>
            <w:tcW w:w="1071"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B64AB6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四、 年度绩效指标完成情况</w:t>
            </w:r>
          </w:p>
        </w:tc>
        <w:tc>
          <w:tcPr>
            <w:tcW w:w="3003"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F76D05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年度预期目标</w:t>
            </w:r>
          </w:p>
        </w:tc>
        <w:tc>
          <w:tcPr>
            <w:tcW w:w="315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6846CDE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具体完成情况</w:t>
            </w:r>
          </w:p>
        </w:tc>
        <w:tc>
          <w:tcPr>
            <w:tcW w:w="18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04EDE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总体完成率</w:t>
            </w:r>
          </w:p>
        </w:tc>
      </w:tr>
      <w:tr w14:paraId="4EC5B598">
        <w:tblPrEx>
          <w:tblCellMar>
            <w:top w:w="0" w:type="dxa"/>
            <w:left w:w="108" w:type="dxa"/>
            <w:bottom w:w="0" w:type="dxa"/>
            <w:right w:w="108" w:type="dxa"/>
          </w:tblCellMar>
        </w:tblPrEx>
        <w:trPr>
          <w:trHeight w:val="320" w:hRule="atLeast"/>
        </w:trPr>
        <w:tc>
          <w:tcPr>
            <w:tcW w:w="107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CA76F78">
            <w:pPr>
              <w:jc w:val="center"/>
              <w:rPr>
                <w:rFonts w:hint="eastAsia" w:ascii="宋体" w:hAnsi="宋体" w:eastAsia="宋体" w:cs="宋体"/>
                <w:i w:val="0"/>
                <w:iCs w:val="0"/>
                <w:color w:val="000000"/>
                <w:sz w:val="16"/>
                <w:szCs w:val="16"/>
                <w:u w:val="none"/>
              </w:rPr>
            </w:pPr>
          </w:p>
        </w:tc>
        <w:tc>
          <w:tcPr>
            <w:tcW w:w="3003"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02E654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充分发挥党委讲师团作用，组织讲师团成员结合全年理论热点和重大时间节点，面向党员干部群众开展广泛深入的宣讲活动。</w:t>
            </w:r>
          </w:p>
        </w:tc>
        <w:tc>
          <w:tcPr>
            <w:tcW w:w="3150"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20B6A8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组织开展理论宣讲活动，加强党员干部群众对党的创新理论的理解和认同，全年面向基层组织理论宣讲次数≥100场</w:t>
            </w:r>
          </w:p>
        </w:tc>
        <w:tc>
          <w:tcPr>
            <w:tcW w:w="183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D7BA7C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100%</w:t>
            </w:r>
          </w:p>
        </w:tc>
      </w:tr>
      <w:tr w14:paraId="09F0FD39">
        <w:tblPrEx>
          <w:shd w:val="clear" w:color="auto" w:fill="auto"/>
          <w:tblCellMar>
            <w:top w:w="0" w:type="dxa"/>
            <w:left w:w="108" w:type="dxa"/>
            <w:bottom w:w="0" w:type="dxa"/>
            <w:right w:w="108" w:type="dxa"/>
          </w:tblCellMar>
        </w:tblPrEx>
        <w:trPr>
          <w:trHeight w:val="320" w:hRule="atLeast"/>
        </w:trPr>
        <w:tc>
          <w:tcPr>
            <w:tcW w:w="107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E92E36A">
            <w:pPr>
              <w:jc w:val="center"/>
              <w:rPr>
                <w:rFonts w:hint="eastAsia" w:ascii="宋体" w:hAnsi="宋体" w:eastAsia="宋体" w:cs="宋体"/>
                <w:i w:val="0"/>
                <w:iCs w:val="0"/>
                <w:color w:val="000000"/>
                <w:sz w:val="16"/>
                <w:szCs w:val="16"/>
                <w:u w:val="none"/>
              </w:rPr>
            </w:pPr>
          </w:p>
        </w:tc>
        <w:tc>
          <w:tcPr>
            <w:tcW w:w="3003"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8778677">
            <w:pPr>
              <w:jc w:val="center"/>
              <w:rPr>
                <w:rFonts w:hint="eastAsia" w:ascii="宋体" w:hAnsi="宋体" w:eastAsia="宋体" w:cs="宋体"/>
                <w:i w:val="0"/>
                <w:iCs w:val="0"/>
                <w:color w:val="000000"/>
                <w:sz w:val="16"/>
                <w:szCs w:val="16"/>
                <w:u w:val="none"/>
              </w:rPr>
            </w:pPr>
          </w:p>
        </w:tc>
        <w:tc>
          <w:tcPr>
            <w:tcW w:w="315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D071ED1">
            <w:pPr>
              <w:jc w:val="center"/>
              <w:rPr>
                <w:rFonts w:hint="eastAsia" w:ascii="宋体" w:hAnsi="宋体" w:eastAsia="宋体" w:cs="宋体"/>
                <w:i w:val="0"/>
                <w:iCs w:val="0"/>
                <w:color w:val="000000"/>
                <w:sz w:val="16"/>
                <w:szCs w:val="16"/>
                <w:u w:val="none"/>
              </w:rPr>
            </w:pPr>
          </w:p>
        </w:tc>
        <w:tc>
          <w:tcPr>
            <w:tcW w:w="183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BADB56B">
            <w:pPr>
              <w:jc w:val="center"/>
              <w:rPr>
                <w:rFonts w:hint="eastAsia" w:ascii="宋体" w:hAnsi="宋体" w:eastAsia="宋体" w:cs="宋体"/>
                <w:i w:val="0"/>
                <w:iCs w:val="0"/>
                <w:color w:val="000000"/>
                <w:sz w:val="16"/>
                <w:szCs w:val="16"/>
                <w:u w:val="none"/>
              </w:rPr>
            </w:pPr>
          </w:p>
        </w:tc>
      </w:tr>
      <w:tr w14:paraId="72D48D39">
        <w:tblPrEx>
          <w:shd w:val="clear" w:color="auto" w:fill="auto"/>
          <w:tblCellMar>
            <w:top w:w="0" w:type="dxa"/>
            <w:left w:w="108" w:type="dxa"/>
            <w:bottom w:w="0" w:type="dxa"/>
            <w:right w:w="108" w:type="dxa"/>
          </w:tblCellMar>
        </w:tblPrEx>
        <w:trPr>
          <w:trHeight w:val="610" w:hRule="atLeast"/>
        </w:trPr>
        <w:tc>
          <w:tcPr>
            <w:tcW w:w="107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7D975CA">
            <w:pPr>
              <w:jc w:val="center"/>
              <w:rPr>
                <w:rFonts w:hint="eastAsia" w:ascii="宋体" w:hAnsi="宋体" w:eastAsia="宋体" w:cs="宋体"/>
                <w:i w:val="0"/>
                <w:iCs w:val="0"/>
                <w:color w:val="000000"/>
                <w:sz w:val="16"/>
                <w:szCs w:val="16"/>
                <w:u w:val="none"/>
              </w:rPr>
            </w:pPr>
          </w:p>
        </w:tc>
        <w:tc>
          <w:tcPr>
            <w:tcW w:w="3003"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379E532">
            <w:pPr>
              <w:jc w:val="center"/>
              <w:rPr>
                <w:rFonts w:hint="eastAsia" w:ascii="宋体" w:hAnsi="宋体" w:eastAsia="宋体" w:cs="宋体"/>
                <w:i w:val="0"/>
                <w:iCs w:val="0"/>
                <w:color w:val="000000"/>
                <w:sz w:val="16"/>
                <w:szCs w:val="16"/>
                <w:u w:val="none"/>
              </w:rPr>
            </w:pPr>
          </w:p>
        </w:tc>
        <w:tc>
          <w:tcPr>
            <w:tcW w:w="315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EE4DA94">
            <w:pPr>
              <w:jc w:val="center"/>
              <w:rPr>
                <w:rFonts w:hint="eastAsia" w:ascii="宋体" w:hAnsi="宋体" w:eastAsia="宋体" w:cs="宋体"/>
                <w:i w:val="0"/>
                <w:iCs w:val="0"/>
                <w:color w:val="000000"/>
                <w:sz w:val="16"/>
                <w:szCs w:val="16"/>
                <w:u w:val="none"/>
              </w:rPr>
            </w:pPr>
          </w:p>
        </w:tc>
        <w:tc>
          <w:tcPr>
            <w:tcW w:w="183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4A6E675">
            <w:pPr>
              <w:jc w:val="center"/>
              <w:rPr>
                <w:rFonts w:hint="eastAsia" w:ascii="宋体" w:hAnsi="宋体" w:eastAsia="宋体" w:cs="宋体"/>
                <w:i w:val="0"/>
                <w:iCs w:val="0"/>
                <w:color w:val="000000"/>
                <w:sz w:val="16"/>
                <w:szCs w:val="16"/>
                <w:u w:val="none"/>
              </w:rPr>
            </w:pPr>
          </w:p>
        </w:tc>
      </w:tr>
      <w:tr w14:paraId="46CA6A99">
        <w:tblPrEx>
          <w:shd w:val="clear" w:color="auto" w:fill="auto"/>
          <w:tblCellMar>
            <w:top w:w="0" w:type="dxa"/>
            <w:left w:w="108" w:type="dxa"/>
            <w:bottom w:w="0" w:type="dxa"/>
            <w:right w:w="108" w:type="dxa"/>
          </w:tblCellMar>
        </w:tblPrEx>
        <w:trPr>
          <w:trHeight w:val="630" w:hRule="atLeast"/>
        </w:trPr>
        <w:tc>
          <w:tcPr>
            <w:tcW w:w="1071" w:type="dxa"/>
            <w:vMerge w:val="restart"/>
            <w:tcBorders>
              <w:top w:val="single" w:color="000000" w:sz="4" w:space="0"/>
              <w:left w:val="single" w:color="000000" w:sz="4" w:space="0"/>
              <w:bottom w:val="single" w:color="000000" w:sz="4" w:space="0"/>
              <w:right w:val="nil"/>
            </w:tcBorders>
            <w:shd w:val="clear" w:color="auto" w:fill="auto"/>
            <w:vAlign w:val="center"/>
          </w:tcPr>
          <w:p w14:paraId="7DFAA0D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四、</w:t>
            </w:r>
            <w:r>
              <w:rPr>
                <w:rStyle w:val="14"/>
                <w:rFonts w:eastAsia="宋体"/>
                <w:lang w:val="en-US" w:eastAsia="zh-CN" w:bidi="ar"/>
              </w:rPr>
              <w:t xml:space="preserve"> </w:t>
            </w:r>
            <w:r>
              <w:rPr>
                <w:rFonts w:hint="eastAsia" w:ascii="宋体" w:hAnsi="宋体" w:eastAsia="宋体" w:cs="宋体"/>
                <w:i w:val="0"/>
                <w:iCs w:val="0"/>
                <w:color w:val="000000"/>
                <w:kern w:val="0"/>
                <w:sz w:val="16"/>
                <w:szCs w:val="16"/>
                <w:u w:val="none"/>
                <w:lang w:val="en-US" w:eastAsia="zh-CN" w:bidi="ar"/>
              </w:rPr>
              <w:t>年度绩效指标完成情况</w:t>
            </w:r>
          </w:p>
        </w:tc>
        <w:tc>
          <w:tcPr>
            <w:tcW w:w="96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05205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一级指标</w:t>
            </w:r>
          </w:p>
        </w:tc>
        <w:tc>
          <w:tcPr>
            <w:tcW w:w="94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F9F1C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二级指标</w:t>
            </w:r>
          </w:p>
        </w:tc>
        <w:tc>
          <w:tcPr>
            <w:tcW w:w="234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B5624D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三级指标</w:t>
            </w:r>
          </w:p>
        </w:tc>
        <w:tc>
          <w:tcPr>
            <w:tcW w:w="9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5EBE0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预期指标值</w:t>
            </w:r>
          </w:p>
        </w:tc>
        <w:tc>
          <w:tcPr>
            <w:tcW w:w="9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6E702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实际完成值</w:t>
            </w:r>
          </w:p>
        </w:tc>
        <w:tc>
          <w:tcPr>
            <w:tcW w:w="18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070E9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自评得分</w:t>
            </w:r>
          </w:p>
        </w:tc>
      </w:tr>
      <w:tr w14:paraId="27052403">
        <w:tblPrEx>
          <w:tblCellMar>
            <w:top w:w="0" w:type="dxa"/>
            <w:left w:w="108" w:type="dxa"/>
            <w:bottom w:w="0" w:type="dxa"/>
            <w:right w:w="108" w:type="dxa"/>
          </w:tblCellMar>
        </w:tblPrEx>
        <w:trPr>
          <w:trHeight w:val="589" w:hRule="atLeast"/>
        </w:trPr>
        <w:tc>
          <w:tcPr>
            <w:tcW w:w="1071" w:type="dxa"/>
            <w:vMerge w:val="continue"/>
            <w:tcBorders>
              <w:top w:val="single" w:color="000000" w:sz="4" w:space="0"/>
              <w:left w:val="single" w:color="000000" w:sz="4" w:space="0"/>
              <w:bottom w:val="single" w:color="000000" w:sz="4" w:space="0"/>
              <w:right w:val="nil"/>
            </w:tcBorders>
            <w:shd w:val="clear" w:color="auto" w:fill="auto"/>
            <w:vAlign w:val="center"/>
          </w:tcPr>
          <w:p w14:paraId="3C18E631">
            <w:pPr>
              <w:jc w:val="center"/>
              <w:rPr>
                <w:rFonts w:hint="eastAsia" w:ascii="宋体" w:hAnsi="宋体" w:eastAsia="宋体" w:cs="宋体"/>
                <w:i w:val="0"/>
                <w:iCs w:val="0"/>
                <w:color w:val="000000"/>
                <w:sz w:val="16"/>
                <w:szCs w:val="16"/>
                <w:u w:val="none"/>
              </w:rPr>
            </w:pPr>
          </w:p>
        </w:tc>
        <w:tc>
          <w:tcPr>
            <w:tcW w:w="962" w:type="dxa"/>
            <w:vMerge w:val="restart"/>
            <w:tcBorders>
              <w:top w:val="single" w:color="000000" w:sz="4" w:space="0"/>
              <w:left w:val="single" w:color="000000" w:sz="4" w:space="0"/>
              <w:bottom w:val="nil"/>
              <w:right w:val="single" w:color="000000" w:sz="4" w:space="0"/>
            </w:tcBorders>
            <w:shd w:val="clear" w:color="auto" w:fill="auto"/>
            <w:vAlign w:val="center"/>
          </w:tcPr>
          <w:p w14:paraId="0C4469B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产出指标（40）</w:t>
            </w:r>
          </w:p>
        </w:tc>
        <w:tc>
          <w:tcPr>
            <w:tcW w:w="943"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9D9466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数量指标</w:t>
            </w:r>
          </w:p>
        </w:tc>
        <w:tc>
          <w:tcPr>
            <w:tcW w:w="234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4F4F3E4">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组织理论宣讲次数</w:t>
            </w:r>
          </w:p>
        </w:tc>
        <w:tc>
          <w:tcPr>
            <w:tcW w:w="9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B8CAE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≥100场</w:t>
            </w:r>
          </w:p>
        </w:tc>
        <w:tc>
          <w:tcPr>
            <w:tcW w:w="9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EC40C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700场</w:t>
            </w:r>
          </w:p>
        </w:tc>
        <w:tc>
          <w:tcPr>
            <w:tcW w:w="18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0AD58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20分</w:t>
            </w:r>
          </w:p>
        </w:tc>
      </w:tr>
      <w:tr w14:paraId="4867E448">
        <w:tblPrEx>
          <w:tblCellMar>
            <w:top w:w="0" w:type="dxa"/>
            <w:left w:w="108" w:type="dxa"/>
            <w:bottom w:w="0" w:type="dxa"/>
            <w:right w:w="108" w:type="dxa"/>
          </w:tblCellMar>
        </w:tblPrEx>
        <w:trPr>
          <w:trHeight w:val="320" w:hRule="atLeast"/>
        </w:trPr>
        <w:tc>
          <w:tcPr>
            <w:tcW w:w="1071" w:type="dxa"/>
            <w:vMerge w:val="continue"/>
            <w:tcBorders>
              <w:top w:val="single" w:color="000000" w:sz="4" w:space="0"/>
              <w:left w:val="single" w:color="000000" w:sz="4" w:space="0"/>
              <w:bottom w:val="single" w:color="000000" w:sz="4" w:space="0"/>
              <w:right w:val="nil"/>
            </w:tcBorders>
            <w:shd w:val="clear" w:color="auto" w:fill="auto"/>
            <w:vAlign w:val="center"/>
          </w:tcPr>
          <w:p w14:paraId="442DDA84">
            <w:pPr>
              <w:jc w:val="center"/>
              <w:rPr>
                <w:rFonts w:hint="eastAsia" w:ascii="宋体" w:hAnsi="宋体" w:eastAsia="宋体" w:cs="宋体"/>
                <w:i w:val="0"/>
                <w:iCs w:val="0"/>
                <w:color w:val="000000"/>
                <w:sz w:val="16"/>
                <w:szCs w:val="16"/>
                <w:u w:val="none"/>
              </w:rPr>
            </w:pPr>
          </w:p>
        </w:tc>
        <w:tc>
          <w:tcPr>
            <w:tcW w:w="962" w:type="dxa"/>
            <w:vMerge w:val="continue"/>
            <w:tcBorders>
              <w:top w:val="single" w:color="000000" w:sz="4" w:space="0"/>
              <w:left w:val="single" w:color="000000" w:sz="4" w:space="0"/>
              <w:bottom w:val="nil"/>
              <w:right w:val="single" w:color="000000" w:sz="4" w:space="0"/>
            </w:tcBorders>
            <w:shd w:val="clear" w:color="auto" w:fill="auto"/>
            <w:vAlign w:val="center"/>
          </w:tcPr>
          <w:p w14:paraId="444A34AB">
            <w:pPr>
              <w:jc w:val="center"/>
              <w:rPr>
                <w:rFonts w:hint="eastAsia" w:ascii="宋体" w:hAnsi="宋体" w:eastAsia="宋体" w:cs="宋体"/>
                <w:i w:val="0"/>
                <w:iCs w:val="0"/>
                <w:color w:val="000000"/>
                <w:sz w:val="16"/>
                <w:szCs w:val="16"/>
                <w:u w:val="none"/>
              </w:rPr>
            </w:pPr>
          </w:p>
        </w:tc>
        <w:tc>
          <w:tcPr>
            <w:tcW w:w="94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C176FE3">
            <w:pPr>
              <w:jc w:val="center"/>
              <w:rPr>
                <w:rFonts w:hint="eastAsia" w:ascii="宋体" w:hAnsi="宋体" w:eastAsia="宋体" w:cs="宋体"/>
                <w:i w:val="0"/>
                <w:iCs w:val="0"/>
                <w:color w:val="000000"/>
                <w:sz w:val="16"/>
                <w:szCs w:val="16"/>
                <w:u w:val="none"/>
              </w:rPr>
            </w:pPr>
          </w:p>
        </w:tc>
        <w:tc>
          <w:tcPr>
            <w:tcW w:w="234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830F9E7">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指标</w:t>
            </w:r>
            <w:r>
              <w:rPr>
                <w:rStyle w:val="14"/>
                <w:rFonts w:eastAsia="宋体"/>
                <w:lang w:val="en-US" w:eastAsia="zh-CN" w:bidi="ar"/>
              </w:rPr>
              <w:t xml:space="preserve"> </w:t>
            </w:r>
            <w:r>
              <w:rPr>
                <w:rStyle w:val="15"/>
                <w:lang w:val="en-US" w:eastAsia="zh-CN" w:bidi="ar"/>
              </w:rPr>
              <w:t>２</w:t>
            </w:r>
          </w:p>
        </w:tc>
        <w:tc>
          <w:tcPr>
            <w:tcW w:w="9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DDD937">
            <w:pPr>
              <w:jc w:val="center"/>
              <w:rPr>
                <w:rFonts w:hint="default" w:ascii="Calibri" w:hAnsi="Calibri" w:eastAsia="宋体" w:cs="Calibri"/>
                <w:i w:val="0"/>
                <w:iCs w:val="0"/>
                <w:color w:val="000000"/>
                <w:sz w:val="21"/>
                <w:szCs w:val="21"/>
                <w:u w:val="none"/>
              </w:rPr>
            </w:pPr>
          </w:p>
        </w:tc>
        <w:tc>
          <w:tcPr>
            <w:tcW w:w="9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5A499F">
            <w:pPr>
              <w:jc w:val="center"/>
              <w:rPr>
                <w:rFonts w:hint="default" w:ascii="Calibri" w:hAnsi="Calibri" w:eastAsia="宋体" w:cs="Calibri"/>
                <w:i w:val="0"/>
                <w:iCs w:val="0"/>
                <w:color w:val="000000"/>
                <w:sz w:val="21"/>
                <w:szCs w:val="21"/>
                <w:u w:val="none"/>
              </w:rPr>
            </w:pPr>
          </w:p>
        </w:tc>
        <w:tc>
          <w:tcPr>
            <w:tcW w:w="18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A00110">
            <w:pPr>
              <w:jc w:val="center"/>
              <w:rPr>
                <w:rFonts w:hint="default" w:ascii="Calibri" w:hAnsi="Calibri" w:eastAsia="宋体" w:cs="Calibri"/>
                <w:i w:val="0"/>
                <w:iCs w:val="0"/>
                <w:color w:val="000000"/>
                <w:sz w:val="21"/>
                <w:szCs w:val="21"/>
                <w:u w:val="none"/>
              </w:rPr>
            </w:pPr>
          </w:p>
        </w:tc>
      </w:tr>
      <w:tr w14:paraId="258ADFDE">
        <w:tblPrEx>
          <w:shd w:val="clear" w:color="auto" w:fill="auto"/>
          <w:tblCellMar>
            <w:top w:w="0" w:type="dxa"/>
            <w:left w:w="108" w:type="dxa"/>
            <w:bottom w:w="0" w:type="dxa"/>
            <w:right w:w="108" w:type="dxa"/>
          </w:tblCellMar>
        </w:tblPrEx>
        <w:trPr>
          <w:trHeight w:val="320" w:hRule="atLeast"/>
        </w:trPr>
        <w:tc>
          <w:tcPr>
            <w:tcW w:w="1071" w:type="dxa"/>
            <w:vMerge w:val="continue"/>
            <w:tcBorders>
              <w:top w:val="single" w:color="000000" w:sz="4" w:space="0"/>
              <w:left w:val="single" w:color="000000" w:sz="4" w:space="0"/>
              <w:bottom w:val="single" w:color="000000" w:sz="4" w:space="0"/>
              <w:right w:val="nil"/>
            </w:tcBorders>
            <w:shd w:val="clear" w:color="auto" w:fill="auto"/>
            <w:vAlign w:val="center"/>
          </w:tcPr>
          <w:p w14:paraId="1A50653F">
            <w:pPr>
              <w:jc w:val="center"/>
              <w:rPr>
                <w:rFonts w:hint="eastAsia" w:ascii="宋体" w:hAnsi="宋体" w:eastAsia="宋体" w:cs="宋体"/>
                <w:i w:val="0"/>
                <w:iCs w:val="0"/>
                <w:color w:val="000000"/>
                <w:sz w:val="16"/>
                <w:szCs w:val="16"/>
                <w:u w:val="none"/>
              </w:rPr>
            </w:pPr>
          </w:p>
        </w:tc>
        <w:tc>
          <w:tcPr>
            <w:tcW w:w="962" w:type="dxa"/>
            <w:vMerge w:val="continue"/>
            <w:tcBorders>
              <w:top w:val="single" w:color="000000" w:sz="4" w:space="0"/>
              <w:left w:val="single" w:color="000000" w:sz="4" w:space="0"/>
              <w:bottom w:val="nil"/>
              <w:right w:val="single" w:color="000000" w:sz="4" w:space="0"/>
            </w:tcBorders>
            <w:shd w:val="clear" w:color="auto" w:fill="auto"/>
            <w:vAlign w:val="center"/>
          </w:tcPr>
          <w:p w14:paraId="1797E09C">
            <w:pPr>
              <w:jc w:val="center"/>
              <w:rPr>
                <w:rFonts w:hint="eastAsia" w:ascii="宋体" w:hAnsi="宋体" w:eastAsia="宋体" w:cs="宋体"/>
                <w:i w:val="0"/>
                <w:iCs w:val="0"/>
                <w:color w:val="000000"/>
                <w:sz w:val="16"/>
                <w:szCs w:val="16"/>
                <w:u w:val="none"/>
              </w:rPr>
            </w:pPr>
          </w:p>
        </w:tc>
        <w:tc>
          <w:tcPr>
            <w:tcW w:w="94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9D7054A">
            <w:pPr>
              <w:jc w:val="center"/>
              <w:rPr>
                <w:rFonts w:hint="eastAsia" w:ascii="宋体" w:hAnsi="宋体" w:eastAsia="宋体" w:cs="宋体"/>
                <w:i w:val="0"/>
                <w:iCs w:val="0"/>
                <w:color w:val="000000"/>
                <w:sz w:val="16"/>
                <w:szCs w:val="16"/>
                <w:u w:val="none"/>
              </w:rPr>
            </w:pPr>
          </w:p>
        </w:tc>
        <w:tc>
          <w:tcPr>
            <w:tcW w:w="234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CE92CE9">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9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7A2E19">
            <w:pPr>
              <w:jc w:val="center"/>
              <w:rPr>
                <w:rFonts w:hint="default" w:ascii="Calibri" w:hAnsi="Calibri" w:eastAsia="宋体" w:cs="Calibri"/>
                <w:i w:val="0"/>
                <w:iCs w:val="0"/>
                <w:color w:val="000000"/>
                <w:sz w:val="21"/>
                <w:szCs w:val="21"/>
                <w:u w:val="none"/>
              </w:rPr>
            </w:pPr>
          </w:p>
        </w:tc>
        <w:tc>
          <w:tcPr>
            <w:tcW w:w="9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DA2820">
            <w:pPr>
              <w:jc w:val="center"/>
              <w:rPr>
                <w:rFonts w:hint="default" w:ascii="Calibri" w:hAnsi="Calibri" w:eastAsia="宋体" w:cs="Calibri"/>
                <w:i w:val="0"/>
                <w:iCs w:val="0"/>
                <w:color w:val="000000"/>
                <w:sz w:val="21"/>
                <w:szCs w:val="21"/>
                <w:u w:val="none"/>
              </w:rPr>
            </w:pPr>
          </w:p>
        </w:tc>
        <w:tc>
          <w:tcPr>
            <w:tcW w:w="18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E7F870">
            <w:pPr>
              <w:jc w:val="center"/>
              <w:rPr>
                <w:rFonts w:hint="default" w:ascii="Calibri" w:hAnsi="Calibri" w:eastAsia="宋体" w:cs="Calibri"/>
                <w:i w:val="0"/>
                <w:iCs w:val="0"/>
                <w:color w:val="000000"/>
                <w:sz w:val="21"/>
                <w:szCs w:val="21"/>
                <w:u w:val="none"/>
              </w:rPr>
            </w:pPr>
          </w:p>
        </w:tc>
      </w:tr>
      <w:tr w14:paraId="5E982EBB">
        <w:tblPrEx>
          <w:shd w:val="clear" w:color="auto" w:fill="auto"/>
          <w:tblCellMar>
            <w:top w:w="0" w:type="dxa"/>
            <w:left w:w="108" w:type="dxa"/>
            <w:bottom w:w="0" w:type="dxa"/>
            <w:right w:w="108" w:type="dxa"/>
          </w:tblCellMar>
        </w:tblPrEx>
        <w:trPr>
          <w:trHeight w:val="320" w:hRule="atLeast"/>
        </w:trPr>
        <w:tc>
          <w:tcPr>
            <w:tcW w:w="1071" w:type="dxa"/>
            <w:vMerge w:val="continue"/>
            <w:tcBorders>
              <w:top w:val="single" w:color="000000" w:sz="4" w:space="0"/>
              <w:left w:val="single" w:color="000000" w:sz="4" w:space="0"/>
              <w:bottom w:val="single" w:color="000000" w:sz="4" w:space="0"/>
              <w:right w:val="nil"/>
            </w:tcBorders>
            <w:shd w:val="clear" w:color="auto" w:fill="auto"/>
            <w:vAlign w:val="center"/>
          </w:tcPr>
          <w:p w14:paraId="6503033E">
            <w:pPr>
              <w:jc w:val="center"/>
              <w:rPr>
                <w:rFonts w:hint="eastAsia" w:ascii="宋体" w:hAnsi="宋体" w:eastAsia="宋体" w:cs="宋体"/>
                <w:i w:val="0"/>
                <w:iCs w:val="0"/>
                <w:color w:val="000000"/>
                <w:sz w:val="16"/>
                <w:szCs w:val="16"/>
                <w:u w:val="none"/>
              </w:rPr>
            </w:pPr>
          </w:p>
        </w:tc>
        <w:tc>
          <w:tcPr>
            <w:tcW w:w="962" w:type="dxa"/>
            <w:vMerge w:val="continue"/>
            <w:tcBorders>
              <w:top w:val="single" w:color="000000" w:sz="4" w:space="0"/>
              <w:left w:val="single" w:color="000000" w:sz="4" w:space="0"/>
              <w:bottom w:val="nil"/>
              <w:right w:val="single" w:color="000000" w:sz="4" w:space="0"/>
            </w:tcBorders>
            <w:shd w:val="clear" w:color="auto" w:fill="auto"/>
            <w:vAlign w:val="center"/>
          </w:tcPr>
          <w:p w14:paraId="57D141B4">
            <w:pPr>
              <w:jc w:val="center"/>
              <w:rPr>
                <w:rFonts w:hint="eastAsia" w:ascii="宋体" w:hAnsi="宋体" w:eastAsia="宋体" w:cs="宋体"/>
                <w:i w:val="0"/>
                <w:iCs w:val="0"/>
                <w:color w:val="000000"/>
                <w:sz w:val="16"/>
                <w:szCs w:val="16"/>
                <w:u w:val="none"/>
              </w:rPr>
            </w:pPr>
          </w:p>
        </w:tc>
        <w:tc>
          <w:tcPr>
            <w:tcW w:w="943"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FD3C83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质量指标</w:t>
            </w:r>
          </w:p>
        </w:tc>
        <w:tc>
          <w:tcPr>
            <w:tcW w:w="234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CDE1383">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指标</w:t>
            </w:r>
            <w:r>
              <w:rPr>
                <w:rStyle w:val="14"/>
                <w:rFonts w:eastAsia="宋体"/>
                <w:lang w:val="en-US" w:eastAsia="zh-CN" w:bidi="ar"/>
              </w:rPr>
              <w:t xml:space="preserve"> </w:t>
            </w:r>
            <w:r>
              <w:rPr>
                <w:rStyle w:val="15"/>
                <w:lang w:val="en-US" w:eastAsia="zh-CN" w:bidi="ar"/>
              </w:rPr>
              <w:t>１</w:t>
            </w:r>
          </w:p>
        </w:tc>
        <w:tc>
          <w:tcPr>
            <w:tcW w:w="9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F2C09E">
            <w:pPr>
              <w:jc w:val="center"/>
              <w:rPr>
                <w:rFonts w:hint="default" w:ascii="Calibri" w:hAnsi="Calibri" w:eastAsia="宋体" w:cs="Calibri"/>
                <w:i w:val="0"/>
                <w:iCs w:val="0"/>
                <w:color w:val="000000"/>
                <w:sz w:val="21"/>
                <w:szCs w:val="21"/>
                <w:u w:val="none"/>
              </w:rPr>
            </w:pPr>
          </w:p>
        </w:tc>
        <w:tc>
          <w:tcPr>
            <w:tcW w:w="9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04F329">
            <w:pPr>
              <w:jc w:val="center"/>
              <w:rPr>
                <w:rFonts w:hint="default" w:ascii="Calibri" w:hAnsi="Calibri" w:eastAsia="宋体" w:cs="Calibri"/>
                <w:i w:val="0"/>
                <w:iCs w:val="0"/>
                <w:color w:val="000000"/>
                <w:sz w:val="21"/>
                <w:szCs w:val="21"/>
                <w:u w:val="none"/>
              </w:rPr>
            </w:pPr>
          </w:p>
        </w:tc>
        <w:tc>
          <w:tcPr>
            <w:tcW w:w="18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D33AE0">
            <w:pPr>
              <w:jc w:val="center"/>
              <w:rPr>
                <w:rFonts w:hint="default" w:ascii="Calibri" w:hAnsi="Calibri" w:eastAsia="宋体" w:cs="Calibri"/>
                <w:i w:val="0"/>
                <w:iCs w:val="0"/>
                <w:color w:val="000000"/>
                <w:sz w:val="21"/>
                <w:szCs w:val="21"/>
                <w:u w:val="none"/>
              </w:rPr>
            </w:pPr>
          </w:p>
        </w:tc>
      </w:tr>
      <w:tr w14:paraId="69B616E3">
        <w:tblPrEx>
          <w:shd w:val="clear" w:color="auto" w:fill="auto"/>
          <w:tblCellMar>
            <w:top w:w="0" w:type="dxa"/>
            <w:left w:w="108" w:type="dxa"/>
            <w:bottom w:w="0" w:type="dxa"/>
            <w:right w:w="108" w:type="dxa"/>
          </w:tblCellMar>
        </w:tblPrEx>
        <w:trPr>
          <w:trHeight w:val="320" w:hRule="atLeast"/>
        </w:trPr>
        <w:tc>
          <w:tcPr>
            <w:tcW w:w="1071" w:type="dxa"/>
            <w:vMerge w:val="continue"/>
            <w:tcBorders>
              <w:top w:val="single" w:color="000000" w:sz="4" w:space="0"/>
              <w:left w:val="single" w:color="000000" w:sz="4" w:space="0"/>
              <w:bottom w:val="single" w:color="000000" w:sz="4" w:space="0"/>
              <w:right w:val="nil"/>
            </w:tcBorders>
            <w:shd w:val="clear" w:color="auto" w:fill="auto"/>
            <w:vAlign w:val="center"/>
          </w:tcPr>
          <w:p w14:paraId="4ACBFD51">
            <w:pPr>
              <w:jc w:val="center"/>
              <w:rPr>
                <w:rFonts w:hint="eastAsia" w:ascii="宋体" w:hAnsi="宋体" w:eastAsia="宋体" w:cs="宋体"/>
                <w:i w:val="0"/>
                <w:iCs w:val="0"/>
                <w:color w:val="000000"/>
                <w:sz w:val="16"/>
                <w:szCs w:val="16"/>
                <w:u w:val="none"/>
              </w:rPr>
            </w:pPr>
          </w:p>
        </w:tc>
        <w:tc>
          <w:tcPr>
            <w:tcW w:w="962" w:type="dxa"/>
            <w:vMerge w:val="continue"/>
            <w:tcBorders>
              <w:top w:val="single" w:color="000000" w:sz="4" w:space="0"/>
              <w:left w:val="single" w:color="000000" w:sz="4" w:space="0"/>
              <w:bottom w:val="nil"/>
              <w:right w:val="single" w:color="000000" w:sz="4" w:space="0"/>
            </w:tcBorders>
            <w:shd w:val="clear" w:color="auto" w:fill="auto"/>
            <w:vAlign w:val="center"/>
          </w:tcPr>
          <w:p w14:paraId="4146A996">
            <w:pPr>
              <w:jc w:val="center"/>
              <w:rPr>
                <w:rFonts w:hint="eastAsia" w:ascii="宋体" w:hAnsi="宋体" w:eastAsia="宋体" w:cs="宋体"/>
                <w:i w:val="0"/>
                <w:iCs w:val="0"/>
                <w:color w:val="000000"/>
                <w:sz w:val="16"/>
                <w:szCs w:val="16"/>
                <w:u w:val="none"/>
              </w:rPr>
            </w:pPr>
          </w:p>
        </w:tc>
        <w:tc>
          <w:tcPr>
            <w:tcW w:w="94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8EC3445">
            <w:pPr>
              <w:jc w:val="center"/>
              <w:rPr>
                <w:rFonts w:hint="eastAsia" w:ascii="宋体" w:hAnsi="宋体" w:eastAsia="宋体" w:cs="宋体"/>
                <w:i w:val="0"/>
                <w:iCs w:val="0"/>
                <w:color w:val="000000"/>
                <w:sz w:val="16"/>
                <w:szCs w:val="16"/>
                <w:u w:val="none"/>
              </w:rPr>
            </w:pPr>
          </w:p>
        </w:tc>
        <w:tc>
          <w:tcPr>
            <w:tcW w:w="234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AAF0D8B">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指标</w:t>
            </w:r>
            <w:r>
              <w:rPr>
                <w:rStyle w:val="14"/>
                <w:rFonts w:eastAsia="宋体"/>
                <w:lang w:val="en-US" w:eastAsia="zh-CN" w:bidi="ar"/>
              </w:rPr>
              <w:t xml:space="preserve"> </w:t>
            </w:r>
            <w:r>
              <w:rPr>
                <w:rStyle w:val="15"/>
                <w:lang w:val="en-US" w:eastAsia="zh-CN" w:bidi="ar"/>
              </w:rPr>
              <w:t>２</w:t>
            </w:r>
          </w:p>
        </w:tc>
        <w:tc>
          <w:tcPr>
            <w:tcW w:w="9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DE091D">
            <w:pPr>
              <w:jc w:val="center"/>
              <w:rPr>
                <w:rFonts w:hint="default" w:ascii="Calibri" w:hAnsi="Calibri" w:eastAsia="宋体" w:cs="Calibri"/>
                <w:i w:val="0"/>
                <w:iCs w:val="0"/>
                <w:color w:val="000000"/>
                <w:sz w:val="21"/>
                <w:szCs w:val="21"/>
                <w:u w:val="none"/>
              </w:rPr>
            </w:pPr>
          </w:p>
        </w:tc>
        <w:tc>
          <w:tcPr>
            <w:tcW w:w="9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E991A8">
            <w:pPr>
              <w:jc w:val="center"/>
              <w:rPr>
                <w:rFonts w:hint="default" w:ascii="Calibri" w:hAnsi="Calibri" w:eastAsia="宋体" w:cs="Calibri"/>
                <w:i w:val="0"/>
                <w:iCs w:val="0"/>
                <w:color w:val="000000"/>
                <w:sz w:val="21"/>
                <w:szCs w:val="21"/>
                <w:u w:val="none"/>
              </w:rPr>
            </w:pPr>
          </w:p>
        </w:tc>
        <w:tc>
          <w:tcPr>
            <w:tcW w:w="18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3209A3">
            <w:pPr>
              <w:jc w:val="center"/>
              <w:rPr>
                <w:rFonts w:hint="default" w:ascii="Calibri" w:hAnsi="Calibri" w:eastAsia="宋体" w:cs="Calibri"/>
                <w:i w:val="0"/>
                <w:iCs w:val="0"/>
                <w:color w:val="000000"/>
                <w:sz w:val="21"/>
                <w:szCs w:val="21"/>
                <w:u w:val="none"/>
              </w:rPr>
            </w:pPr>
          </w:p>
        </w:tc>
      </w:tr>
      <w:tr w14:paraId="383F153A">
        <w:tblPrEx>
          <w:shd w:val="clear" w:color="auto" w:fill="auto"/>
          <w:tblCellMar>
            <w:top w:w="0" w:type="dxa"/>
            <w:left w:w="108" w:type="dxa"/>
            <w:bottom w:w="0" w:type="dxa"/>
            <w:right w:w="108" w:type="dxa"/>
          </w:tblCellMar>
        </w:tblPrEx>
        <w:trPr>
          <w:trHeight w:val="320" w:hRule="atLeast"/>
        </w:trPr>
        <w:tc>
          <w:tcPr>
            <w:tcW w:w="1071" w:type="dxa"/>
            <w:vMerge w:val="continue"/>
            <w:tcBorders>
              <w:top w:val="single" w:color="000000" w:sz="4" w:space="0"/>
              <w:left w:val="single" w:color="000000" w:sz="4" w:space="0"/>
              <w:bottom w:val="single" w:color="000000" w:sz="4" w:space="0"/>
              <w:right w:val="nil"/>
            </w:tcBorders>
            <w:shd w:val="clear" w:color="auto" w:fill="auto"/>
            <w:vAlign w:val="center"/>
          </w:tcPr>
          <w:p w14:paraId="0BBD0922">
            <w:pPr>
              <w:jc w:val="center"/>
              <w:rPr>
                <w:rFonts w:hint="eastAsia" w:ascii="宋体" w:hAnsi="宋体" w:eastAsia="宋体" w:cs="宋体"/>
                <w:i w:val="0"/>
                <w:iCs w:val="0"/>
                <w:color w:val="000000"/>
                <w:sz w:val="16"/>
                <w:szCs w:val="16"/>
                <w:u w:val="none"/>
              </w:rPr>
            </w:pPr>
          </w:p>
        </w:tc>
        <w:tc>
          <w:tcPr>
            <w:tcW w:w="962" w:type="dxa"/>
            <w:vMerge w:val="continue"/>
            <w:tcBorders>
              <w:top w:val="single" w:color="000000" w:sz="4" w:space="0"/>
              <w:left w:val="single" w:color="000000" w:sz="4" w:space="0"/>
              <w:bottom w:val="nil"/>
              <w:right w:val="single" w:color="000000" w:sz="4" w:space="0"/>
            </w:tcBorders>
            <w:shd w:val="clear" w:color="auto" w:fill="auto"/>
            <w:vAlign w:val="center"/>
          </w:tcPr>
          <w:p w14:paraId="73F13805">
            <w:pPr>
              <w:jc w:val="center"/>
              <w:rPr>
                <w:rFonts w:hint="eastAsia" w:ascii="宋体" w:hAnsi="宋体" w:eastAsia="宋体" w:cs="宋体"/>
                <w:i w:val="0"/>
                <w:iCs w:val="0"/>
                <w:color w:val="000000"/>
                <w:sz w:val="16"/>
                <w:szCs w:val="16"/>
                <w:u w:val="none"/>
              </w:rPr>
            </w:pPr>
          </w:p>
        </w:tc>
        <w:tc>
          <w:tcPr>
            <w:tcW w:w="94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46D604D">
            <w:pPr>
              <w:jc w:val="center"/>
              <w:rPr>
                <w:rFonts w:hint="eastAsia" w:ascii="宋体" w:hAnsi="宋体" w:eastAsia="宋体" w:cs="宋体"/>
                <w:i w:val="0"/>
                <w:iCs w:val="0"/>
                <w:color w:val="000000"/>
                <w:sz w:val="16"/>
                <w:szCs w:val="16"/>
                <w:u w:val="none"/>
              </w:rPr>
            </w:pPr>
          </w:p>
        </w:tc>
        <w:tc>
          <w:tcPr>
            <w:tcW w:w="234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2525958">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9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80E6E5">
            <w:pPr>
              <w:jc w:val="center"/>
              <w:rPr>
                <w:rFonts w:hint="default" w:ascii="Calibri" w:hAnsi="Calibri" w:eastAsia="宋体" w:cs="Calibri"/>
                <w:i w:val="0"/>
                <w:iCs w:val="0"/>
                <w:color w:val="000000"/>
                <w:sz w:val="21"/>
                <w:szCs w:val="21"/>
                <w:u w:val="none"/>
              </w:rPr>
            </w:pPr>
          </w:p>
        </w:tc>
        <w:tc>
          <w:tcPr>
            <w:tcW w:w="9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4628A6">
            <w:pPr>
              <w:jc w:val="center"/>
              <w:rPr>
                <w:rFonts w:hint="default" w:ascii="Calibri" w:hAnsi="Calibri" w:eastAsia="宋体" w:cs="Calibri"/>
                <w:i w:val="0"/>
                <w:iCs w:val="0"/>
                <w:color w:val="000000"/>
                <w:sz w:val="21"/>
                <w:szCs w:val="21"/>
                <w:u w:val="none"/>
              </w:rPr>
            </w:pPr>
          </w:p>
        </w:tc>
        <w:tc>
          <w:tcPr>
            <w:tcW w:w="18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8849F5">
            <w:pPr>
              <w:jc w:val="center"/>
              <w:rPr>
                <w:rFonts w:hint="default" w:ascii="Calibri" w:hAnsi="Calibri" w:eastAsia="宋体" w:cs="Calibri"/>
                <w:i w:val="0"/>
                <w:iCs w:val="0"/>
                <w:color w:val="000000"/>
                <w:sz w:val="21"/>
                <w:szCs w:val="21"/>
                <w:u w:val="none"/>
              </w:rPr>
            </w:pPr>
          </w:p>
        </w:tc>
      </w:tr>
      <w:tr w14:paraId="032BEE51">
        <w:tblPrEx>
          <w:shd w:val="clear" w:color="auto" w:fill="auto"/>
          <w:tblCellMar>
            <w:top w:w="0" w:type="dxa"/>
            <w:left w:w="108" w:type="dxa"/>
            <w:bottom w:w="0" w:type="dxa"/>
            <w:right w:w="108" w:type="dxa"/>
          </w:tblCellMar>
        </w:tblPrEx>
        <w:trPr>
          <w:trHeight w:val="2489" w:hRule="atLeast"/>
        </w:trPr>
        <w:tc>
          <w:tcPr>
            <w:tcW w:w="1071" w:type="dxa"/>
            <w:vMerge w:val="continue"/>
            <w:tcBorders>
              <w:top w:val="single" w:color="000000" w:sz="4" w:space="0"/>
              <w:left w:val="single" w:color="000000" w:sz="4" w:space="0"/>
              <w:bottom w:val="single" w:color="000000" w:sz="4" w:space="0"/>
              <w:right w:val="nil"/>
            </w:tcBorders>
            <w:shd w:val="clear" w:color="auto" w:fill="auto"/>
            <w:vAlign w:val="center"/>
          </w:tcPr>
          <w:p w14:paraId="27CAC850">
            <w:pPr>
              <w:jc w:val="center"/>
              <w:rPr>
                <w:rFonts w:hint="eastAsia" w:ascii="宋体" w:hAnsi="宋体" w:eastAsia="宋体" w:cs="宋体"/>
                <w:i w:val="0"/>
                <w:iCs w:val="0"/>
                <w:color w:val="000000"/>
                <w:sz w:val="16"/>
                <w:szCs w:val="16"/>
                <w:u w:val="none"/>
              </w:rPr>
            </w:pPr>
          </w:p>
        </w:tc>
        <w:tc>
          <w:tcPr>
            <w:tcW w:w="962" w:type="dxa"/>
            <w:vMerge w:val="continue"/>
            <w:tcBorders>
              <w:top w:val="single" w:color="000000" w:sz="4" w:space="0"/>
              <w:left w:val="single" w:color="000000" w:sz="4" w:space="0"/>
              <w:bottom w:val="nil"/>
              <w:right w:val="single" w:color="000000" w:sz="4" w:space="0"/>
            </w:tcBorders>
            <w:shd w:val="clear" w:color="auto" w:fill="auto"/>
            <w:vAlign w:val="center"/>
          </w:tcPr>
          <w:p w14:paraId="6E086DFB">
            <w:pPr>
              <w:jc w:val="center"/>
              <w:rPr>
                <w:rFonts w:hint="eastAsia" w:ascii="宋体" w:hAnsi="宋体" w:eastAsia="宋体" w:cs="宋体"/>
                <w:i w:val="0"/>
                <w:iCs w:val="0"/>
                <w:color w:val="000000"/>
                <w:sz w:val="16"/>
                <w:szCs w:val="16"/>
                <w:u w:val="none"/>
              </w:rPr>
            </w:pPr>
          </w:p>
        </w:tc>
        <w:tc>
          <w:tcPr>
            <w:tcW w:w="943"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AB5DCA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时效指标</w:t>
            </w:r>
          </w:p>
        </w:tc>
        <w:tc>
          <w:tcPr>
            <w:tcW w:w="234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25BF77F">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结合理论要点及时组织宣讲</w:t>
            </w:r>
          </w:p>
        </w:tc>
        <w:tc>
          <w:tcPr>
            <w:tcW w:w="9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CAE7E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结合理论热点和重大活动、节日及时组织宣讲活动</w:t>
            </w:r>
          </w:p>
        </w:tc>
        <w:tc>
          <w:tcPr>
            <w:tcW w:w="9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9A2EA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结合《习近平谈治国理政》第三卷、党的十九届五中全会精神等开展宣讲活动</w:t>
            </w:r>
          </w:p>
        </w:tc>
        <w:tc>
          <w:tcPr>
            <w:tcW w:w="18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9349AB">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20</w:t>
            </w:r>
            <w:r>
              <w:rPr>
                <w:rStyle w:val="16"/>
                <w:lang w:val="en-US" w:eastAsia="zh-CN" w:bidi="ar"/>
              </w:rPr>
              <w:t>分</w:t>
            </w:r>
          </w:p>
        </w:tc>
      </w:tr>
      <w:tr w14:paraId="6D66F490">
        <w:tblPrEx>
          <w:shd w:val="clear" w:color="auto" w:fill="auto"/>
          <w:tblCellMar>
            <w:top w:w="0" w:type="dxa"/>
            <w:left w:w="108" w:type="dxa"/>
            <w:bottom w:w="0" w:type="dxa"/>
            <w:right w:w="108" w:type="dxa"/>
          </w:tblCellMar>
        </w:tblPrEx>
        <w:trPr>
          <w:trHeight w:val="320" w:hRule="atLeast"/>
        </w:trPr>
        <w:tc>
          <w:tcPr>
            <w:tcW w:w="1071" w:type="dxa"/>
            <w:vMerge w:val="continue"/>
            <w:tcBorders>
              <w:top w:val="single" w:color="000000" w:sz="4" w:space="0"/>
              <w:left w:val="single" w:color="000000" w:sz="4" w:space="0"/>
              <w:bottom w:val="single" w:color="000000" w:sz="4" w:space="0"/>
              <w:right w:val="nil"/>
            </w:tcBorders>
            <w:shd w:val="clear" w:color="auto" w:fill="auto"/>
            <w:vAlign w:val="center"/>
          </w:tcPr>
          <w:p w14:paraId="7EBDA9E9">
            <w:pPr>
              <w:jc w:val="center"/>
              <w:rPr>
                <w:rFonts w:hint="eastAsia" w:ascii="宋体" w:hAnsi="宋体" w:eastAsia="宋体" w:cs="宋体"/>
                <w:i w:val="0"/>
                <w:iCs w:val="0"/>
                <w:color w:val="000000"/>
                <w:sz w:val="16"/>
                <w:szCs w:val="16"/>
                <w:u w:val="none"/>
              </w:rPr>
            </w:pPr>
          </w:p>
        </w:tc>
        <w:tc>
          <w:tcPr>
            <w:tcW w:w="962" w:type="dxa"/>
            <w:vMerge w:val="continue"/>
            <w:tcBorders>
              <w:top w:val="single" w:color="000000" w:sz="4" w:space="0"/>
              <w:left w:val="single" w:color="000000" w:sz="4" w:space="0"/>
              <w:bottom w:val="nil"/>
              <w:right w:val="single" w:color="000000" w:sz="4" w:space="0"/>
            </w:tcBorders>
            <w:shd w:val="clear" w:color="auto" w:fill="auto"/>
            <w:vAlign w:val="center"/>
          </w:tcPr>
          <w:p w14:paraId="2E8C2F4A">
            <w:pPr>
              <w:jc w:val="center"/>
              <w:rPr>
                <w:rFonts w:hint="eastAsia" w:ascii="宋体" w:hAnsi="宋体" w:eastAsia="宋体" w:cs="宋体"/>
                <w:i w:val="0"/>
                <w:iCs w:val="0"/>
                <w:color w:val="000000"/>
                <w:sz w:val="16"/>
                <w:szCs w:val="16"/>
                <w:u w:val="none"/>
              </w:rPr>
            </w:pPr>
          </w:p>
        </w:tc>
        <w:tc>
          <w:tcPr>
            <w:tcW w:w="94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E35033F">
            <w:pPr>
              <w:jc w:val="center"/>
              <w:rPr>
                <w:rFonts w:hint="eastAsia" w:ascii="宋体" w:hAnsi="宋体" w:eastAsia="宋体" w:cs="宋体"/>
                <w:i w:val="0"/>
                <w:iCs w:val="0"/>
                <w:color w:val="000000"/>
                <w:sz w:val="16"/>
                <w:szCs w:val="16"/>
                <w:u w:val="none"/>
              </w:rPr>
            </w:pPr>
          </w:p>
        </w:tc>
        <w:tc>
          <w:tcPr>
            <w:tcW w:w="234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383DF1B">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指标</w:t>
            </w:r>
            <w:r>
              <w:rPr>
                <w:rStyle w:val="14"/>
                <w:rFonts w:eastAsia="宋体"/>
                <w:lang w:val="en-US" w:eastAsia="zh-CN" w:bidi="ar"/>
              </w:rPr>
              <w:t xml:space="preserve"> </w:t>
            </w:r>
            <w:r>
              <w:rPr>
                <w:rStyle w:val="15"/>
                <w:lang w:val="en-US" w:eastAsia="zh-CN" w:bidi="ar"/>
              </w:rPr>
              <w:t>２</w:t>
            </w:r>
          </w:p>
        </w:tc>
        <w:tc>
          <w:tcPr>
            <w:tcW w:w="9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51F8B1">
            <w:pPr>
              <w:jc w:val="center"/>
              <w:rPr>
                <w:rFonts w:hint="default" w:ascii="Calibri" w:hAnsi="Calibri" w:eastAsia="宋体" w:cs="Calibri"/>
                <w:i w:val="0"/>
                <w:iCs w:val="0"/>
                <w:color w:val="000000"/>
                <w:sz w:val="21"/>
                <w:szCs w:val="21"/>
                <w:u w:val="none"/>
              </w:rPr>
            </w:pPr>
          </w:p>
        </w:tc>
        <w:tc>
          <w:tcPr>
            <w:tcW w:w="9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893947">
            <w:pPr>
              <w:jc w:val="center"/>
              <w:rPr>
                <w:rFonts w:hint="default" w:ascii="Calibri" w:hAnsi="Calibri" w:eastAsia="宋体" w:cs="Calibri"/>
                <w:i w:val="0"/>
                <w:iCs w:val="0"/>
                <w:color w:val="000000"/>
                <w:sz w:val="21"/>
                <w:szCs w:val="21"/>
                <w:u w:val="none"/>
              </w:rPr>
            </w:pPr>
          </w:p>
        </w:tc>
        <w:tc>
          <w:tcPr>
            <w:tcW w:w="18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1C9065">
            <w:pPr>
              <w:jc w:val="center"/>
              <w:rPr>
                <w:rFonts w:hint="default" w:ascii="Calibri" w:hAnsi="Calibri" w:eastAsia="宋体" w:cs="Calibri"/>
                <w:i w:val="0"/>
                <w:iCs w:val="0"/>
                <w:color w:val="000000"/>
                <w:sz w:val="21"/>
                <w:szCs w:val="21"/>
                <w:u w:val="none"/>
              </w:rPr>
            </w:pPr>
          </w:p>
        </w:tc>
      </w:tr>
      <w:tr w14:paraId="756824A3">
        <w:tblPrEx>
          <w:shd w:val="clear" w:color="auto" w:fill="auto"/>
          <w:tblCellMar>
            <w:top w:w="0" w:type="dxa"/>
            <w:left w:w="108" w:type="dxa"/>
            <w:bottom w:w="0" w:type="dxa"/>
            <w:right w:w="108" w:type="dxa"/>
          </w:tblCellMar>
        </w:tblPrEx>
        <w:trPr>
          <w:trHeight w:val="320" w:hRule="atLeast"/>
        </w:trPr>
        <w:tc>
          <w:tcPr>
            <w:tcW w:w="1071" w:type="dxa"/>
            <w:vMerge w:val="continue"/>
            <w:tcBorders>
              <w:top w:val="single" w:color="000000" w:sz="4" w:space="0"/>
              <w:left w:val="single" w:color="000000" w:sz="4" w:space="0"/>
              <w:bottom w:val="single" w:color="000000" w:sz="4" w:space="0"/>
              <w:right w:val="nil"/>
            </w:tcBorders>
            <w:shd w:val="clear" w:color="auto" w:fill="auto"/>
            <w:vAlign w:val="center"/>
          </w:tcPr>
          <w:p w14:paraId="1B9A3D11">
            <w:pPr>
              <w:jc w:val="center"/>
              <w:rPr>
                <w:rFonts w:hint="eastAsia" w:ascii="宋体" w:hAnsi="宋体" w:eastAsia="宋体" w:cs="宋体"/>
                <w:i w:val="0"/>
                <w:iCs w:val="0"/>
                <w:color w:val="000000"/>
                <w:sz w:val="16"/>
                <w:szCs w:val="16"/>
                <w:u w:val="none"/>
              </w:rPr>
            </w:pPr>
          </w:p>
        </w:tc>
        <w:tc>
          <w:tcPr>
            <w:tcW w:w="962" w:type="dxa"/>
            <w:vMerge w:val="continue"/>
            <w:tcBorders>
              <w:top w:val="single" w:color="000000" w:sz="4" w:space="0"/>
              <w:left w:val="single" w:color="000000" w:sz="4" w:space="0"/>
              <w:bottom w:val="nil"/>
              <w:right w:val="single" w:color="000000" w:sz="4" w:space="0"/>
            </w:tcBorders>
            <w:shd w:val="clear" w:color="auto" w:fill="auto"/>
            <w:vAlign w:val="center"/>
          </w:tcPr>
          <w:p w14:paraId="5B138EFA">
            <w:pPr>
              <w:jc w:val="center"/>
              <w:rPr>
                <w:rFonts w:hint="eastAsia" w:ascii="宋体" w:hAnsi="宋体" w:eastAsia="宋体" w:cs="宋体"/>
                <w:i w:val="0"/>
                <w:iCs w:val="0"/>
                <w:color w:val="000000"/>
                <w:sz w:val="16"/>
                <w:szCs w:val="16"/>
                <w:u w:val="none"/>
              </w:rPr>
            </w:pPr>
          </w:p>
        </w:tc>
        <w:tc>
          <w:tcPr>
            <w:tcW w:w="94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DC33A65">
            <w:pPr>
              <w:jc w:val="center"/>
              <w:rPr>
                <w:rFonts w:hint="eastAsia" w:ascii="宋体" w:hAnsi="宋体" w:eastAsia="宋体" w:cs="宋体"/>
                <w:i w:val="0"/>
                <w:iCs w:val="0"/>
                <w:color w:val="000000"/>
                <w:sz w:val="16"/>
                <w:szCs w:val="16"/>
                <w:u w:val="none"/>
              </w:rPr>
            </w:pPr>
          </w:p>
        </w:tc>
        <w:tc>
          <w:tcPr>
            <w:tcW w:w="234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F9B3C8C">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9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BD1F79">
            <w:pPr>
              <w:jc w:val="center"/>
              <w:rPr>
                <w:rFonts w:hint="default" w:ascii="Calibri" w:hAnsi="Calibri" w:eastAsia="宋体" w:cs="Calibri"/>
                <w:i w:val="0"/>
                <w:iCs w:val="0"/>
                <w:color w:val="000000"/>
                <w:sz w:val="21"/>
                <w:szCs w:val="21"/>
                <w:u w:val="none"/>
              </w:rPr>
            </w:pPr>
          </w:p>
        </w:tc>
        <w:tc>
          <w:tcPr>
            <w:tcW w:w="9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E5F076">
            <w:pPr>
              <w:jc w:val="center"/>
              <w:rPr>
                <w:rFonts w:hint="default" w:ascii="Calibri" w:hAnsi="Calibri" w:eastAsia="宋体" w:cs="Calibri"/>
                <w:i w:val="0"/>
                <w:iCs w:val="0"/>
                <w:color w:val="000000"/>
                <w:sz w:val="21"/>
                <w:szCs w:val="21"/>
                <w:u w:val="none"/>
              </w:rPr>
            </w:pPr>
          </w:p>
        </w:tc>
        <w:tc>
          <w:tcPr>
            <w:tcW w:w="18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199402">
            <w:pPr>
              <w:jc w:val="center"/>
              <w:rPr>
                <w:rFonts w:hint="default" w:ascii="Calibri" w:hAnsi="Calibri" w:eastAsia="宋体" w:cs="Calibri"/>
                <w:i w:val="0"/>
                <w:iCs w:val="0"/>
                <w:color w:val="000000"/>
                <w:sz w:val="21"/>
                <w:szCs w:val="21"/>
                <w:u w:val="none"/>
              </w:rPr>
            </w:pPr>
          </w:p>
        </w:tc>
      </w:tr>
      <w:tr w14:paraId="557E3157">
        <w:tblPrEx>
          <w:shd w:val="clear" w:color="auto" w:fill="auto"/>
          <w:tblCellMar>
            <w:top w:w="0" w:type="dxa"/>
            <w:left w:w="108" w:type="dxa"/>
            <w:bottom w:w="0" w:type="dxa"/>
            <w:right w:w="108" w:type="dxa"/>
          </w:tblCellMar>
        </w:tblPrEx>
        <w:trPr>
          <w:trHeight w:val="320" w:hRule="atLeast"/>
        </w:trPr>
        <w:tc>
          <w:tcPr>
            <w:tcW w:w="1071" w:type="dxa"/>
            <w:vMerge w:val="continue"/>
            <w:tcBorders>
              <w:top w:val="single" w:color="000000" w:sz="4" w:space="0"/>
              <w:left w:val="single" w:color="000000" w:sz="4" w:space="0"/>
              <w:bottom w:val="single" w:color="000000" w:sz="4" w:space="0"/>
              <w:right w:val="nil"/>
            </w:tcBorders>
            <w:shd w:val="clear" w:color="auto" w:fill="auto"/>
            <w:vAlign w:val="center"/>
          </w:tcPr>
          <w:p w14:paraId="70DB0EE4">
            <w:pPr>
              <w:jc w:val="center"/>
              <w:rPr>
                <w:rFonts w:hint="eastAsia" w:ascii="宋体" w:hAnsi="宋体" w:eastAsia="宋体" w:cs="宋体"/>
                <w:i w:val="0"/>
                <w:iCs w:val="0"/>
                <w:color w:val="000000"/>
                <w:sz w:val="16"/>
                <w:szCs w:val="16"/>
                <w:u w:val="none"/>
              </w:rPr>
            </w:pPr>
          </w:p>
        </w:tc>
        <w:tc>
          <w:tcPr>
            <w:tcW w:w="962" w:type="dxa"/>
            <w:vMerge w:val="continue"/>
            <w:tcBorders>
              <w:top w:val="single" w:color="000000" w:sz="4" w:space="0"/>
              <w:left w:val="single" w:color="000000" w:sz="4" w:space="0"/>
              <w:bottom w:val="nil"/>
              <w:right w:val="single" w:color="000000" w:sz="4" w:space="0"/>
            </w:tcBorders>
            <w:shd w:val="clear" w:color="auto" w:fill="auto"/>
            <w:vAlign w:val="center"/>
          </w:tcPr>
          <w:p w14:paraId="736F4AB3">
            <w:pPr>
              <w:jc w:val="center"/>
              <w:rPr>
                <w:rFonts w:hint="eastAsia" w:ascii="宋体" w:hAnsi="宋体" w:eastAsia="宋体" w:cs="宋体"/>
                <w:i w:val="0"/>
                <w:iCs w:val="0"/>
                <w:color w:val="000000"/>
                <w:sz w:val="16"/>
                <w:szCs w:val="16"/>
                <w:u w:val="none"/>
              </w:rPr>
            </w:pPr>
          </w:p>
        </w:tc>
        <w:tc>
          <w:tcPr>
            <w:tcW w:w="943"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A0FE17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成本指标</w:t>
            </w:r>
          </w:p>
        </w:tc>
        <w:tc>
          <w:tcPr>
            <w:tcW w:w="234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F3D59A1">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指标</w:t>
            </w:r>
            <w:r>
              <w:rPr>
                <w:rStyle w:val="14"/>
                <w:rFonts w:eastAsia="宋体"/>
                <w:lang w:val="en-US" w:eastAsia="zh-CN" w:bidi="ar"/>
              </w:rPr>
              <w:t xml:space="preserve"> </w:t>
            </w:r>
            <w:r>
              <w:rPr>
                <w:rStyle w:val="15"/>
                <w:lang w:val="en-US" w:eastAsia="zh-CN" w:bidi="ar"/>
              </w:rPr>
              <w:t>１</w:t>
            </w:r>
          </w:p>
        </w:tc>
        <w:tc>
          <w:tcPr>
            <w:tcW w:w="9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C69837">
            <w:pPr>
              <w:jc w:val="center"/>
              <w:rPr>
                <w:rFonts w:hint="default" w:ascii="Calibri" w:hAnsi="Calibri" w:eastAsia="宋体" w:cs="Calibri"/>
                <w:i w:val="0"/>
                <w:iCs w:val="0"/>
                <w:color w:val="000000"/>
                <w:sz w:val="21"/>
                <w:szCs w:val="21"/>
                <w:u w:val="none"/>
              </w:rPr>
            </w:pPr>
          </w:p>
        </w:tc>
        <w:tc>
          <w:tcPr>
            <w:tcW w:w="9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6F1757">
            <w:pPr>
              <w:jc w:val="center"/>
              <w:rPr>
                <w:rFonts w:hint="default" w:ascii="Calibri" w:hAnsi="Calibri" w:eastAsia="宋体" w:cs="Calibri"/>
                <w:i w:val="0"/>
                <w:iCs w:val="0"/>
                <w:color w:val="000000"/>
                <w:sz w:val="21"/>
                <w:szCs w:val="21"/>
                <w:u w:val="none"/>
              </w:rPr>
            </w:pPr>
          </w:p>
        </w:tc>
        <w:tc>
          <w:tcPr>
            <w:tcW w:w="18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768F38">
            <w:pPr>
              <w:jc w:val="center"/>
              <w:rPr>
                <w:rFonts w:hint="default" w:ascii="Calibri" w:hAnsi="Calibri" w:eastAsia="宋体" w:cs="Calibri"/>
                <w:i w:val="0"/>
                <w:iCs w:val="0"/>
                <w:color w:val="000000"/>
                <w:sz w:val="21"/>
                <w:szCs w:val="21"/>
                <w:u w:val="none"/>
              </w:rPr>
            </w:pPr>
          </w:p>
        </w:tc>
      </w:tr>
      <w:tr w14:paraId="12D50B4D">
        <w:tblPrEx>
          <w:shd w:val="clear" w:color="auto" w:fill="auto"/>
          <w:tblCellMar>
            <w:top w:w="0" w:type="dxa"/>
            <w:left w:w="108" w:type="dxa"/>
            <w:bottom w:w="0" w:type="dxa"/>
            <w:right w:w="108" w:type="dxa"/>
          </w:tblCellMar>
        </w:tblPrEx>
        <w:trPr>
          <w:trHeight w:val="320" w:hRule="atLeast"/>
        </w:trPr>
        <w:tc>
          <w:tcPr>
            <w:tcW w:w="1071" w:type="dxa"/>
            <w:vMerge w:val="continue"/>
            <w:tcBorders>
              <w:top w:val="single" w:color="000000" w:sz="4" w:space="0"/>
              <w:left w:val="single" w:color="000000" w:sz="4" w:space="0"/>
              <w:bottom w:val="single" w:color="000000" w:sz="4" w:space="0"/>
              <w:right w:val="nil"/>
            </w:tcBorders>
            <w:shd w:val="clear" w:color="auto" w:fill="auto"/>
            <w:vAlign w:val="center"/>
          </w:tcPr>
          <w:p w14:paraId="4DA3B221">
            <w:pPr>
              <w:jc w:val="center"/>
              <w:rPr>
                <w:rFonts w:hint="eastAsia" w:ascii="宋体" w:hAnsi="宋体" w:eastAsia="宋体" w:cs="宋体"/>
                <w:i w:val="0"/>
                <w:iCs w:val="0"/>
                <w:color w:val="000000"/>
                <w:sz w:val="16"/>
                <w:szCs w:val="16"/>
                <w:u w:val="none"/>
              </w:rPr>
            </w:pPr>
          </w:p>
        </w:tc>
        <w:tc>
          <w:tcPr>
            <w:tcW w:w="962" w:type="dxa"/>
            <w:vMerge w:val="continue"/>
            <w:tcBorders>
              <w:top w:val="single" w:color="000000" w:sz="4" w:space="0"/>
              <w:left w:val="single" w:color="000000" w:sz="4" w:space="0"/>
              <w:bottom w:val="nil"/>
              <w:right w:val="single" w:color="000000" w:sz="4" w:space="0"/>
            </w:tcBorders>
            <w:shd w:val="clear" w:color="auto" w:fill="auto"/>
            <w:vAlign w:val="center"/>
          </w:tcPr>
          <w:p w14:paraId="7021D127">
            <w:pPr>
              <w:jc w:val="center"/>
              <w:rPr>
                <w:rFonts w:hint="eastAsia" w:ascii="宋体" w:hAnsi="宋体" w:eastAsia="宋体" w:cs="宋体"/>
                <w:i w:val="0"/>
                <w:iCs w:val="0"/>
                <w:color w:val="000000"/>
                <w:sz w:val="16"/>
                <w:szCs w:val="16"/>
                <w:u w:val="none"/>
              </w:rPr>
            </w:pPr>
          </w:p>
        </w:tc>
        <w:tc>
          <w:tcPr>
            <w:tcW w:w="94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6B57650">
            <w:pPr>
              <w:jc w:val="center"/>
              <w:rPr>
                <w:rFonts w:hint="eastAsia" w:ascii="宋体" w:hAnsi="宋体" w:eastAsia="宋体" w:cs="宋体"/>
                <w:i w:val="0"/>
                <w:iCs w:val="0"/>
                <w:color w:val="000000"/>
                <w:sz w:val="16"/>
                <w:szCs w:val="16"/>
                <w:u w:val="none"/>
              </w:rPr>
            </w:pPr>
          </w:p>
        </w:tc>
        <w:tc>
          <w:tcPr>
            <w:tcW w:w="234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E0A4894">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指标</w:t>
            </w:r>
            <w:r>
              <w:rPr>
                <w:rStyle w:val="14"/>
                <w:rFonts w:eastAsia="宋体"/>
                <w:lang w:val="en-US" w:eastAsia="zh-CN" w:bidi="ar"/>
              </w:rPr>
              <w:t xml:space="preserve"> </w:t>
            </w:r>
            <w:r>
              <w:rPr>
                <w:rStyle w:val="15"/>
                <w:lang w:val="en-US" w:eastAsia="zh-CN" w:bidi="ar"/>
              </w:rPr>
              <w:t>２</w:t>
            </w:r>
          </w:p>
        </w:tc>
        <w:tc>
          <w:tcPr>
            <w:tcW w:w="9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0548D6">
            <w:pPr>
              <w:jc w:val="center"/>
              <w:rPr>
                <w:rFonts w:hint="default" w:ascii="Calibri" w:hAnsi="Calibri" w:eastAsia="宋体" w:cs="Calibri"/>
                <w:i w:val="0"/>
                <w:iCs w:val="0"/>
                <w:color w:val="000000"/>
                <w:sz w:val="21"/>
                <w:szCs w:val="21"/>
                <w:u w:val="none"/>
              </w:rPr>
            </w:pPr>
          </w:p>
        </w:tc>
        <w:tc>
          <w:tcPr>
            <w:tcW w:w="9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D1AEE6">
            <w:pPr>
              <w:jc w:val="center"/>
              <w:rPr>
                <w:rFonts w:hint="default" w:ascii="Calibri" w:hAnsi="Calibri" w:eastAsia="宋体" w:cs="Calibri"/>
                <w:i w:val="0"/>
                <w:iCs w:val="0"/>
                <w:color w:val="000000"/>
                <w:sz w:val="21"/>
                <w:szCs w:val="21"/>
                <w:u w:val="none"/>
              </w:rPr>
            </w:pPr>
          </w:p>
        </w:tc>
        <w:tc>
          <w:tcPr>
            <w:tcW w:w="18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6FA128">
            <w:pPr>
              <w:jc w:val="center"/>
              <w:rPr>
                <w:rFonts w:hint="default" w:ascii="Calibri" w:hAnsi="Calibri" w:eastAsia="宋体" w:cs="Calibri"/>
                <w:i w:val="0"/>
                <w:iCs w:val="0"/>
                <w:color w:val="000000"/>
                <w:sz w:val="21"/>
                <w:szCs w:val="21"/>
                <w:u w:val="none"/>
              </w:rPr>
            </w:pPr>
          </w:p>
        </w:tc>
      </w:tr>
      <w:tr w14:paraId="081AC8D2">
        <w:tblPrEx>
          <w:shd w:val="clear" w:color="auto" w:fill="auto"/>
          <w:tblCellMar>
            <w:top w:w="0" w:type="dxa"/>
            <w:left w:w="108" w:type="dxa"/>
            <w:bottom w:w="0" w:type="dxa"/>
            <w:right w:w="108" w:type="dxa"/>
          </w:tblCellMar>
        </w:tblPrEx>
        <w:trPr>
          <w:trHeight w:val="320" w:hRule="atLeast"/>
        </w:trPr>
        <w:tc>
          <w:tcPr>
            <w:tcW w:w="1071" w:type="dxa"/>
            <w:vMerge w:val="continue"/>
            <w:tcBorders>
              <w:top w:val="single" w:color="000000" w:sz="4" w:space="0"/>
              <w:left w:val="single" w:color="000000" w:sz="4" w:space="0"/>
              <w:bottom w:val="single" w:color="000000" w:sz="4" w:space="0"/>
              <w:right w:val="nil"/>
            </w:tcBorders>
            <w:shd w:val="clear" w:color="auto" w:fill="auto"/>
            <w:vAlign w:val="center"/>
          </w:tcPr>
          <w:p w14:paraId="7066DF1B">
            <w:pPr>
              <w:jc w:val="center"/>
              <w:rPr>
                <w:rFonts w:hint="eastAsia" w:ascii="宋体" w:hAnsi="宋体" w:eastAsia="宋体" w:cs="宋体"/>
                <w:i w:val="0"/>
                <w:iCs w:val="0"/>
                <w:color w:val="000000"/>
                <w:sz w:val="16"/>
                <w:szCs w:val="16"/>
                <w:u w:val="none"/>
              </w:rPr>
            </w:pPr>
          </w:p>
        </w:tc>
        <w:tc>
          <w:tcPr>
            <w:tcW w:w="962" w:type="dxa"/>
            <w:vMerge w:val="continue"/>
            <w:tcBorders>
              <w:top w:val="single" w:color="000000" w:sz="4" w:space="0"/>
              <w:left w:val="single" w:color="000000" w:sz="4" w:space="0"/>
              <w:bottom w:val="nil"/>
              <w:right w:val="single" w:color="000000" w:sz="4" w:space="0"/>
            </w:tcBorders>
            <w:shd w:val="clear" w:color="auto" w:fill="auto"/>
            <w:vAlign w:val="center"/>
          </w:tcPr>
          <w:p w14:paraId="05A7867B">
            <w:pPr>
              <w:jc w:val="center"/>
              <w:rPr>
                <w:rFonts w:hint="eastAsia" w:ascii="宋体" w:hAnsi="宋体" w:eastAsia="宋体" w:cs="宋体"/>
                <w:i w:val="0"/>
                <w:iCs w:val="0"/>
                <w:color w:val="000000"/>
                <w:sz w:val="16"/>
                <w:szCs w:val="16"/>
                <w:u w:val="none"/>
              </w:rPr>
            </w:pPr>
          </w:p>
        </w:tc>
        <w:tc>
          <w:tcPr>
            <w:tcW w:w="94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C0E5BB3">
            <w:pPr>
              <w:jc w:val="center"/>
              <w:rPr>
                <w:rFonts w:hint="eastAsia" w:ascii="宋体" w:hAnsi="宋体" w:eastAsia="宋体" w:cs="宋体"/>
                <w:i w:val="0"/>
                <w:iCs w:val="0"/>
                <w:color w:val="000000"/>
                <w:sz w:val="16"/>
                <w:szCs w:val="16"/>
                <w:u w:val="none"/>
              </w:rPr>
            </w:pPr>
          </w:p>
        </w:tc>
        <w:tc>
          <w:tcPr>
            <w:tcW w:w="234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50A4EF6">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9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405046">
            <w:pPr>
              <w:jc w:val="center"/>
              <w:rPr>
                <w:rFonts w:hint="default" w:ascii="Calibri" w:hAnsi="Calibri" w:eastAsia="宋体" w:cs="Calibri"/>
                <w:i w:val="0"/>
                <w:iCs w:val="0"/>
                <w:color w:val="000000"/>
                <w:sz w:val="21"/>
                <w:szCs w:val="21"/>
                <w:u w:val="none"/>
              </w:rPr>
            </w:pPr>
          </w:p>
        </w:tc>
        <w:tc>
          <w:tcPr>
            <w:tcW w:w="9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AD1AEC">
            <w:pPr>
              <w:jc w:val="center"/>
              <w:rPr>
                <w:rFonts w:hint="default" w:ascii="Calibri" w:hAnsi="Calibri" w:eastAsia="宋体" w:cs="Calibri"/>
                <w:i w:val="0"/>
                <w:iCs w:val="0"/>
                <w:color w:val="000000"/>
                <w:sz w:val="21"/>
                <w:szCs w:val="21"/>
                <w:u w:val="none"/>
              </w:rPr>
            </w:pPr>
          </w:p>
        </w:tc>
        <w:tc>
          <w:tcPr>
            <w:tcW w:w="18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336D57">
            <w:pPr>
              <w:jc w:val="center"/>
              <w:rPr>
                <w:rFonts w:hint="default" w:ascii="Calibri" w:hAnsi="Calibri" w:eastAsia="宋体" w:cs="Calibri"/>
                <w:i w:val="0"/>
                <w:iCs w:val="0"/>
                <w:color w:val="000000"/>
                <w:sz w:val="21"/>
                <w:szCs w:val="21"/>
                <w:u w:val="none"/>
              </w:rPr>
            </w:pPr>
          </w:p>
        </w:tc>
      </w:tr>
      <w:tr w14:paraId="6B22EBE7">
        <w:tblPrEx>
          <w:shd w:val="clear" w:color="auto" w:fill="auto"/>
          <w:tblCellMar>
            <w:top w:w="0" w:type="dxa"/>
            <w:left w:w="108" w:type="dxa"/>
            <w:bottom w:w="0" w:type="dxa"/>
            <w:right w:w="108" w:type="dxa"/>
          </w:tblCellMar>
        </w:tblPrEx>
        <w:trPr>
          <w:trHeight w:val="940" w:hRule="atLeast"/>
        </w:trPr>
        <w:tc>
          <w:tcPr>
            <w:tcW w:w="1071" w:type="dxa"/>
            <w:vMerge w:val="continue"/>
            <w:tcBorders>
              <w:top w:val="single" w:color="000000" w:sz="4" w:space="0"/>
              <w:left w:val="single" w:color="000000" w:sz="4" w:space="0"/>
              <w:bottom w:val="single" w:color="000000" w:sz="4" w:space="0"/>
              <w:right w:val="nil"/>
            </w:tcBorders>
            <w:shd w:val="clear" w:color="auto" w:fill="auto"/>
            <w:vAlign w:val="center"/>
          </w:tcPr>
          <w:p w14:paraId="698ED168">
            <w:pPr>
              <w:jc w:val="center"/>
              <w:rPr>
                <w:rFonts w:hint="eastAsia" w:ascii="宋体" w:hAnsi="宋体" w:eastAsia="宋体" w:cs="宋体"/>
                <w:i w:val="0"/>
                <w:iCs w:val="0"/>
                <w:color w:val="000000"/>
                <w:sz w:val="16"/>
                <w:szCs w:val="16"/>
                <w:u w:val="none"/>
              </w:rPr>
            </w:pPr>
          </w:p>
        </w:tc>
        <w:tc>
          <w:tcPr>
            <w:tcW w:w="96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201C68">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预算执行率指标</w:t>
            </w:r>
          </w:p>
          <w:p w14:paraId="75DEBE9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（10分）</w:t>
            </w:r>
          </w:p>
        </w:tc>
        <w:tc>
          <w:tcPr>
            <w:tcW w:w="943" w:type="dxa"/>
            <w:tcBorders>
              <w:top w:val="nil"/>
              <w:left w:val="nil"/>
              <w:bottom w:val="single" w:color="000000" w:sz="4" w:space="0"/>
              <w:right w:val="single" w:color="000000" w:sz="4" w:space="0"/>
            </w:tcBorders>
            <w:shd w:val="clear" w:color="auto" w:fill="auto"/>
            <w:vAlign w:val="center"/>
          </w:tcPr>
          <w:p w14:paraId="2909654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预算执行率</w:t>
            </w:r>
          </w:p>
        </w:tc>
        <w:tc>
          <w:tcPr>
            <w:tcW w:w="234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5E19D2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按时间节点完成</w:t>
            </w:r>
          </w:p>
        </w:tc>
        <w:tc>
          <w:tcPr>
            <w:tcW w:w="9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887E0F">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100%</w:t>
            </w:r>
          </w:p>
        </w:tc>
        <w:tc>
          <w:tcPr>
            <w:tcW w:w="9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EB7174">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100%</w:t>
            </w:r>
          </w:p>
        </w:tc>
        <w:tc>
          <w:tcPr>
            <w:tcW w:w="18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B1F52B">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10</w:t>
            </w:r>
            <w:r>
              <w:rPr>
                <w:rStyle w:val="16"/>
                <w:lang w:val="en-US" w:eastAsia="zh-CN" w:bidi="ar"/>
              </w:rPr>
              <w:t>分</w:t>
            </w:r>
          </w:p>
        </w:tc>
      </w:tr>
      <w:tr w14:paraId="6498CCBB">
        <w:tblPrEx>
          <w:shd w:val="clear" w:color="auto" w:fill="auto"/>
          <w:tblCellMar>
            <w:top w:w="0" w:type="dxa"/>
            <w:left w:w="108" w:type="dxa"/>
            <w:bottom w:w="0" w:type="dxa"/>
            <w:right w:w="108" w:type="dxa"/>
          </w:tblCellMar>
        </w:tblPrEx>
        <w:trPr>
          <w:trHeight w:val="320" w:hRule="atLeast"/>
        </w:trPr>
        <w:tc>
          <w:tcPr>
            <w:tcW w:w="1071" w:type="dxa"/>
            <w:vMerge w:val="continue"/>
            <w:tcBorders>
              <w:top w:val="single" w:color="000000" w:sz="4" w:space="0"/>
              <w:left w:val="single" w:color="000000" w:sz="4" w:space="0"/>
              <w:bottom w:val="single" w:color="000000" w:sz="4" w:space="0"/>
              <w:right w:val="nil"/>
            </w:tcBorders>
            <w:shd w:val="clear" w:color="auto" w:fill="auto"/>
            <w:vAlign w:val="center"/>
          </w:tcPr>
          <w:p w14:paraId="5E074517">
            <w:pPr>
              <w:jc w:val="center"/>
              <w:rPr>
                <w:rFonts w:hint="eastAsia" w:ascii="宋体" w:hAnsi="宋体" w:eastAsia="宋体" w:cs="宋体"/>
                <w:i w:val="0"/>
                <w:iCs w:val="0"/>
                <w:color w:val="000000"/>
                <w:sz w:val="16"/>
                <w:szCs w:val="16"/>
                <w:u w:val="none"/>
              </w:rPr>
            </w:pPr>
          </w:p>
        </w:tc>
        <w:tc>
          <w:tcPr>
            <w:tcW w:w="962" w:type="dxa"/>
            <w:vMerge w:val="restart"/>
            <w:tcBorders>
              <w:top w:val="nil"/>
              <w:left w:val="single" w:color="000000" w:sz="4" w:space="0"/>
              <w:bottom w:val="nil"/>
              <w:right w:val="single" w:color="000000" w:sz="4" w:space="0"/>
            </w:tcBorders>
            <w:shd w:val="clear" w:color="auto" w:fill="auto"/>
            <w:vAlign w:val="center"/>
          </w:tcPr>
          <w:p w14:paraId="204E979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效益指标（40）</w:t>
            </w:r>
          </w:p>
        </w:tc>
        <w:tc>
          <w:tcPr>
            <w:tcW w:w="943" w:type="dxa"/>
            <w:vMerge w:val="restart"/>
            <w:tcBorders>
              <w:top w:val="single" w:color="000000" w:sz="4" w:space="0"/>
              <w:left w:val="nil"/>
              <w:bottom w:val="single" w:color="000000" w:sz="4" w:space="0"/>
              <w:right w:val="single" w:color="000000" w:sz="4" w:space="0"/>
            </w:tcBorders>
            <w:shd w:val="clear" w:color="auto" w:fill="auto"/>
            <w:vAlign w:val="center"/>
          </w:tcPr>
          <w:p w14:paraId="506B036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经济效益指标</w:t>
            </w:r>
          </w:p>
        </w:tc>
        <w:tc>
          <w:tcPr>
            <w:tcW w:w="234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3AF8BCF">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指标</w:t>
            </w:r>
            <w:r>
              <w:rPr>
                <w:rStyle w:val="14"/>
                <w:rFonts w:eastAsia="宋体"/>
                <w:lang w:val="en-US" w:eastAsia="zh-CN" w:bidi="ar"/>
              </w:rPr>
              <w:t xml:space="preserve"> </w:t>
            </w:r>
            <w:r>
              <w:rPr>
                <w:rStyle w:val="15"/>
                <w:lang w:val="en-US" w:eastAsia="zh-CN" w:bidi="ar"/>
              </w:rPr>
              <w:t>１</w:t>
            </w:r>
          </w:p>
        </w:tc>
        <w:tc>
          <w:tcPr>
            <w:tcW w:w="9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F63E53">
            <w:pPr>
              <w:jc w:val="center"/>
              <w:rPr>
                <w:rFonts w:hint="default" w:ascii="Calibri" w:hAnsi="Calibri" w:eastAsia="宋体" w:cs="Calibri"/>
                <w:i w:val="0"/>
                <w:iCs w:val="0"/>
                <w:color w:val="000000"/>
                <w:sz w:val="21"/>
                <w:szCs w:val="21"/>
                <w:u w:val="none"/>
              </w:rPr>
            </w:pPr>
          </w:p>
        </w:tc>
        <w:tc>
          <w:tcPr>
            <w:tcW w:w="9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B6306C">
            <w:pPr>
              <w:jc w:val="center"/>
              <w:rPr>
                <w:rFonts w:hint="default" w:ascii="Calibri" w:hAnsi="Calibri" w:eastAsia="宋体" w:cs="Calibri"/>
                <w:i w:val="0"/>
                <w:iCs w:val="0"/>
                <w:color w:val="000000"/>
                <w:sz w:val="21"/>
                <w:szCs w:val="21"/>
                <w:u w:val="none"/>
              </w:rPr>
            </w:pPr>
          </w:p>
        </w:tc>
        <w:tc>
          <w:tcPr>
            <w:tcW w:w="18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F776B8">
            <w:pPr>
              <w:jc w:val="center"/>
              <w:rPr>
                <w:rFonts w:hint="default" w:ascii="Calibri" w:hAnsi="Calibri" w:eastAsia="宋体" w:cs="Calibri"/>
                <w:i w:val="0"/>
                <w:iCs w:val="0"/>
                <w:color w:val="000000"/>
                <w:sz w:val="21"/>
                <w:szCs w:val="21"/>
                <w:u w:val="none"/>
              </w:rPr>
            </w:pPr>
          </w:p>
        </w:tc>
      </w:tr>
      <w:tr w14:paraId="5FABE049">
        <w:tblPrEx>
          <w:shd w:val="clear" w:color="auto" w:fill="auto"/>
          <w:tblCellMar>
            <w:top w:w="0" w:type="dxa"/>
            <w:left w:w="108" w:type="dxa"/>
            <w:bottom w:w="0" w:type="dxa"/>
            <w:right w:w="108" w:type="dxa"/>
          </w:tblCellMar>
        </w:tblPrEx>
        <w:trPr>
          <w:trHeight w:val="320" w:hRule="atLeast"/>
        </w:trPr>
        <w:tc>
          <w:tcPr>
            <w:tcW w:w="1071" w:type="dxa"/>
            <w:vMerge w:val="continue"/>
            <w:tcBorders>
              <w:top w:val="single" w:color="000000" w:sz="4" w:space="0"/>
              <w:left w:val="single" w:color="000000" w:sz="4" w:space="0"/>
              <w:bottom w:val="single" w:color="000000" w:sz="4" w:space="0"/>
              <w:right w:val="nil"/>
            </w:tcBorders>
            <w:shd w:val="clear" w:color="auto" w:fill="auto"/>
            <w:vAlign w:val="center"/>
          </w:tcPr>
          <w:p w14:paraId="47F49F6D">
            <w:pPr>
              <w:jc w:val="center"/>
              <w:rPr>
                <w:rFonts w:hint="eastAsia" w:ascii="宋体" w:hAnsi="宋体" w:eastAsia="宋体" w:cs="宋体"/>
                <w:i w:val="0"/>
                <w:iCs w:val="0"/>
                <w:color w:val="000000"/>
                <w:sz w:val="16"/>
                <w:szCs w:val="16"/>
                <w:u w:val="none"/>
              </w:rPr>
            </w:pPr>
          </w:p>
        </w:tc>
        <w:tc>
          <w:tcPr>
            <w:tcW w:w="962" w:type="dxa"/>
            <w:vMerge w:val="continue"/>
            <w:tcBorders>
              <w:top w:val="nil"/>
              <w:left w:val="single" w:color="000000" w:sz="4" w:space="0"/>
              <w:bottom w:val="nil"/>
              <w:right w:val="single" w:color="000000" w:sz="4" w:space="0"/>
            </w:tcBorders>
            <w:shd w:val="clear" w:color="auto" w:fill="auto"/>
            <w:vAlign w:val="center"/>
          </w:tcPr>
          <w:p w14:paraId="5D6C0FB3">
            <w:pPr>
              <w:jc w:val="center"/>
              <w:rPr>
                <w:rFonts w:hint="eastAsia" w:ascii="宋体" w:hAnsi="宋体" w:eastAsia="宋体" w:cs="宋体"/>
                <w:i w:val="0"/>
                <w:iCs w:val="0"/>
                <w:color w:val="000000"/>
                <w:sz w:val="16"/>
                <w:szCs w:val="16"/>
                <w:u w:val="none"/>
              </w:rPr>
            </w:pPr>
          </w:p>
        </w:tc>
        <w:tc>
          <w:tcPr>
            <w:tcW w:w="943" w:type="dxa"/>
            <w:vMerge w:val="continue"/>
            <w:tcBorders>
              <w:top w:val="single" w:color="000000" w:sz="4" w:space="0"/>
              <w:left w:val="nil"/>
              <w:bottom w:val="single" w:color="000000" w:sz="4" w:space="0"/>
              <w:right w:val="single" w:color="000000" w:sz="4" w:space="0"/>
            </w:tcBorders>
            <w:shd w:val="clear" w:color="auto" w:fill="auto"/>
            <w:vAlign w:val="center"/>
          </w:tcPr>
          <w:p w14:paraId="1F9027B8">
            <w:pPr>
              <w:jc w:val="center"/>
              <w:rPr>
                <w:rFonts w:hint="eastAsia" w:ascii="宋体" w:hAnsi="宋体" w:eastAsia="宋体" w:cs="宋体"/>
                <w:i w:val="0"/>
                <w:iCs w:val="0"/>
                <w:color w:val="000000"/>
                <w:sz w:val="16"/>
                <w:szCs w:val="16"/>
                <w:u w:val="none"/>
              </w:rPr>
            </w:pPr>
          </w:p>
        </w:tc>
        <w:tc>
          <w:tcPr>
            <w:tcW w:w="234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5D70982">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指标</w:t>
            </w:r>
            <w:r>
              <w:rPr>
                <w:rStyle w:val="14"/>
                <w:rFonts w:eastAsia="宋体"/>
                <w:lang w:val="en-US" w:eastAsia="zh-CN" w:bidi="ar"/>
              </w:rPr>
              <w:t xml:space="preserve"> </w:t>
            </w:r>
            <w:r>
              <w:rPr>
                <w:rStyle w:val="15"/>
                <w:lang w:val="en-US" w:eastAsia="zh-CN" w:bidi="ar"/>
              </w:rPr>
              <w:t>２</w:t>
            </w:r>
          </w:p>
        </w:tc>
        <w:tc>
          <w:tcPr>
            <w:tcW w:w="9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0D41F3">
            <w:pPr>
              <w:jc w:val="center"/>
              <w:rPr>
                <w:rFonts w:hint="default" w:ascii="Calibri" w:hAnsi="Calibri" w:eastAsia="宋体" w:cs="Calibri"/>
                <w:i w:val="0"/>
                <w:iCs w:val="0"/>
                <w:color w:val="000000"/>
                <w:sz w:val="21"/>
                <w:szCs w:val="21"/>
                <w:u w:val="none"/>
              </w:rPr>
            </w:pPr>
          </w:p>
        </w:tc>
        <w:tc>
          <w:tcPr>
            <w:tcW w:w="9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00A446">
            <w:pPr>
              <w:jc w:val="center"/>
              <w:rPr>
                <w:rFonts w:hint="default" w:ascii="Calibri" w:hAnsi="Calibri" w:eastAsia="宋体" w:cs="Calibri"/>
                <w:i w:val="0"/>
                <w:iCs w:val="0"/>
                <w:color w:val="000000"/>
                <w:sz w:val="21"/>
                <w:szCs w:val="21"/>
                <w:u w:val="none"/>
              </w:rPr>
            </w:pPr>
          </w:p>
        </w:tc>
        <w:tc>
          <w:tcPr>
            <w:tcW w:w="18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2600F0">
            <w:pPr>
              <w:jc w:val="center"/>
              <w:rPr>
                <w:rFonts w:hint="default" w:ascii="Calibri" w:hAnsi="Calibri" w:eastAsia="宋体" w:cs="Calibri"/>
                <w:i w:val="0"/>
                <w:iCs w:val="0"/>
                <w:color w:val="000000"/>
                <w:sz w:val="21"/>
                <w:szCs w:val="21"/>
                <w:u w:val="none"/>
              </w:rPr>
            </w:pPr>
          </w:p>
        </w:tc>
      </w:tr>
      <w:tr w14:paraId="42014605">
        <w:tblPrEx>
          <w:shd w:val="clear" w:color="auto" w:fill="auto"/>
          <w:tblCellMar>
            <w:top w:w="0" w:type="dxa"/>
            <w:left w:w="108" w:type="dxa"/>
            <w:bottom w:w="0" w:type="dxa"/>
            <w:right w:w="108" w:type="dxa"/>
          </w:tblCellMar>
        </w:tblPrEx>
        <w:trPr>
          <w:trHeight w:val="320" w:hRule="atLeast"/>
        </w:trPr>
        <w:tc>
          <w:tcPr>
            <w:tcW w:w="1071" w:type="dxa"/>
            <w:vMerge w:val="continue"/>
            <w:tcBorders>
              <w:top w:val="single" w:color="000000" w:sz="4" w:space="0"/>
              <w:left w:val="single" w:color="000000" w:sz="4" w:space="0"/>
              <w:bottom w:val="single" w:color="000000" w:sz="4" w:space="0"/>
              <w:right w:val="nil"/>
            </w:tcBorders>
            <w:shd w:val="clear" w:color="auto" w:fill="auto"/>
            <w:vAlign w:val="center"/>
          </w:tcPr>
          <w:p w14:paraId="02605D4F">
            <w:pPr>
              <w:jc w:val="center"/>
              <w:rPr>
                <w:rFonts w:hint="eastAsia" w:ascii="宋体" w:hAnsi="宋体" w:eastAsia="宋体" w:cs="宋体"/>
                <w:i w:val="0"/>
                <w:iCs w:val="0"/>
                <w:color w:val="000000"/>
                <w:sz w:val="16"/>
                <w:szCs w:val="16"/>
                <w:u w:val="none"/>
              </w:rPr>
            </w:pPr>
          </w:p>
        </w:tc>
        <w:tc>
          <w:tcPr>
            <w:tcW w:w="962" w:type="dxa"/>
            <w:vMerge w:val="continue"/>
            <w:tcBorders>
              <w:top w:val="nil"/>
              <w:left w:val="single" w:color="000000" w:sz="4" w:space="0"/>
              <w:bottom w:val="nil"/>
              <w:right w:val="single" w:color="000000" w:sz="4" w:space="0"/>
            </w:tcBorders>
            <w:shd w:val="clear" w:color="auto" w:fill="auto"/>
            <w:vAlign w:val="center"/>
          </w:tcPr>
          <w:p w14:paraId="4A2E451D">
            <w:pPr>
              <w:jc w:val="center"/>
              <w:rPr>
                <w:rFonts w:hint="eastAsia" w:ascii="宋体" w:hAnsi="宋体" w:eastAsia="宋体" w:cs="宋体"/>
                <w:i w:val="0"/>
                <w:iCs w:val="0"/>
                <w:color w:val="000000"/>
                <w:sz w:val="16"/>
                <w:szCs w:val="16"/>
                <w:u w:val="none"/>
              </w:rPr>
            </w:pPr>
          </w:p>
        </w:tc>
        <w:tc>
          <w:tcPr>
            <w:tcW w:w="943" w:type="dxa"/>
            <w:vMerge w:val="continue"/>
            <w:tcBorders>
              <w:top w:val="single" w:color="000000" w:sz="4" w:space="0"/>
              <w:left w:val="nil"/>
              <w:bottom w:val="single" w:color="000000" w:sz="4" w:space="0"/>
              <w:right w:val="single" w:color="000000" w:sz="4" w:space="0"/>
            </w:tcBorders>
            <w:shd w:val="clear" w:color="auto" w:fill="auto"/>
            <w:vAlign w:val="center"/>
          </w:tcPr>
          <w:p w14:paraId="344EE94C">
            <w:pPr>
              <w:jc w:val="center"/>
              <w:rPr>
                <w:rFonts w:hint="eastAsia" w:ascii="宋体" w:hAnsi="宋体" w:eastAsia="宋体" w:cs="宋体"/>
                <w:i w:val="0"/>
                <w:iCs w:val="0"/>
                <w:color w:val="000000"/>
                <w:sz w:val="16"/>
                <w:szCs w:val="16"/>
                <w:u w:val="none"/>
              </w:rPr>
            </w:pPr>
          </w:p>
        </w:tc>
        <w:tc>
          <w:tcPr>
            <w:tcW w:w="234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4921D00">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9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C7B847">
            <w:pPr>
              <w:jc w:val="center"/>
              <w:rPr>
                <w:rFonts w:hint="default" w:ascii="Calibri" w:hAnsi="Calibri" w:eastAsia="宋体" w:cs="Calibri"/>
                <w:i w:val="0"/>
                <w:iCs w:val="0"/>
                <w:color w:val="000000"/>
                <w:sz w:val="21"/>
                <w:szCs w:val="21"/>
                <w:u w:val="none"/>
              </w:rPr>
            </w:pPr>
          </w:p>
        </w:tc>
        <w:tc>
          <w:tcPr>
            <w:tcW w:w="9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0A67CF">
            <w:pPr>
              <w:jc w:val="center"/>
              <w:rPr>
                <w:rFonts w:hint="default" w:ascii="Calibri" w:hAnsi="Calibri" w:eastAsia="宋体" w:cs="Calibri"/>
                <w:i w:val="0"/>
                <w:iCs w:val="0"/>
                <w:color w:val="000000"/>
                <w:sz w:val="21"/>
                <w:szCs w:val="21"/>
                <w:u w:val="none"/>
              </w:rPr>
            </w:pPr>
          </w:p>
        </w:tc>
        <w:tc>
          <w:tcPr>
            <w:tcW w:w="18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EB4D99">
            <w:pPr>
              <w:jc w:val="center"/>
              <w:rPr>
                <w:rFonts w:hint="default" w:ascii="Calibri" w:hAnsi="Calibri" w:eastAsia="宋体" w:cs="Calibri"/>
                <w:i w:val="0"/>
                <w:iCs w:val="0"/>
                <w:color w:val="000000"/>
                <w:sz w:val="21"/>
                <w:szCs w:val="21"/>
                <w:u w:val="none"/>
              </w:rPr>
            </w:pPr>
          </w:p>
        </w:tc>
      </w:tr>
      <w:tr w14:paraId="66425BCA">
        <w:tblPrEx>
          <w:tblCellMar>
            <w:top w:w="0" w:type="dxa"/>
            <w:left w:w="108" w:type="dxa"/>
            <w:bottom w:w="0" w:type="dxa"/>
            <w:right w:w="108" w:type="dxa"/>
          </w:tblCellMar>
        </w:tblPrEx>
        <w:trPr>
          <w:trHeight w:val="3418" w:hRule="atLeast"/>
        </w:trPr>
        <w:tc>
          <w:tcPr>
            <w:tcW w:w="1071" w:type="dxa"/>
            <w:vMerge w:val="continue"/>
            <w:tcBorders>
              <w:top w:val="single" w:color="000000" w:sz="4" w:space="0"/>
              <w:left w:val="single" w:color="000000" w:sz="4" w:space="0"/>
              <w:bottom w:val="single" w:color="000000" w:sz="4" w:space="0"/>
              <w:right w:val="nil"/>
            </w:tcBorders>
            <w:shd w:val="clear" w:color="auto" w:fill="auto"/>
            <w:vAlign w:val="center"/>
          </w:tcPr>
          <w:p w14:paraId="1FBAB48C">
            <w:pPr>
              <w:jc w:val="center"/>
              <w:rPr>
                <w:rFonts w:hint="eastAsia" w:ascii="宋体" w:hAnsi="宋体" w:eastAsia="宋体" w:cs="宋体"/>
                <w:i w:val="0"/>
                <w:iCs w:val="0"/>
                <w:color w:val="000000"/>
                <w:sz w:val="16"/>
                <w:szCs w:val="16"/>
                <w:u w:val="none"/>
              </w:rPr>
            </w:pPr>
          </w:p>
        </w:tc>
        <w:tc>
          <w:tcPr>
            <w:tcW w:w="962" w:type="dxa"/>
            <w:vMerge w:val="continue"/>
            <w:tcBorders>
              <w:top w:val="nil"/>
              <w:left w:val="single" w:color="000000" w:sz="4" w:space="0"/>
              <w:bottom w:val="nil"/>
              <w:right w:val="single" w:color="000000" w:sz="4" w:space="0"/>
            </w:tcBorders>
            <w:shd w:val="clear" w:color="auto" w:fill="auto"/>
            <w:vAlign w:val="center"/>
          </w:tcPr>
          <w:p w14:paraId="3935454B">
            <w:pPr>
              <w:jc w:val="center"/>
              <w:rPr>
                <w:rFonts w:hint="eastAsia" w:ascii="宋体" w:hAnsi="宋体" w:eastAsia="宋体" w:cs="宋体"/>
                <w:i w:val="0"/>
                <w:iCs w:val="0"/>
                <w:color w:val="000000"/>
                <w:sz w:val="16"/>
                <w:szCs w:val="16"/>
                <w:u w:val="none"/>
              </w:rPr>
            </w:pPr>
          </w:p>
        </w:tc>
        <w:tc>
          <w:tcPr>
            <w:tcW w:w="943" w:type="dxa"/>
            <w:vMerge w:val="restart"/>
            <w:tcBorders>
              <w:top w:val="single" w:color="000000" w:sz="4" w:space="0"/>
              <w:left w:val="nil"/>
              <w:bottom w:val="single" w:color="000000" w:sz="4" w:space="0"/>
              <w:right w:val="single" w:color="000000" w:sz="4" w:space="0"/>
            </w:tcBorders>
            <w:shd w:val="clear" w:color="auto" w:fill="auto"/>
            <w:vAlign w:val="center"/>
          </w:tcPr>
          <w:p w14:paraId="32BDDCC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社会效益指标</w:t>
            </w:r>
          </w:p>
        </w:tc>
        <w:tc>
          <w:tcPr>
            <w:tcW w:w="234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5ED4471">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党员干部群众理论素养进一步提升</w:t>
            </w:r>
          </w:p>
        </w:tc>
        <w:tc>
          <w:tcPr>
            <w:tcW w:w="9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4A8AF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通过开展理论教育、宣讲等活动，加深党员干部群众对党的理论、路线、方针、政策的理解，提升理论水平</w:t>
            </w:r>
          </w:p>
        </w:tc>
        <w:tc>
          <w:tcPr>
            <w:tcW w:w="9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93BF4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理论水平进一步提升</w:t>
            </w:r>
          </w:p>
        </w:tc>
        <w:tc>
          <w:tcPr>
            <w:tcW w:w="18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3234BA">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20</w:t>
            </w:r>
            <w:r>
              <w:rPr>
                <w:rStyle w:val="16"/>
                <w:lang w:val="en-US" w:eastAsia="zh-CN" w:bidi="ar"/>
              </w:rPr>
              <w:t>分</w:t>
            </w:r>
          </w:p>
        </w:tc>
      </w:tr>
      <w:tr w14:paraId="5DC870D1">
        <w:tblPrEx>
          <w:shd w:val="clear" w:color="auto" w:fill="auto"/>
          <w:tblCellMar>
            <w:top w:w="0" w:type="dxa"/>
            <w:left w:w="108" w:type="dxa"/>
            <w:bottom w:w="0" w:type="dxa"/>
            <w:right w:w="108" w:type="dxa"/>
          </w:tblCellMar>
        </w:tblPrEx>
        <w:trPr>
          <w:trHeight w:val="320" w:hRule="atLeast"/>
        </w:trPr>
        <w:tc>
          <w:tcPr>
            <w:tcW w:w="1071" w:type="dxa"/>
            <w:vMerge w:val="continue"/>
            <w:tcBorders>
              <w:top w:val="single" w:color="000000" w:sz="4" w:space="0"/>
              <w:left w:val="single" w:color="000000" w:sz="4" w:space="0"/>
              <w:bottom w:val="single" w:color="000000" w:sz="4" w:space="0"/>
              <w:right w:val="nil"/>
            </w:tcBorders>
            <w:shd w:val="clear" w:color="auto" w:fill="auto"/>
            <w:vAlign w:val="center"/>
          </w:tcPr>
          <w:p w14:paraId="2E8DBA5E">
            <w:pPr>
              <w:jc w:val="center"/>
              <w:rPr>
                <w:rFonts w:hint="eastAsia" w:ascii="宋体" w:hAnsi="宋体" w:eastAsia="宋体" w:cs="宋体"/>
                <w:i w:val="0"/>
                <w:iCs w:val="0"/>
                <w:color w:val="000000"/>
                <w:sz w:val="16"/>
                <w:szCs w:val="16"/>
                <w:u w:val="none"/>
              </w:rPr>
            </w:pPr>
          </w:p>
        </w:tc>
        <w:tc>
          <w:tcPr>
            <w:tcW w:w="962" w:type="dxa"/>
            <w:vMerge w:val="continue"/>
            <w:tcBorders>
              <w:top w:val="nil"/>
              <w:left w:val="single" w:color="000000" w:sz="4" w:space="0"/>
              <w:bottom w:val="nil"/>
              <w:right w:val="single" w:color="000000" w:sz="4" w:space="0"/>
            </w:tcBorders>
            <w:shd w:val="clear" w:color="auto" w:fill="auto"/>
            <w:vAlign w:val="center"/>
          </w:tcPr>
          <w:p w14:paraId="7C115565">
            <w:pPr>
              <w:jc w:val="center"/>
              <w:rPr>
                <w:rFonts w:hint="eastAsia" w:ascii="宋体" w:hAnsi="宋体" w:eastAsia="宋体" w:cs="宋体"/>
                <w:i w:val="0"/>
                <w:iCs w:val="0"/>
                <w:color w:val="000000"/>
                <w:sz w:val="16"/>
                <w:szCs w:val="16"/>
                <w:u w:val="none"/>
              </w:rPr>
            </w:pPr>
          </w:p>
        </w:tc>
        <w:tc>
          <w:tcPr>
            <w:tcW w:w="943" w:type="dxa"/>
            <w:vMerge w:val="continue"/>
            <w:tcBorders>
              <w:top w:val="single" w:color="000000" w:sz="4" w:space="0"/>
              <w:left w:val="nil"/>
              <w:bottom w:val="single" w:color="000000" w:sz="4" w:space="0"/>
              <w:right w:val="single" w:color="000000" w:sz="4" w:space="0"/>
            </w:tcBorders>
            <w:shd w:val="clear" w:color="auto" w:fill="auto"/>
            <w:vAlign w:val="center"/>
          </w:tcPr>
          <w:p w14:paraId="6520BE8D">
            <w:pPr>
              <w:jc w:val="center"/>
              <w:rPr>
                <w:rFonts w:hint="eastAsia" w:ascii="宋体" w:hAnsi="宋体" w:eastAsia="宋体" w:cs="宋体"/>
                <w:i w:val="0"/>
                <w:iCs w:val="0"/>
                <w:color w:val="000000"/>
                <w:sz w:val="16"/>
                <w:szCs w:val="16"/>
                <w:u w:val="none"/>
              </w:rPr>
            </w:pPr>
          </w:p>
        </w:tc>
        <w:tc>
          <w:tcPr>
            <w:tcW w:w="234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92ADFBF">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指标</w:t>
            </w:r>
            <w:r>
              <w:rPr>
                <w:rStyle w:val="14"/>
                <w:rFonts w:eastAsia="宋体"/>
                <w:lang w:val="en-US" w:eastAsia="zh-CN" w:bidi="ar"/>
              </w:rPr>
              <w:t xml:space="preserve"> </w:t>
            </w:r>
            <w:r>
              <w:rPr>
                <w:rStyle w:val="15"/>
                <w:lang w:val="en-US" w:eastAsia="zh-CN" w:bidi="ar"/>
              </w:rPr>
              <w:t>２</w:t>
            </w:r>
          </w:p>
        </w:tc>
        <w:tc>
          <w:tcPr>
            <w:tcW w:w="9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AD7E11">
            <w:pPr>
              <w:jc w:val="center"/>
              <w:rPr>
                <w:rFonts w:hint="default" w:ascii="Calibri" w:hAnsi="Calibri" w:eastAsia="宋体" w:cs="Calibri"/>
                <w:i w:val="0"/>
                <w:iCs w:val="0"/>
                <w:color w:val="000000"/>
                <w:sz w:val="21"/>
                <w:szCs w:val="21"/>
                <w:u w:val="none"/>
              </w:rPr>
            </w:pPr>
          </w:p>
        </w:tc>
        <w:tc>
          <w:tcPr>
            <w:tcW w:w="9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8D1B0D">
            <w:pPr>
              <w:jc w:val="center"/>
              <w:rPr>
                <w:rFonts w:hint="default" w:ascii="Calibri" w:hAnsi="Calibri" w:eastAsia="宋体" w:cs="Calibri"/>
                <w:i w:val="0"/>
                <w:iCs w:val="0"/>
                <w:color w:val="000000"/>
                <w:sz w:val="21"/>
                <w:szCs w:val="21"/>
                <w:u w:val="none"/>
              </w:rPr>
            </w:pPr>
          </w:p>
        </w:tc>
        <w:tc>
          <w:tcPr>
            <w:tcW w:w="18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051EB6">
            <w:pPr>
              <w:jc w:val="center"/>
              <w:rPr>
                <w:rFonts w:hint="default" w:ascii="Calibri" w:hAnsi="Calibri" w:eastAsia="宋体" w:cs="Calibri"/>
                <w:i w:val="0"/>
                <w:iCs w:val="0"/>
                <w:color w:val="000000"/>
                <w:sz w:val="21"/>
                <w:szCs w:val="21"/>
                <w:u w:val="none"/>
              </w:rPr>
            </w:pPr>
          </w:p>
        </w:tc>
      </w:tr>
      <w:tr w14:paraId="1DAB4E5B">
        <w:tblPrEx>
          <w:shd w:val="clear" w:color="auto" w:fill="auto"/>
          <w:tblCellMar>
            <w:top w:w="0" w:type="dxa"/>
            <w:left w:w="108" w:type="dxa"/>
            <w:bottom w:w="0" w:type="dxa"/>
            <w:right w:w="108" w:type="dxa"/>
          </w:tblCellMar>
        </w:tblPrEx>
        <w:trPr>
          <w:trHeight w:val="320" w:hRule="atLeast"/>
        </w:trPr>
        <w:tc>
          <w:tcPr>
            <w:tcW w:w="1071" w:type="dxa"/>
            <w:vMerge w:val="continue"/>
            <w:tcBorders>
              <w:top w:val="single" w:color="000000" w:sz="4" w:space="0"/>
              <w:left w:val="single" w:color="000000" w:sz="4" w:space="0"/>
              <w:bottom w:val="single" w:color="000000" w:sz="4" w:space="0"/>
              <w:right w:val="nil"/>
            </w:tcBorders>
            <w:shd w:val="clear" w:color="auto" w:fill="auto"/>
            <w:vAlign w:val="center"/>
          </w:tcPr>
          <w:p w14:paraId="641CCFB2">
            <w:pPr>
              <w:jc w:val="center"/>
              <w:rPr>
                <w:rFonts w:hint="eastAsia" w:ascii="宋体" w:hAnsi="宋体" w:eastAsia="宋体" w:cs="宋体"/>
                <w:i w:val="0"/>
                <w:iCs w:val="0"/>
                <w:color w:val="000000"/>
                <w:sz w:val="16"/>
                <w:szCs w:val="16"/>
                <w:u w:val="none"/>
              </w:rPr>
            </w:pPr>
          </w:p>
        </w:tc>
        <w:tc>
          <w:tcPr>
            <w:tcW w:w="962" w:type="dxa"/>
            <w:vMerge w:val="continue"/>
            <w:tcBorders>
              <w:top w:val="nil"/>
              <w:left w:val="single" w:color="000000" w:sz="4" w:space="0"/>
              <w:bottom w:val="nil"/>
              <w:right w:val="single" w:color="000000" w:sz="4" w:space="0"/>
            </w:tcBorders>
            <w:shd w:val="clear" w:color="auto" w:fill="auto"/>
            <w:vAlign w:val="center"/>
          </w:tcPr>
          <w:p w14:paraId="0C036B34">
            <w:pPr>
              <w:jc w:val="center"/>
              <w:rPr>
                <w:rFonts w:hint="eastAsia" w:ascii="宋体" w:hAnsi="宋体" w:eastAsia="宋体" w:cs="宋体"/>
                <w:i w:val="0"/>
                <w:iCs w:val="0"/>
                <w:color w:val="000000"/>
                <w:sz w:val="16"/>
                <w:szCs w:val="16"/>
                <w:u w:val="none"/>
              </w:rPr>
            </w:pPr>
          </w:p>
        </w:tc>
        <w:tc>
          <w:tcPr>
            <w:tcW w:w="943" w:type="dxa"/>
            <w:vMerge w:val="continue"/>
            <w:tcBorders>
              <w:top w:val="single" w:color="000000" w:sz="4" w:space="0"/>
              <w:left w:val="nil"/>
              <w:bottom w:val="single" w:color="000000" w:sz="4" w:space="0"/>
              <w:right w:val="single" w:color="000000" w:sz="4" w:space="0"/>
            </w:tcBorders>
            <w:shd w:val="clear" w:color="auto" w:fill="auto"/>
            <w:vAlign w:val="center"/>
          </w:tcPr>
          <w:p w14:paraId="10513181">
            <w:pPr>
              <w:jc w:val="center"/>
              <w:rPr>
                <w:rFonts w:hint="eastAsia" w:ascii="宋体" w:hAnsi="宋体" w:eastAsia="宋体" w:cs="宋体"/>
                <w:i w:val="0"/>
                <w:iCs w:val="0"/>
                <w:color w:val="000000"/>
                <w:sz w:val="16"/>
                <w:szCs w:val="16"/>
                <w:u w:val="none"/>
              </w:rPr>
            </w:pPr>
          </w:p>
        </w:tc>
        <w:tc>
          <w:tcPr>
            <w:tcW w:w="234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D92B4B3">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9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B35636">
            <w:pPr>
              <w:jc w:val="center"/>
              <w:rPr>
                <w:rFonts w:hint="default" w:ascii="Calibri" w:hAnsi="Calibri" w:eastAsia="宋体" w:cs="Calibri"/>
                <w:i w:val="0"/>
                <w:iCs w:val="0"/>
                <w:color w:val="000000"/>
                <w:sz w:val="21"/>
                <w:szCs w:val="21"/>
                <w:u w:val="none"/>
              </w:rPr>
            </w:pPr>
          </w:p>
        </w:tc>
        <w:tc>
          <w:tcPr>
            <w:tcW w:w="9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25FC8B">
            <w:pPr>
              <w:jc w:val="center"/>
              <w:rPr>
                <w:rFonts w:hint="default" w:ascii="Calibri" w:hAnsi="Calibri" w:eastAsia="宋体" w:cs="Calibri"/>
                <w:i w:val="0"/>
                <w:iCs w:val="0"/>
                <w:color w:val="000000"/>
                <w:sz w:val="21"/>
                <w:szCs w:val="21"/>
                <w:u w:val="none"/>
              </w:rPr>
            </w:pPr>
          </w:p>
        </w:tc>
        <w:tc>
          <w:tcPr>
            <w:tcW w:w="18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4A6AE1">
            <w:pPr>
              <w:jc w:val="center"/>
              <w:rPr>
                <w:rFonts w:hint="default" w:ascii="Calibri" w:hAnsi="Calibri" w:eastAsia="宋体" w:cs="Calibri"/>
                <w:i w:val="0"/>
                <w:iCs w:val="0"/>
                <w:color w:val="000000"/>
                <w:sz w:val="21"/>
                <w:szCs w:val="21"/>
                <w:u w:val="none"/>
              </w:rPr>
            </w:pPr>
          </w:p>
        </w:tc>
      </w:tr>
      <w:tr w14:paraId="2941423D">
        <w:tblPrEx>
          <w:shd w:val="clear" w:color="auto" w:fill="auto"/>
          <w:tblCellMar>
            <w:top w:w="0" w:type="dxa"/>
            <w:left w:w="108" w:type="dxa"/>
            <w:bottom w:w="0" w:type="dxa"/>
            <w:right w:w="108" w:type="dxa"/>
          </w:tblCellMar>
        </w:tblPrEx>
        <w:trPr>
          <w:trHeight w:val="320" w:hRule="atLeast"/>
        </w:trPr>
        <w:tc>
          <w:tcPr>
            <w:tcW w:w="1071" w:type="dxa"/>
            <w:vMerge w:val="continue"/>
            <w:tcBorders>
              <w:top w:val="single" w:color="000000" w:sz="4" w:space="0"/>
              <w:left w:val="single" w:color="000000" w:sz="4" w:space="0"/>
              <w:bottom w:val="single" w:color="000000" w:sz="4" w:space="0"/>
              <w:right w:val="nil"/>
            </w:tcBorders>
            <w:shd w:val="clear" w:color="auto" w:fill="auto"/>
            <w:vAlign w:val="center"/>
          </w:tcPr>
          <w:p w14:paraId="10FC8C94">
            <w:pPr>
              <w:jc w:val="center"/>
              <w:rPr>
                <w:rFonts w:hint="eastAsia" w:ascii="宋体" w:hAnsi="宋体" w:eastAsia="宋体" w:cs="宋体"/>
                <w:i w:val="0"/>
                <w:iCs w:val="0"/>
                <w:color w:val="000000"/>
                <w:sz w:val="16"/>
                <w:szCs w:val="16"/>
                <w:u w:val="none"/>
              </w:rPr>
            </w:pPr>
          </w:p>
        </w:tc>
        <w:tc>
          <w:tcPr>
            <w:tcW w:w="962" w:type="dxa"/>
            <w:vMerge w:val="continue"/>
            <w:tcBorders>
              <w:top w:val="nil"/>
              <w:left w:val="single" w:color="000000" w:sz="4" w:space="0"/>
              <w:bottom w:val="nil"/>
              <w:right w:val="single" w:color="000000" w:sz="4" w:space="0"/>
            </w:tcBorders>
            <w:shd w:val="clear" w:color="auto" w:fill="auto"/>
            <w:vAlign w:val="center"/>
          </w:tcPr>
          <w:p w14:paraId="007FEB2C">
            <w:pPr>
              <w:jc w:val="center"/>
              <w:rPr>
                <w:rFonts w:hint="eastAsia" w:ascii="宋体" w:hAnsi="宋体" w:eastAsia="宋体" w:cs="宋体"/>
                <w:i w:val="0"/>
                <w:iCs w:val="0"/>
                <w:color w:val="000000"/>
                <w:sz w:val="16"/>
                <w:szCs w:val="16"/>
                <w:u w:val="none"/>
              </w:rPr>
            </w:pPr>
          </w:p>
        </w:tc>
        <w:tc>
          <w:tcPr>
            <w:tcW w:w="943" w:type="dxa"/>
            <w:vMerge w:val="restart"/>
            <w:tcBorders>
              <w:top w:val="single" w:color="000000" w:sz="4" w:space="0"/>
              <w:left w:val="nil"/>
              <w:bottom w:val="single" w:color="000000" w:sz="4" w:space="0"/>
              <w:right w:val="single" w:color="000000" w:sz="4" w:space="0"/>
            </w:tcBorders>
            <w:shd w:val="clear" w:color="auto" w:fill="auto"/>
            <w:vAlign w:val="center"/>
          </w:tcPr>
          <w:p w14:paraId="3BD140E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生态效益指标</w:t>
            </w:r>
          </w:p>
        </w:tc>
        <w:tc>
          <w:tcPr>
            <w:tcW w:w="234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C5A90C5">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指标</w:t>
            </w:r>
            <w:r>
              <w:rPr>
                <w:rStyle w:val="14"/>
                <w:rFonts w:eastAsia="宋体"/>
                <w:lang w:val="en-US" w:eastAsia="zh-CN" w:bidi="ar"/>
              </w:rPr>
              <w:t xml:space="preserve"> </w:t>
            </w:r>
            <w:r>
              <w:rPr>
                <w:rStyle w:val="15"/>
                <w:lang w:val="en-US" w:eastAsia="zh-CN" w:bidi="ar"/>
              </w:rPr>
              <w:t>１</w:t>
            </w:r>
          </w:p>
        </w:tc>
        <w:tc>
          <w:tcPr>
            <w:tcW w:w="9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FAD9ED">
            <w:pPr>
              <w:jc w:val="center"/>
              <w:rPr>
                <w:rFonts w:hint="default" w:ascii="Calibri" w:hAnsi="Calibri" w:eastAsia="宋体" w:cs="Calibri"/>
                <w:i w:val="0"/>
                <w:iCs w:val="0"/>
                <w:color w:val="000000"/>
                <w:sz w:val="21"/>
                <w:szCs w:val="21"/>
                <w:u w:val="none"/>
              </w:rPr>
            </w:pPr>
          </w:p>
        </w:tc>
        <w:tc>
          <w:tcPr>
            <w:tcW w:w="9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E8BFF2">
            <w:pPr>
              <w:jc w:val="center"/>
              <w:rPr>
                <w:rFonts w:hint="default" w:ascii="Calibri" w:hAnsi="Calibri" w:eastAsia="宋体" w:cs="Calibri"/>
                <w:i w:val="0"/>
                <w:iCs w:val="0"/>
                <w:color w:val="000000"/>
                <w:sz w:val="21"/>
                <w:szCs w:val="21"/>
                <w:u w:val="none"/>
              </w:rPr>
            </w:pPr>
          </w:p>
        </w:tc>
        <w:tc>
          <w:tcPr>
            <w:tcW w:w="18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CA91EF">
            <w:pPr>
              <w:jc w:val="center"/>
              <w:rPr>
                <w:rFonts w:hint="default" w:ascii="Calibri" w:hAnsi="Calibri" w:eastAsia="宋体" w:cs="Calibri"/>
                <w:i w:val="0"/>
                <w:iCs w:val="0"/>
                <w:color w:val="000000"/>
                <w:sz w:val="21"/>
                <w:szCs w:val="21"/>
                <w:u w:val="none"/>
              </w:rPr>
            </w:pPr>
          </w:p>
        </w:tc>
      </w:tr>
      <w:tr w14:paraId="0CDEBC62">
        <w:tblPrEx>
          <w:shd w:val="clear" w:color="auto" w:fill="auto"/>
          <w:tblCellMar>
            <w:top w:w="0" w:type="dxa"/>
            <w:left w:w="108" w:type="dxa"/>
            <w:bottom w:w="0" w:type="dxa"/>
            <w:right w:w="108" w:type="dxa"/>
          </w:tblCellMar>
        </w:tblPrEx>
        <w:trPr>
          <w:trHeight w:val="320" w:hRule="atLeast"/>
        </w:trPr>
        <w:tc>
          <w:tcPr>
            <w:tcW w:w="1071" w:type="dxa"/>
            <w:vMerge w:val="continue"/>
            <w:tcBorders>
              <w:top w:val="single" w:color="000000" w:sz="4" w:space="0"/>
              <w:left w:val="single" w:color="000000" w:sz="4" w:space="0"/>
              <w:bottom w:val="single" w:color="000000" w:sz="4" w:space="0"/>
              <w:right w:val="nil"/>
            </w:tcBorders>
            <w:shd w:val="clear" w:color="auto" w:fill="auto"/>
            <w:vAlign w:val="center"/>
          </w:tcPr>
          <w:p w14:paraId="2C81B307">
            <w:pPr>
              <w:jc w:val="center"/>
              <w:rPr>
                <w:rFonts w:hint="eastAsia" w:ascii="宋体" w:hAnsi="宋体" w:eastAsia="宋体" w:cs="宋体"/>
                <w:i w:val="0"/>
                <w:iCs w:val="0"/>
                <w:color w:val="000000"/>
                <w:sz w:val="16"/>
                <w:szCs w:val="16"/>
                <w:u w:val="none"/>
              </w:rPr>
            </w:pPr>
          </w:p>
        </w:tc>
        <w:tc>
          <w:tcPr>
            <w:tcW w:w="962" w:type="dxa"/>
            <w:vMerge w:val="continue"/>
            <w:tcBorders>
              <w:top w:val="nil"/>
              <w:left w:val="single" w:color="000000" w:sz="4" w:space="0"/>
              <w:bottom w:val="nil"/>
              <w:right w:val="single" w:color="000000" w:sz="4" w:space="0"/>
            </w:tcBorders>
            <w:shd w:val="clear" w:color="auto" w:fill="auto"/>
            <w:vAlign w:val="center"/>
          </w:tcPr>
          <w:p w14:paraId="1CCE447D">
            <w:pPr>
              <w:jc w:val="center"/>
              <w:rPr>
                <w:rFonts w:hint="eastAsia" w:ascii="宋体" w:hAnsi="宋体" w:eastAsia="宋体" w:cs="宋体"/>
                <w:i w:val="0"/>
                <w:iCs w:val="0"/>
                <w:color w:val="000000"/>
                <w:sz w:val="16"/>
                <w:szCs w:val="16"/>
                <w:u w:val="none"/>
              </w:rPr>
            </w:pPr>
          </w:p>
        </w:tc>
        <w:tc>
          <w:tcPr>
            <w:tcW w:w="943" w:type="dxa"/>
            <w:vMerge w:val="continue"/>
            <w:tcBorders>
              <w:top w:val="single" w:color="000000" w:sz="4" w:space="0"/>
              <w:left w:val="nil"/>
              <w:bottom w:val="single" w:color="000000" w:sz="4" w:space="0"/>
              <w:right w:val="single" w:color="000000" w:sz="4" w:space="0"/>
            </w:tcBorders>
            <w:shd w:val="clear" w:color="auto" w:fill="auto"/>
            <w:vAlign w:val="center"/>
          </w:tcPr>
          <w:p w14:paraId="5F335507">
            <w:pPr>
              <w:jc w:val="center"/>
              <w:rPr>
                <w:rFonts w:hint="eastAsia" w:ascii="宋体" w:hAnsi="宋体" w:eastAsia="宋体" w:cs="宋体"/>
                <w:i w:val="0"/>
                <w:iCs w:val="0"/>
                <w:color w:val="000000"/>
                <w:sz w:val="16"/>
                <w:szCs w:val="16"/>
                <w:u w:val="none"/>
              </w:rPr>
            </w:pPr>
          </w:p>
        </w:tc>
        <w:tc>
          <w:tcPr>
            <w:tcW w:w="234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B9F3589">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指标</w:t>
            </w:r>
            <w:r>
              <w:rPr>
                <w:rStyle w:val="14"/>
                <w:rFonts w:eastAsia="宋体"/>
                <w:lang w:val="en-US" w:eastAsia="zh-CN" w:bidi="ar"/>
              </w:rPr>
              <w:t xml:space="preserve"> </w:t>
            </w:r>
            <w:r>
              <w:rPr>
                <w:rStyle w:val="15"/>
                <w:lang w:val="en-US" w:eastAsia="zh-CN" w:bidi="ar"/>
              </w:rPr>
              <w:t>２</w:t>
            </w:r>
          </w:p>
        </w:tc>
        <w:tc>
          <w:tcPr>
            <w:tcW w:w="9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4BFEE8">
            <w:pPr>
              <w:jc w:val="center"/>
              <w:rPr>
                <w:rFonts w:hint="default" w:ascii="Calibri" w:hAnsi="Calibri" w:eastAsia="宋体" w:cs="Calibri"/>
                <w:i w:val="0"/>
                <w:iCs w:val="0"/>
                <w:color w:val="000000"/>
                <w:sz w:val="21"/>
                <w:szCs w:val="21"/>
                <w:u w:val="none"/>
              </w:rPr>
            </w:pPr>
          </w:p>
        </w:tc>
        <w:tc>
          <w:tcPr>
            <w:tcW w:w="9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AC37B2">
            <w:pPr>
              <w:jc w:val="center"/>
              <w:rPr>
                <w:rFonts w:hint="default" w:ascii="Calibri" w:hAnsi="Calibri" w:eastAsia="宋体" w:cs="Calibri"/>
                <w:i w:val="0"/>
                <w:iCs w:val="0"/>
                <w:color w:val="000000"/>
                <w:sz w:val="21"/>
                <w:szCs w:val="21"/>
                <w:u w:val="none"/>
              </w:rPr>
            </w:pPr>
          </w:p>
        </w:tc>
        <w:tc>
          <w:tcPr>
            <w:tcW w:w="18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D4C14A">
            <w:pPr>
              <w:jc w:val="center"/>
              <w:rPr>
                <w:rFonts w:hint="default" w:ascii="Calibri" w:hAnsi="Calibri" w:eastAsia="宋体" w:cs="Calibri"/>
                <w:i w:val="0"/>
                <w:iCs w:val="0"/>
                <w:color w:val="000000"/>
                <w:sz w:val="21"/>
                <w:szCs w:val="21"/>
                <w:u w:val="none"/>
              </w:rPr>
            </w:pPr>
          </w:p>
        </w:tc>
      </w:tr>
      <w:tr w14:paraId="3F39BE62">
        <w:tblPrEx>
          <w:tblCellMar>
            <w:top w:w="0" w:type="dxa"/>
            <w:left w:w="108" w:type="dxa"/>
            <w:bottom w:w="0" w:type="dxa"/>
            <w:right w:w="108" w:type="dxa"/>
          </w:tblCellMar>
        </w:tblPrEx>
        <w:trPr>
          <w:trHeight w:val="320" w:hRule="atLeast"/>
        </w:trPr>
        <w:tc>
          <w:tcPr>
            <w:tcW w:w="1071" w:type="dxa"/>
            <w:vMerge w:val="continue"/>
            <w:tcBorders>
              <w:top w:val="single" w:color="000000" w:sz="4" w:space="0"/>
              <w:left w:val="single" w:color="000000" w:sz="4" w:space="0"/>
              <w:bottom w:val="single" w:color="000000" w:sz="4" w:space="0"/>
              <w:right w:val="nil"/>
            </w:tcBorders>
            <w:shd w:val="clear" w:color="auto" w:fill="auto"/>
            <w:vAlign w:val="center"/>
          </w:tcPr>
          <w:p w14:paraId="418D8499">
            <w:pPr>
              <w:jc w:val="center"/>
              <w:rPr>
                <w:rFonts w:hint="eastAsia" w:ascii="宋体" w:hAnsi="宋体" w:eastAsia="宋体" w:cs="宋体"/>
                <w:i w:val="0"/>
                <w:iCs w:val="0"/>
                <w:color w:val="000000"/>
                <w:sz w:val="16"/>
                <w:szCs w:val="16"/>
                <w:u w:val="none"/>
              </w:rPr>
            </w:pPr>
          </w:p>
        </w:tc>
        <w:tc>
          <w:tcPr>
            <w:tcW w:w="962" w:type="dxa"/>
            <w:vMerge w:val="continue"/>
            <w:tcBorders>
              <w:top w:val="nil"/>
              <w:left w:val="single" w:color="000000" w:sz="4" w:space="0"/>
              <w:bottom w:val="nil"/>
              <w:right w:val="single" w:color="000000" w:sz="4" w:space="0"/>
            </w:tcBorders>
            <w:shd w:val="clear" w:color="auto" w:fill="auto"/>
            <w:vAlign w:val="center"/>
          </w:tcPr>
          <w:p w14:paraId="7A37D001">
            <w:pPr>
              <w:jc w:val="center"/>
              <w:rPr>
                <w:rFonts w:hint="eastAsia" w:ascii="宋体" w:hAnsi="宋体" w:eastAsia="宋体" w:cs="宋体"/>
                <w:i w:val="0"/>
                <w:iCs w:val="0"/>
                <w:color w:val="000000"/>
                <w:sz w:val="16"/>
                <w:szCs w:val="16"/>
                <w:u w:val="none"/>
              </w:rPr>
            </w:pPr>
          </w:p>
        </w:tc>
        <w:tc>
          <w:tcPr>
            <w:tcW w:w="943" w:type="dxa"/>
            <w:vMerge w:val="continue"/>
            <w:tcBorders>
              <w:top w:val="single" w:color="000000" w:sz="4" w:space="0"/>
              <w:left w:val="nil"/>
              <w:bottom w:val="single" w:color="000000" w:sz="4" w:space="0"/>
              <w:right w:val="single" w:color="000000" w:sz="4" w:space="0"/>
            </w:tcBorders>
            <w:shd w:val="clear" w:color="auto" w:fill="auto"/>
            <w:vAlign w:val="center"/>
          </w:tcPr>
          <w:p w14:paraId="644B03E6">
            <w:pPr>
              <w:jc w:val="center"/>
              <w:rPr>
                <w:rFonts w:hint="eastAsia" w:ascii="宋体" w:hAnsi="宋体" w:eastAsia="宋体" w:cs="宋体"/>
                <w:i w:val="0"/>
                <w:iCs w:val="0"/>
                <w:color w:val="000000"/>
                <w:sz w:val="16"/>
                <w:szCs w:val="16"/>
                <w:u w:val="none"/>
              </w:rPr>
            </w:pPr>
          </w:p>
        </w:tc>
        <w:tc>
          <w:tcPr>
            <w:tcW w:w="234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7B3E1E0">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9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A8A7F3">
            <w:pPr>
              <w:jc w:val="center"/>
              <w:rPr>
                <w:rFonts w:hint="default" w:ascii="Calibri" w:hAnsi="Calibri" w:eastAsia="宋体" w:cs="Calibri"/>
                <w:i w:val="0"/>
                <w:iCs w:val="0"/>
                <w:color w:val="000000"/>
                <w:sz w:val="21"/>
                <w:szCs w:val="21"/>
                <w:u w:val="none"/>
              </w:rPr>
            </w:pPr>
          </w:p>
        </w:tc>
        <w:tc>
          <w:tcPr>
            <w:tcW w:w="9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9E46AE">
            <w:pPr>
              <w:jc w:val="center"/>
              <w:rPr>
                <w:rFonts w:hint="default" w:ascii="Calibri" w:hAnsi="Calibri" w:eastAsia="宋体" w:cs="Calibri"/>
                <w:i w:val="0"/>
                <w:iCs w:val="0"/>
                <w:color w:val="000000"/>
                <w:sz w:val="21"/>
                <w:szCs w:val="21"/>
                <w:u w:val="none"/>
              </w:rPr>
            </w:pPr>
          </w:p>
        </w:tc>
        <w:tc>
          <w:tcPr>
            <w:tcW w:w="18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EE40C8">
            <w:pPr>
              <w:jc w:val="center"/>
              <w:rPr>
                <w:rFonts w:hint="default" w:ascii="Calibri" w:hAnsi="Calibri" w:eastAsia="宋体" w:cs="Calibri"/>
                <w:i w:val="0"/>
                <w:iCs w:val="0"/>
                <w:color w:val="000000"/>
                <w:sz w:val="21"/>
                <w:szCs w:val="21"/>
                <w:u w:val="none"/>
              </w:rPr>
            </w:pPr>
          </w:p>
        </w:tc>
      </w:tr>
      <w:tr w14:paraId="05804B74">
        <w:tblPrEx>
          <w:shd w:val="clear" w:color="auto" w:fill="auto"/>
          <w:tblCellMar>
            <w:top w:w="0" w:type="dxa"/>
            <w:left w:w="108" w:type="dxa"/>
            <w:bottom w:w="0" w:type="dxa"/>
            <w:right w:w="108" w:type="dxa"/>
          </w:tblCellMar>
        </w:tblPrEx>
        <w:trPr>
          <w:trHeight w:val="2179" w:hRule="atLeast"/>
        </w:trPr>
        <w:tc>
          <w:tcPr>
            <w:tcW w:w="1071" w:type="dxa"/>
            <w:vMerge w:val="continue"/>
            <w:tcBorders>
              <w:top w:val="single" w:color="000000" w:sz="4" w:space="0"/>
              <w:left w:val="single" w:color="000000" w:sz="4" w:space="0"/>
              <w:bottom w:val="single" w:color="000000" w:sz="4" w:space="0"/>
              <w:right w:val="nil"/>
            </w:tcBorders>
            <w:shd w:val="clear" w:color="auto" w:fill="auto"/>
            <w:vAlign w:val="center"/>
          </w:tcPr>
          <w:p w14:paraId="76992E86">
            <w:pPr>
              <w:jc w:val="center"/>
              <w:rPr>
                <w:rFonts w:hint="eastAsia" w:ascii="宋体" w:hAnsi="宋体" w:eastAsia="宋体" w:cs="宋体"/>
                <w:i w:val="0"/>
                <w:iCs w:val="0"/>
                <w:color w:val="000000"/>
                <w:sz w:val="16"/>
                <w:szCs w:val="16"/>
                <w:u w:val="none"/>
              </w:rPr>
            </w:pPr>
          </w:p>
        </w:tc>
        <w:tc>
          <w:tcPr>
            <w:tcW w:w="962" w:type="dxa"/>
            <w:vMerge w:val="continue"/>
            <w:tcBorders>
              <w:top w:val="nil"/>
              <w:left w:val="single" w:color="000000" w:sz="4" w:space="0"/>
              <w:bottom w:val="nil"/>
              <w:right w:val="single" w:color="000000" w:sz="4" w:space="0"/>
            </w:tcBorders>
            <w:shd w:val="clear" w:color="auto" w:fill="auto"/>
            <w:vAlign w:val="center"/>
          </w:tcPr>
          <w:p w14:paraId="64BFD5B2">
            <w:pPr>
              <w:jc w:val="center"/>
              <w:rPr>
                <w:rFonts w:hint="eastAsia" w:ascii="宋体" w:hAnsi="宋体" w:eastAsia="宋体" w:cs="宋体"/>
                <w:i w:val="0"/>
                <w:iCs w:val="0"/>
                <w:color w:val="000000"/>
                <w:sz w:val="16"/>
                <w:szCs w:val="16"/>
                <w:u w:val="none"/>
              </w:rPr>
            </w:pPr>
          </w:p>
        </w:tc>
        <w:tc>
          <w:tcPr>
            <w:tcW w:w="943" w:type="dxa"/>
            <w:vMerge w:val="restart"/>
            <w:tcBorders>
              <w:top w:val="single" w:color="000000" w:sz="4" w:space="0"/>
              <w:left w:val="nil"/>
              <w:bottom w:val="single" w:color="000000" w:sz="4" w:space="0"/>
              <w:right w:val="single" w:color="000000" w:sz="4" w:space="0"/>
            </w:tcBorders>
            <w:shd w:val="clear" w:color="auto" w:fill="auto"/>
            <w:vAlign w:val="center"/>
          </w:tcPr>
          <w:p w14:paraId="76331C2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可持续影响指标</w:t>
            </w:r>
          </w:p>
        </w:tc>
        <w:tc>
          <w:tcPr>
            <w:tcW w:w="234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D989238">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增进政治认同，坚决拥护党的领导</w:t>
            </w:r>
          </w:p>
        </w:tc>
        <w:tc>
          <w:tcPr>
            <w:tcW w:w="9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AD4F2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党员干部群众进一步坚定“四个自信”，加快全面建设小康社会步伐</w:t>
            </w:r>
          </w:p>
        </w:tc>
        <w:tc>
          <w:tcPr>
            <w:tcW w:w="9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688E7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对党的领导更加拥护</w:t>
            </w:r>
          </w:p>
        </w:tc>
        <w:tc>
          <w:tcPr>
            <w:tcW w:w="18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47F00F">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20</w:t>
            </w:r>
            <w:r>
              <w:rPr>
                <w:rStyle w:val="16"/>
                <w:lang w:val="en-US" w:eastAsia="zh-CN" w:bidi="ar"/>
              </w:rPr>
              <w:t>分</w:t>
            </w:r>
          </w:p>
        </w:tc>
      </w:tr>
      <w:tr w14:paraId="784DBD2E">
        <w:tblPrEx>
          <w:tblCellMar>
            <w:top w:w="0" w:type="dxa"/>
            <w:left w:w="108" w:type="dxa"/>
            <w:bottom w:w="0" w:type="dxa"/>
            <w:right w:w="108" w:type="dxa"/>
          </w:tblCellMar>
        </w:tblPrEx>
        <w:trPr>
          <w:trHeight w:val="320" w:hRule="atLeast"/>
        </w:trPr>
        <w:tc>
          <w:tcPr>
            <w:tcW w:w="1071" w:type="dxa"/>
            <w:vMerge w:val="continue"/>
            <w:tcBorders>
              <w:top w:val="single" w:color="000000" w:sz="4" w:space="0"/>
              <w:left w:val="single" w:color="000000" w:sz="4" w:space="0"/>
              <w:bottom w:val="single" w:color="000000" w:sz="4" w:space="0"/>
              <w:right w:val="nil"/>
            </w:tcBorders>
            <w:shd w:val="clear" w:color="auto" w:fill="auto"/>
            <w:vAlign w:val="center"/>
          </w:tcPr>
          <w:p w14:paraId="1B3250EE">
            <w:pPr>
              <w:jc w:val="center"/>
              <w:rPr>
                <w:rFonts w:hint="eastAsia" w:ascii="宋体" w:hAnsi="宋体" w:eastAsia="宋体" w:cs="宋体"/>
                <w:i w:val="0"/>
                <w:iCs w:val="0"/>
                <w:color w:val="000000"/>
                <w:sz w:val="16"/>
                <w:szCs w:val="16"/>
                <w:u w:val="none"/>
              </w:rPr>
            </w:pPr>
          </w:p>
        </w:tc>
        <w:tc>
          <w:tcPr>
            <w:tcW w:w="962" w:type="dxa"/>
            <w:vMerge w:val="continue"/>
            <w:tcBorders>
              <w:top w:val="nil"/>
              <w:left w:val="single" w:color="000000" w:sz="4" w:space="0"/>
              <w:bottom w:val="nil"/>
              <w:right w:val="single" w:color="000000" w:sz="4" w:space="0"/>
            </w:tcBorders>
            <w:shd w:val="clear" w:color="auto" w:fill="auto"/>
            <w:vAlign w:val="center"/>
          </w:tcPr>
          <w:p w14:paraId="0025C4DD">
            <w:pPr>
              <w:jc w:val="center"/>
              <w:rPr>
                <w:rFonts w:hint="eastAsia" w:ascii="宋体" w:hAnsi="宋体" w:eastAsia="宋体" w:cs="宋体"/>
                <w:i w:val="0"/>
                <w:iCs w:val="0"/>
                <w:color w:val="000000"/>
                <w:sz w:val="16"/>
                <w:szCs w:val="16"/>
                <w:u w:val="none"/>
              </w:rPr>
            </w:pPr>
          </w:p>
        </w:tc>
        <w:tc>
          <w:tcPr>
            <w:tcW w:w="943" w:type="dxa"/>
            <w:vMerge w:val="continue"/>
            <w:tcBorders>
              <w:top w:val="single" w:color="000000" w:sz="4" w:space="0"/>
              <w:left w:val="nil"/>
              <w:bottom w:val="single" w:color="000000" w:sz="4" w:space="0"/>
              <w:right w:val="single" w:color="000000" w:sz="4" w:space="0"/>
            </w:tcBorders>
            <w:shd w:val="clear" w:color="auto" w:fill="auto"/>
            <w:vAlign w:val="center"/>
          </w:tcPr>
          <w:p w14:paraId="0C114F28">
            <w:pPr>
              <w:jc w:val="center"/>
              <w:rPr>
                <w:rFonts w:hint="eastAsia" w:ascii="宋体" w:hAnsi="宋体" w:eastAsia="宋体" w:cs="宋体"/>
                <w:i w:val="0"/>
                <w:iCs w:val="0"/>
                <w:color w:val="000000"/>
                <w:sz w:val="16"/>
                <w:szCs w:val="16"/>
                <w:u w:val="none"/>
              </w:rPr>
            </w:pPr>
          </w:p>
        </w:tc>
        <w:tc>
          <w:tcPr>
            <w:tcW w:w="234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C0BC218">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指标</w:t>
            </w:r>
            <w:r>
              <w:rPr>
                <w:rStyle w:val="14"/>
                <w:rFonts w:eastAsia="宋体"/>
                <w:lang w:val="en-US" w:eastAsia="zh-CN" w:bidi="ar"/>
              </w:rPr>
              <w:t xml:space="preserve"> </w:t>
            </w:r>
            <w:r>
              <w:rPr>
                <w:rStyle w:val="15"/>
                <w:lang w:val="en-US" w:eastAsia="zh-CN" w:bidi="ar"/>
              </w:rPr>
              <w:t>２</w:t>
            </w:r>
          </w:p>
        </w:tc>
        <w:tc>
          <w:tcPr>
            <w:tcW w:w="9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4D6EDC">
            <w:pPr>
              <w:jc w:val="center"/>
              <w:rPr>
                <w:rFonts w:hint="default" w:ascii="Calibri" w:hAnsi="Calibri" w:eastAsia="宋体" w:cs="Calibri"/>
                <w:i w:val="0"/>
                <w:iCs w:val="0"/>
                <w:color w:val="000000"/>
                <w:sz w:val="21"/>
                <w:szCs w:val="21"/>
                <w:u w:val="none"/>
              </w:rPr>
            </w:pPr>
          </w:p>
        </w:tc>
        <w:tc>
          <w:tcPr>
            <w:tcW w:w="9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87A73A">
            <w:pPr>
              <w:jc w:val="center"/>
              <w:rPr>
                <w:rFonts w:hint="default" w:ascii="Calibri" w:hAnsi="Calibri" w:eastAsia="宋体" w:cs="Calibri"/>
                <w:i w:val="0"/>
                <w:iCs w:val="0"/>
                <w:color w:val="000000"/>
                <w:sz w:val="21"/>
                <w:szCs w:val="21"/>
                <w:u w:val="none"/>
              </w:rPr>
            </w:pPr>
          </w:p>
        </w:tc>
        <w:tc>
          <w:tcPr>
            <w:tcW w:w="18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9E2849">
            <w:pPr>
              <w:jc w:val="center"/>
              <w:rPr>
                <w:rFonts w:hint="default" w:ascii="Calibri" w:hAnsi="Calibri" w:eastAsia="宋体" w:cs="Calibri"/>
                <w:i w:val="0"/>
                <w:iCs w:val="0"/>
                <w:color w:val="000000"/>
                <w:sz w:val="21"/>
                <w:szCs w:val="21"/>
                <w:u w:val="none"/>
              </w:rPr>
            </w:pPr>
          </w:p>
        </w:tc>
      </w:tr>
      <w:tr w14:paraId="5C92CF9B">
        <w:tblPrEx>
          <w:shd w:val="clear" w:color="auto" w:fill="auto"/>
          <w:tblCellMar>
            <w:top w:w="0" w:type="dxa"/>
            <w:left w:w="108" w:type="dxa"/>
            <w:bottom w:w="0" w:type="dxa"/>
            <w:right w:w="108" w:type="dxa"/>
          </w:tblCellMar>
        </w:tblPrEx>
        <w:trPr>
          <w:trHeight w:val="320" w:hRule="atLeast"/>
        </w:trPr>
        <w:tc>
          <w:tcPr>
            <w:tcW w:w="1071" w:type="dxa"/>
            <w:vMerge w:val="continue"/>
            <w:tcBorders>
              <w:top w:val="single" w:color="000000" w:sz="4" w:space="0"/>
              <w:left w:val="single" w:color="000000" w:sz="4" w:space="0"/>
              <w:bottom w:val="single" w:color="000000" w:sz="4" w:space="0"/>
              <w:right w:val="nil"/>
            </w:tcBorders>
            <w:shd w:val="clear" w:color="auto" w:fill="auto"/>
            <w:vAlign w:val="center"/>
          </w:tcPr>
          <w:p w14:paraId="431701B2">
            <w:pPr>
              <w:jc w:val="center"/>
              <w:rPr>
                <w:rFonts w:hint="eastAsia" w:ascii="宋体" w:hAnsi="宋体" w:eastAsia="宋体" w:cs="宋体"/>
                <w:i w:val="0"/>
                <w:iCs w:val="0"/>
                <w:color w:val="000000"/>
                <w:sz w:val="16"/>
                <w:szCs w:val="16"/>
                <w:u w:val="none"/>
              </w:rPr>
            </w:pPr>
          </w:p>
        </w:tc>
        <w:tc>
          <w:tcPr>
            <w:tcW w:w="962" w:type="dxa"/>
            <w:vMerge w:val="continue"/>
            <w:tcBorders>
              <w:top w:val="nil"/>
              <w:left w:val="single" w:color="000000" w:sz="4" w:space="0"/>
              <w:bottom w:val="nil"/>
              <w:right w:val="single" w:color="000000" w:sz="4" w:space="0"/>
            </w:tcBorders>
            <w:shd w:val="clear" w:color="auto" w:fill="auto"/>
            <w:vAlign w:val="center"/>
          </w:tcPr>
          <w:p w14:paraId="42634AAA">
            <w:pPr>
              <w:jc w:val="center"/>
              <w:rPr>
                <w:rFonts w:hint="eastAsia" w:ascii="宋体" w:hAnsi="宋体" w:eastAsia="宋体" w:cs="宋体"/>
                <w:i w:val="0"/>
                <w:iCs w:val="0"/>
                <w:color w:val="000000"/>
                <w:sz w:val="16"/>
                <w:szCs w:val="16"/>
                <w:u w:val="none"/>
              </w:rPr>
            </w:pPr>
          </w:p>
        </w:tc>
        <w:tc>
          <w:tcPr>
            <w:tcW w:w="943" w:type="dxa"/>
            <w:vMerge w:val="continue"/>
            <w:tcBorders>
              <w:top w:val="single" w:color="000000" w:sz="4" w:space="0"/>
              <w:left w:val="nil"/>
              <w:bottom w:val="single" w:color="000000" w:sz="4" w:space="0"/>
              <w:right w:val="single" w:color="000000" w:sz="4" w:space="0"/>
            </w:tcBorders>
            <w:shd w:val="clear" w:color="auto" w:fill="auto"/>
            <w:vAlign w:val="center"/>
          </w:tcPr>
          <w:p w14:paraId="099AEAA6">
            <w:pPr>
              <w:jc w:val="center"/>
              <w:rPr>
                <w:rFonts w:hint="eastAsia" w:ascii="宋体" w:hAnsi="宋体" w:eastAsia="宋体" w:cs="宋体"/>
                <w:i w:val="0"/>
                <w:iCs w:val="0"/>
                <w:color w:val="000000"/>
                <w:sz w:val="16"/>
                <w:szCs w:val="16"/>
                <w:u w:val="none"/>
              </w:rPr>
            </w:pPr>
          </w:p>
        </w:tc>
        <w:tc>
          <w:tcPr>
            <w:tcW w:w="234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C132D64">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9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DDF60A">
            <w:pPr>
              <w:jc w:val="center"/>
              <w:rPr>
                <w:rFonts w:hint="default" w:ascii="Calibri" w:hAnsi="Calibri" w:eastAsia="宋体" w:cs="Calibri"/>
                <w:i w:val="0"/>
                <w:iCs w:val="0"/>
                <w:color w:val="000000"/>
                <w:sz w:val="21"/>
                <w:szCs w:val="21"/>
                <w:u w:val="none"/>
              </w:rPr>
            </w:pPr>
          </w:p>
        </w:tc>
        <w:tc>
          <w:tcPr>
            <w:tcW w:w="9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ADD120">
            <w:pPr>
              <w:jc w:val="center"/>
              <w:rPr>
                <w:rFonts w:hint="default" w:ascii="Calibri" w:hAnsi="Calibri" w:eastAsia="宋体" w:cs="Calibri"/>
                <w:i w:val="0"/>
                <w:iCs w:val="0"/>
                <w:color w:val="000000"/>
                <w:sz w:val="21"/>
                <w:szCs w:val="21"/>
                <w:u w:val="none"/>
              </w:rPr>
            </w:pPr>
          </w:p>
        </w:tc>
        <w:tc>
          <w:tcPr>
            <w:tcW w:w="18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737D43">
            <w:pPr>
              <w:jc w:val="center"/>
              <w:rPr>
                <w:rFonts w:hint="default" w:ascii="Calibri" w:hAnsi="Calibri" w:eastAsia="宋体" w:cs="Calibri"/>
                <w:i w:val="0"/>
                <w:iCs w:val="0"/>
                <w:color w:val="000000"/>
                <w:sz w:val="21"/>
                <w:szCs w:val="21"/>
                <w:u w:val="none"/>
              </w:rPr>
            </w:pPr>
          </w:p>
        </w:tc>
      </w:tr>
      <w:tr w14:paraId="3BAAD3E8">
        <w:tblPrEx>
          <w:shd w:val="clear" w:color="auto" w:fill="auto"/>
          <w:tblCellMar>
            <w:top w:w="0" w:type="dxa"/>
            <w:left w:w="108" w:type="dxa"/>
            <w:bottom w:w="0" w:type="dxa"/>
            <w:right w:w="108" w:type="dxa"/>
          </w:tblCellMar>
        </w:tblPrEx>
        <w:trPr>
          <w:trHeight w:val="320" w:hRule="atLeast"/>
        </w:trPr>
        <w:tc>
          <w:tcPr>
            <w:tcW w:w="1071" w:type="dxa"/>
            <w:vMerge w:val="continue"/>
            <w:tcBorders>
              <w:top w:val="single" w:color="000000" w:sz="4" w:space="0"/>
              <w:left w:val="single" w:color="000000" w:sz="4" w:space="0"/>
              <w:bottom w:val="single" w:color="000000" w:sz="4" w:space="0"/>
              <w:right w:val="nil"/>
            </w:tcBorders>
            <w:shd w:val="clear" w:color="auto" w:fill="auto"/>
            <w:vAlign w:val="center"/>
          </w:tcPr>
          <w:p w14:paraId="2103E7B4">
            <w:pPr>
              <w:jc w:val="center"/>
              <w:rPr>
                <w:rFonts w:hint="eastAsia" w:ascii="宋体" w:hAnsi="宋体" w:eastAsia="宋体" w:cs="宋体"/>
                <w:i w:val="0"/>
                <w:iCs w:val="0"/>
                <w:color w:val="000000"/>
                <w:sz w:val="16"/>
                <w:szCs w:val="16"/>
                <w:u w:val="none"/>
              </w:rPr>
            </w:pPr>
          </w:p>
        </w:tc>
        <w:tc>
          <w:tcPr>
            <w:tcW w:w="962"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E669F09">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满意度指标</w:t>
            </w:r>
          </w:p>
          <w:p w14:paraId="79BC5DD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（10分）</w:t>
            </w:r>
          </w:p>
        </w:tc>
        <w:tc>
          <w:tcPr>
            <w:tcW w:w="943" w:type="dxa"/>
            <w:vMerge w:val="restart"/>
            <w:tcBorders>
              <w:top w:val="single" w:color="000000" w:sz="4" w:space="0"/>
              <w:left w:val="nil"/>
              <w:bottom w:val="single" w:color="000000" w:sz="4" w:space="0"/>
              <w:right w:val="single" w:color="000000" w:sz="4" w:space="0"/>
            </w:tcBorders>
            <w:shd w:val="clear" w:color="auto" w:fill="auto"/>
            <w:vAlign w:val="center"/>
          </w:tcPr>
          <w:p w14:paraId="67ADD4E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满意度指标</w:t>
            </w:r>
          </w:p>
        </w:tc>
        <w:tc>
          <w:tcPr>
            <w:tcW w:w="234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1453CC0">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群众对党的理论认同度、满意度</w:t>
            </w:r>
          </w:p>
        </w:tc>
        <w:tc>
          <w:tcPr>
            <w:tcW w:w="9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705B0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≥95%</w:t>
            </w:r>
          </w:p>
        </w:tc>
        <w:tc>
          <w:tcPr>
            <w:tcW w:w="9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28AC1D">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96%</w:t>
            </w:r>
          </w:p>
        </w:tc>
        <w:tc>
          <w:tcPr>
            <w:tcW w:w="18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5C3F03">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10</w:t>
            </w:r>
            <w:r>
              <w:rPr>
                <w:rStyle w:val="16"/>
                <w:lang w:val="en-US" w:eastAsia="zh-CN" w:bidi="ar"/>
              </w:rPr>
              <w:t>分</w:t>
            </w:r>
          </w:p>
        </w:tc>
      </w:tr>
      <w:tr w14:paraId="449C7040">
        <w:tblPrEx>
          <w:tblCellMar>
            <w:top w:w="0" w:type="dxa"/>
            <w:left w:w="108" w:type="dxa"/>
            <w:bottom w:w="0" w:type="dxa"/>
            <w:right w:w="108" w:type="dxa"/>
          </w:tblCellMar>
        </w:tblPrEx>
        <w:trPr>
          <w:trHeight w:val="320" w:hRule="atLeast"/>
        </w:trPr>
        <w:tc>
          <w:tcPr>
            <w:tcW w:w="1071" w:type="dxa"/>
            <w:vMerge w:val="continue"/>
            <w:tcBorders>
              <w:top w:val="single" w:color="000000" w:sz="4" w:space="0"/>
              <w:left w:val="single" w:color="000000" w:sz="4" w:space="0"/>
              <w:bottom w:val="single" w:color="000000" w:sz="4" w:space="0"/>
              <w:right w:val="nil"/>
            </w:tcBorders>
            <w:shd w:val="clear" w:color="auto" w:fill="auto"/>
            <w:vAlign w:val="center"/>
          </w:tcPr>
          <w:p w14:paraId="68E9473B">
            <w:pPr>
              <w:jc w:val="center"/>
              <w:rPr>
                <w:rFonts w:hint="eastAsia" w:ascii="宋体" w:hAnsi="宋体" w:eastAsia="宋体" w:cs="宋体"/>
                <w:i w:val="0"/>
                <w:iCs w:val="0"/>
                <w:color w:val="000000"/>
                <w:sz w:val="16"/>
                <w:szCs w:val="16"/>
                <w:u w:val="none"/>
              </w:rPr>
            </w:pPr>
          </w:p>
        </w:tc>
        <w:tc>
          <w:tcPr>
            <w:tcW w:w="96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8FDE1E8">
            <w:pPr>
              <w:jc w:val="center"/>
              <w:rPr>
                <w:rFonts w:hint="eastAsia" w:ascii="宋体" w:hAnsi="宋体" w:eastAsia="宋体" w:cs="宋体"/>
                <w:i w:val="0"/>
                <w:iCs w:val="0"/>
                <w:color w:val="000000"/>
                <w:sz w:val="16"/>
                <w:szCs w:val="16"/>
                <w:u w:val="none"/>
              </w:rPr>
            </w:pPr>
          </w:p>
        </w:tc>
        <w:tc>
          <w:tcPr>
            <w:tcW w:w="943" w:type="dxa"/>
            <w:vMerge w:val="continue"/>
            <w:tcBorders>
              <w:top w:val="single" w:color="000000" w:sz="4" w:space="0"/>
              <w:left w:val="nil"/>
              <w:bottom w:val="single" w:color="000000" w:sz="4" w:space="0"/>
              <w:right w:val="single" w:color="000000" w:sz="4" w:space="0"/>
            </w:tcBorders>
            <w:shd w:val="clear" w:color="auto" w:fill="auto"/>
            <w:vAlign w:val="center"/>
          </w:tcPr>
          <w:p w14:paraId="01E07A36">
            <w:pPr>
              <w:jc w:val="center"/>
              <w:rPr>
                <w:rFonts w:hint="eastAsia" w:ascii="宋体" w:hAnsi="宋体" w:eastAsia="宋体" w:cs="宋体"/>
                <w:i w:val="0"/>
                <w:iCs w:val="0"/>
                <w:color w:val="000000"/>
                <w:sz w:val="16"/>
                <w:szCs w:val="16"/>
                <w:u w:val="none"/>
              </w:rPr>
            </w:pPr>
          </w:p>
        </w:tc>
        <w:tc>
          <w:tcPr>
            <w:tcW w:w="234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33258B0">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指标</w:t>
            </w:r>
            <w:r>
              <w:rPr>
                <w:rStyle w:val="14"/>
                <w:rFonts w:eastAsia="宋体"/>
                <w:lang w:val="en-US" w:eastAsia="zh-CN" w:bidi="ar"/>
              </w:rPr>
              <w:t xml:space="preserve"> </w:t>
            </w:r>
            <w:r>
              <w:rPr>
                <w:rStyle w:val="15"/>
                <w:lang w:val="en-US" w:eastAsia="zh-CN" w:bidi="ar"/>
              </w:rPr>
              <w:t>２</w:t>
            </w:r>
          </w:p>
        </w:tc>
        <w:tc>
          <w:tcPr>
            <w:tcW w:w="9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C45469">
            <w:pPr>
              <w:jc w:val="center"/>
              <w:rPr>
                <w:rFonts w:hint="default" w:ascii="Calibri" w:hAnsi="Calibri" w:eastAsia="宋体" w:cs="Calibri"/>
                <w:i w:val="0"/>
                <w:iCs w:val="0"/>
                <w:color w:val="000000"/>
                <w:sz w:val="21"/>
                <w:szCs w:val="21"/>
                <w:u w:val="none"/>
              </w:rPr>
            </w:pPr>
          </w:p>
        </w:tc>
        <w:tc>
          <w:tcPr>
            <w:tcW w:w="9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D5120D">
            <w:pPr>
              <w:jc w:val="center"/>
              <w:rPr>
                <w:rFonts w:hint="default" w:ascii="Calibri" w:hAnsi="Calibri" w:eastAsia="宋体" w:cs="Calibri"/>
                <w:i w:val="0"/>
                <w:iCs w:val="0"/>
                <w:color w:val="000000"/>
                <w:sz w:val="21"/>
                <w:szCs w:val="21"/>
                <w:u w:val="none"/>
              </w:rPr>
            </w:pPr>
          </w:p>
        </w:tc>
        <w:tc>
          <w:tcPr>
            <w:tcW w:w="18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7F9F8F">
            <w:pPr>
              <w:jc w:val="center"/>
              <w:rPr>
                <w:rFonts w:hint="default" w:ascii="Calibri" w:hAnsi="Calibri" w:eastAsia="宋体" w:cs="Calibri"/>
                <w:i w:val="0"/>
                <w:iCs w:val="0"/>
                <w:color w:val="000000"/>
                <w:sz w:val="21"/>
                <w:szCs w:val="21"/>
                <w:u w:val="none"/>
              </w:rPr>
            </w:pPr>
          </w:p>
        </w:tc>
      </w:tr>
      <w:tr w14:paraId="0B0FEAEF">
        <w:tblPrEx>
          <w:shd w:val="clear" w:color="auto" w:fill="auto"/>
          <w:tblCellMar>
            <w:top w:w="0" w:type="dxa"/>
            <w:left w:w="108" w:type="dxa"/>
            <w:bottom w:w="0" w:type="dxa"/>
            <w:right w:w="108" w:type="dxa"/>
          </w:tblCellMar>
        </w:tblPrEx>
        <w:trPr>
          <w:trHeight w:val="320" w:hRule="atLeast"/>
        </w:trPr>
        <w:tc>
          <w:tcPr>
            <w:tcW w:w="1071" w:type="dxa"/>
            <w:vMerge w:val="continue"/>
            <w:tcBorders>
              <w:top w:val="single" w:color="000000" w:sz="4" w:space="0"/>
              <w:left w:val="single" w:color="000000" w:sz="4" w:space="0"/>
              <w:bottom w:val="single" w:color="000000" w:sz="4" w:space="0"/>
              <w:right w:val="nil"/>
            </w:tcBorders>
            <w:shd w:val="clear" w:color="auto" w:fill="auto"/>
            <w:vAlign w:val="center"/>
          </w:tcPr>
          <w:p w14:paraId="2D104D65">
            <w:pPr>
              <w:jc w:val="center"/>
              <w:rPr>
                <w:rFonts w:hint="eastAsia" w:ascii="宋体" w:hAnsi="宋体" w:eastAsia="宋体" w:cs="宋体"/>
                <w:i w:val="0"/>
                <w:iCs w:val="0"/>
                <w:color w:val="000000"/>
                <w:sz w:val="16"/>
                <w:szCs w:val="16"/>
                <w:u w:val="none"/>
              </w:rPr>
            </w:pPr>
          </w:p>
        </w:tc>
        <w:tc>
          <w:tcPr>
            <w:tcW w:w="96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9645C51">
            <w:pPr>
              <w:jc w:val="center"/>
              <w:rPr>
                <w:rFonts w:hint="eastAsia" w:ascii="宋体" w:hAnsi="宋体" w:eastAsia="宋体" w:cs="宋体"/>
                <w:i w:val="0"/>
                <w:iCs w:val="0"/>
                <w:color w:val="000000"/>
                <w:sz w:val="16"/>
                <w:szCs w:val="16"/>
                <w:u w:val="none"/>
              </w:rPr>
            </w:pPr>
          </w:p>
        </w:tc>
        <w:tc>
          <w:tcPr>
            <w:tcW w:w="943" w:type="dxa"/>
            <w:vMerge w:val="continue"/>
            <w:tcBorders>
              <w:top w:val="single" w:color="000000" w:sz="4" w:space="0"/>
              <w:left w:val="nil"/>
              <w:bottom w:val="single" w:color="000000" w:sz="4" w:space="0"/>
              <w:right w:val="single" w:color="000000" w:sz="4" w:space="0"/>
            </w:tcBorders>
            <w:shd w:val="clear" w:color="auto" w:fill="auto"/>
            <w:vAlign w:val="center"/>
          </w:tcPr>
          <w:p w14:paraId="28B1AE27">
            <w:pPr>
              <w:jc w:val="center"/>
              <w:rPr>
                <w:rFonts w:hint="eastAsia" w:ascii="宋体" w:hAnsi="宋体" w:eastAsia="宋体" w:cs="宋体"/>
                <w:i w:val="0"/>
                <w:iCs w:val="0"/>
                <w:color w:val="000000"/>
                <w:sz w:val="16"/>
                <w:szCs w:val="16"/>
                <w:u w:val="none"/>
              </w:rPr>
            </w:pPr>
          </w:p>
        </w:tc>
        <w:tc>
          <w:tcPr>
            <w:tcW w:w="2342" w:type="dxa"/>
            <w:gridSpan w:val="2"/>
            <w:tcBorders>
              <w:top w:val="single" w:color="000000" w:sz="4" w:space="0"/>
              <w:left w:val="single" w:color="000000" w:sz="4" w:space="0"/>
              <w:bottom w:val="nil"/>
              <w:right w:val="single" w:color="000000" w:sz="4" w:space="0"/>
            </w:tcBorders>
            <w:shd w:val="clear" w:color="auto" w:fill="auto"/>
            <w:vAlign w:val="center"/>
          </w:tcPr>
          <w:p w14:paraId="27017E30">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953" w:type="dxa"/>
            <w:tcBorders>
              <w:top w:val="single" w:color="000000" w:sz="4" w:space="0"/>
              <w:left w:val="single" w:color="000000" w:sz="4" w:space="0"/>
              <w:bottom w:val="nil"/>
              <w:right w:val="single" w:color="000000" w:sz="4" w:space="0"/>
            </w:tcBorders>
            <w:shd w:val="clear" w:color="auto" w:fill="auto"/>
            <w:vAlign w:val="center"/>
          </w:tcPr>
          <w:p w14:paraId="5DDFDDF7">
            <w:pPr>
              <w:jc w:val="center"/>
              <w:rPr>
                <w:rFonts w:hint="default" w:ascii="Calibri" w:hAnsi="Calibri" w:eastAsia="宋体" w:cs="Calibri"/>
                <w:i w:val="0"/>
                <w:iCs w:val="0"/>
                <w:color w:val="000000"/>
                <w:sz w:val="21"/>
                <w:szCs w:val="21"/>
                <w:u w:val="none"/>
              </w:rPr>
            </w:pPr>
          </w:p>
        </w:tc>
        <w:tc>
          <w:tcPr>
            <w:tcW w:w="953" w:type="dxa"/>
            <w:tcBorders>
              <w:top w:val="single" w:color="000000" w:sz="4" w:space="0"/>
              <w:left w:val="single" w:color="000000" w:sz="4" w:space="0"/>
              <w:bottom w:val="nil"/>
              <w:right w:val="single" w:color="000000" w:sz="4" w:space="0"/>
            </w:tcBorders>
            <w:shd w:val="clear" w:color="auto" w:fill="auto"/>
            <w:vAlign w:val="center"/>
          </w:tcPr>
          <w:p w14:paraId="03586E4B">
            <w:pPr>
              <w:jc w:val="center"/>
              <w:rPr>
                <w:rFonts w:hint="default" w:ascii="Calibri" w:hAnsi="Calibri" w:eastAsia="宋体" w:cs="Calibri"/>
                <w:i w:val="0"/>
                <w:iCs w:val="0"/>
                <w:color w:val="000000"/>
                <w:sz w:val="21"/>
                <w:szCs w:val="21"/>
                <w:u w:val="none"/>
              </w:rPr>
            </w:pPr>
          </w:p>
        </w:tc>
        <w:tc>
          <w:tcPr>
            <w:tcW w:w="1836" w:type="dxa"/>
            <w:tcBorders>
              <w:top w:val="single" w:color="000000" w:sz="4" w:space="0"/>
              <w:left w:val="single" w:color="000000" w:sz="4" w:space="0"/>
              <w:bottom w:val="nil"/>
              <w:right w:val="single" w:color="000000" w:sz="4" w:space="0"/>
            </w:tcBorders>
            <w:shd w:val="clear" w:color="auto" w:fill="auto"/>
            <w:vAlign w:val="center"/>
          </w:tcPr>
          <w:p w14:paraId="6C646E46">
            <w:pPr>
              <w:jc w:val="center"/>
              <w:rPr>
                <w:rFonts w:hint="default" w:ascii="Calibri" w:hAnsi="Calibri" w:eastAsia="宋体" w:cs="Calibri"/>
                <w:i w:val="0"/>
                <w:iCs w:val="0"/>
                <w:color w:val="000000"/>
                <w:sz w:val="21"/>
                <w:szCs w:val="21"/>
                <w:u w:val="none"/>
              </w:rPr>
            </w:pPr>
          </w:p>
        </w:tc>
      </w:tr>
      <w:tr w14:paraId="552F22E0">
        <w:tblPrEx>
          <w:shd w:val="clear" w:color="auto" w:fill="auto"/>
          <w:tblCellMar>
            <w:top w:w="0" w:type="dxa"/>
            <w:left w:w="108" w:type="dxa"/>
            <w:bottom w:w="0" w:type="dxa"/>
            <w:right w:w="108" w:type="dxa"/>
          </w:tblCellMar>
        </w:tblPrEx>
        <w:trPr>
          <w:trHeight w:val="320" w:hRule="atLeast"/>
        </w:trPr>
        <w:tc>
          <w:tcPr>
            <w:tcW w:w="1071" w:type="dxa"/>
            <w:vMerge w:val="continue"/>
            <w:tcBorders>
              <w:top w:val="single" w:color="000000" w:sz="4" w:space="0"/>
              <w:left w:val="single" w:color="000000" w:sz="4" w:space="0"/>
              <w:bottom w:val="single" w:color="000000" w:sz="4" w:space="0"/>
              <w:right w:val="nil"/>
            </w:tcBorders>
            <w:shd w:val="clear" w:color="auto" w:fill="auto"/>
            <w:vAlign w:val="center"/>
          </w:tcPr>
          <w:p w14:paraId="42EB1361">
            <w:pPr>
              <w:jc w:val="center"/>
              <w:rPr>
                <w:rFonts w:hint="eastAsia" w:ascii="宋体" w:hAnsi="宋体" w:eastAsia="宋体" w:cs="宋体"/>
                <w:i w:val="0"/>
                <w:iCs w:val="0"/>
                <w:color w:val="000000"/>
                <w:sz w:val="16"/>
                <w:szCs w:val="16"/>
                <w:u w:val="none"/>
              </w:rPr>
            </w:pPr>
          </w:p>
        </w:tc>
        <w:tc>
          <w:tcPr>
            <w:tcW w:w="6153"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4B1B3CE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总分</w:t>
            </w:r>
          </w:p>
        </w:tc>
        <w:tc>
          <w:tcPr>
            <w:tcW w:w="18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CFCFDE">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100</w:t>
            </w:r>
            <w:r>
              <w:rPr>
                <w:rStyle w:val="16"/>
                <w:lang w:val="en-US" w:eastAsia="zh-CN" w:bidi="ar"/>
              </w:rPr>
              <w:t>分</w:t>
            </w:r>
          </w:p>
        </w:tc>
      </w:tr>
      <w:tr w14:paraId="45D531EE">
        <w:tblPrEx>
          <w:shd w:val="clear" w:color="auto" w:fill="auto"/>
          <w:tblCellMar>
            <w:top w:w="0" w:type="dxa"/>
            <w:left w:w="108" w:type="dxa"/>
            <w:bottom w:w="0" w:type="dxa"/>
            <w:right w:w="108" w:type="dxa"/>
          </w:tblCellMar>
        </w:tblPrEx>
        <w:trPr>
          <w:trHeight w:val="1260" w:hRule="atLeast"/>
        </w:trPr>
        <w:tc>
          <w:tcPr>
            <w:tcW w:w="1071" w:type="dxa"/>
            <w:tcBorders>
              <w:top w:val="nil"/>
              <w:left w:val="single" w:color="000000" w:sz="4" w:space="0"/>
              <w:bottom w:val="single" w:color="000000" w:sz="4" w:space="0"/>
              <w:right w:val="single" w:color="000000" w:sz="4" w:space="0"/>
            </w:tcBorders>
            <w:shd w:val="clear" w:color="auto" w:fill="auto"/>
            <w:vAlign w:val="center"/>
          </w:tcPr>
          <w:p w14:paraId="06999A23">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五、</w:t>
            </w:r>
            <w:r>
              <w:rPr>
                <w:rStyle w:val="14"/>
                <w:rFonts w:eastAsia="宋体"/>
                <w:lang w:val="en-US" w:eastAsia="zh-CN" w:bidi="ar"/>
              </w:rPr>
              <w:t xml:space="preserve"> </w:t>
            </w:r>
            <w:r>
              <w:rPr>
                <w:rFonts w:hint="eastAsia" w:ascii="宋体" w:hAnsi="宋体" w:eastAsia="宋体" w:cs="宋体"/>
                <w:i w:val="0"/>
                <w:iCs w:val="0"/>
                <w:color w:val="000000"/>
                <w:kern w:val="0"/>
                <w:sz w:val="16"/>
                <w:szCs w:val="16"/>
                <w:u w:val="none"/>
                <w:lang w:val="en-US" w:eastAsia="zh-CN" w:bidi="ar"/>
              </w:rPr>
              <w:t>存在问题、原因及下一步整改措施</w:t>
            </w:r>
          </w:p>
        </w:tc>
        <w:tc>
          <w:tcPr>
            <w:tcW w:w="7989"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7D29F5D9">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宣讲偏重理论知识，故事性、感染力需要进一步提升。在全区选取各行业典型模范加入宣讲团，让身边人讲身边事，用真实故事打动人，用真情实感教化人。</w:t>
            </w:r>
          </w:p>
        </w:tc>
      </w:tr>
    </w:tbl>
    <w:p w14:paraId="515DF394">
      <w:pPr>
        <w:adjustRightInd w:val="0"/>
        <w:snapToGrid w:val="0"/>
        <w:spacing w:line="600" w:lineRule="exact"/>
        <w:rPr>
          <w:rFonts w:hint="eastAsia" w:ascii="仿宋_GB2312" w:hAnsi="仿宋_GB2312" w:eastAsia="仿宋_GB2312" w:cs="仿宋_GB2312"/>
          <w:sz w:val="32"/>
          <w:szCs w:val="32"/>
          <w:highlight w:val="yellow"/>
        </w:rPr>
      </w:pPr>
    </w:p>
    <w:tbl>
      <w:tblPr>
        <w:tblStyle w:val="6"/>
        <w:tblW w:w="9100" w:type="dxa"/>
        <w:tblInd w:w="93" w:type="dxa"/>
        <w:shd w:val="clear" w:color="auto" w:fill="auto"/>
        <w:tblLayout w:type="autofit"/>
        <w:tblCellMar>
          <w:top w:w="0" w:type="dxa"/>
          <w:left w:w="108" w:type="dxa"/>
          <w:bottom w:w="0" w:type="dxa"/>
          <w:right w:w="108" w:type="dxa"/>
        </w:tblCellMar>
      </w:tblPr>
      <w:tblGrid>
        <w:gridCol w:w="1078"/>
        <w:gridCol w:w="1336"/>
        <w:gridCol w:w="874"/>
        <w:gridCol w:w="1027"/>
        <w:gridCol w:w="1032"/>
        <w:gridCol w:w="956"/>
        <w:gridCol w:w="956"/>
        <w:gridCol w:w="1842"/>
      </w:tblGrid>
      <w:tr w14:paraId="1EB6491C">
        <w:tblPrEx>
          <w:shd w:val="clear" w:color="auto" w:fill="auto"/>
          <w:tblCellMar>
            <w:top w:w="0" w:type="dxa"/>
            <w:left w:w="108" w:type="dxa"/>
            <w:bottom w:w="0" w:type="dxa"/>
            <w:right w:w="108" w:type="dxa"/>
          </w:tblCellMar>
        </w:tblPrEx>
        <w:trPr>
          <w:trHeight w:val="608" w:hRule="atLeast"/>
        </w:trPr>
        <w:tc>
          <w:tcPr>
            <w:tcW w:w="9100" w:type="dxa"/>
            <w:gridSpan w:val="8"/>
            <w:tcBorders>
              <w:top w:val="nil"/>
              <w:left w:val="nil"/>
              <w:bottom w:val="nil"/>
              <w:right w:val="nil"/>
            </w:tcBorders>
            <w:shd w:val="clear" w:color="auto" w:fill="auto"/>
            <w:noWrap/>
            <w:vAlign w:val="center"/>
          </w:tcPr>
          <w:p w14:paraId="5EEDD2BF">
            <w:pPr>
              <w:keepNext w:val="0"/>
              <w:keepLines w:val="0"/>
              <w:widowControl/>
              <w:suppressLineNumbers w:val="0"/>
              <w:jc w:val="center"/>
              <w:textAlignment w:val="center"/>
              <w:rPr>
                <w:rFonts w:ascii="方正小标宋_GBK" w:hAnsi="方正小标宋_GBK" w:eastAsia="方正小标宋_GBK" w:cs="方正小标宋_GBK"/>
                <w:i w:val="0"/>
                <w:iCs w:val="0"/>
                <w:color w:val="000000"/>
                <w:sz w:val="40"/>
                <w:szCs w:val="40"/>
                <w:u w:val="none"/>
              </w:rPr>
            </w:pPr>
            <w:r>
              <w:rPr>
                <w:rFonts w:hint="eastAsia" w:ascii="方正小标宋_GBK" w:hAnsi="方正小标宋_GBK" w:eastAsia="方正小标宋_GBK" w:cs="方正小标宋_GBK"/>
                <w:i w:val="0"/>
                <w:iCs w:val="0"/>
                <w:color w:val="000000"/>
                <w:kern w:val="0"/>
                <w:sz w:val="40"/>
                <w:szCs w:val="40"/>
                <w:u w:val="none"/>
                <w:lang w:val="en-US" w:eastAsia="zh-CN" w:bidi="ar"/>
              </w:rPr>
              <w:t>区级部门预算项目绩效自评表</w:t>
            </w:r>
          </w:p>
        </w:tc>
      </w:tr>
      <w:tr w14:paraId="15B3AC20">
        <w:tblPrEx>
          <w:shd w:val="clear" w:color="auto" w:fill="auto"/>
          <w:tblCellMar>
            <w:top w:w="0" w:type="dxa"/>
            <w:left w:w="108" w:type="dxa"/>
            <w:bottom w:w="0" w:type="dxa"/>
            <w:right w:w="108" w:type="dxa"/>
          </w:tblCellMar>
        </w:tblPrEx>
        <w:trPr>
          <w:trHeight w:val="304" w:hRule="atLeast"/>
        </w:trPr>
        <w:tc>
          <w:tcPr>
            <w:tcW w:w="0" w:type="auto"/>
            <w:gridSpan w:val="8"/>
            <w:tcBorders>
              <w:top w:val="nil"/>
              <w:left w:val="nil"/>
              <w:bottom w:val="nil"/>
              <w:right w:val="nil"/>
            </w:tcBorders>
            <w:shd w:val="clear" w:color="auto" w:fill="auto"/>
            <w:noWrap/>
            <w:vAlign w:val="bottom"/>
          </w:tcPr>
          <w:p w14:paraId="368CFBD2">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（2020 年度）</w:t>
            </w:r>
          </w:p>
        </w:tc>
      </w:tr>
      <w:tr w14:paraId="4D6BCB7B">
        <w:tblPrEx>
          <w:shd w:val="clear" w:color="auto" w:fill="auto"/>
          <w:tblCellMar>
            <w:top w:w="0" w:type="dxa"/>
            <w:left w:w="108" w:type="dxa"/>
            <w:bottom w:w="0" w:type="dxa"/>
            <w:right w:w="108" w:type="dxa"/>
          </w:tblCellMar>
        </w:tblPrEx>
        <w:trPr>
          <w:trHeight w:val="351" w:hRule="atLeast"/>
        </w:trPr>
        <w:tc>
          <w:tcPr>
            <w:tcW w:w="0" w:type="auto"/>
            <w:tcBorders>
              <w:top w:val="nil"/>
              <w:left w:val="nil"/>
              <w:bottom w:val="nil"/>
              <w:right w:val="nil"/>
            </w:tcBorders>
            <w:shd w:val="clear" w:color="auto" w:fill="auto"/>
            <w:noWrap/>
            <w:vAlign w:val="center"/>
          </w:tcPr>
          <w:p w14:paraId="5CA61B0E">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填报单位：</w:t>
            </w:r>
          </w:p>
        </w:tc>
        <w:tc>
          <w:tcPr>
            <w:tcW w:w="0" w:type="auto"/>
            <w:tcBorders>
              <w:top w:val="nil"/>
              <w:left w:val="nil"/>
              <w:bottom w:val="nil"/>
              <w:right w:val="nil"/>
            </w:tcBorders>
            <w:shd w:val="clear" w:color="auto" w:fill="auto"/>
            <w:noWrap/>
            <w:vAlign w:val="center"/>
          </w:tcPr>
          <w:p w14:paraId="5A00916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藁城区委宣传部</w:t>
            </w:r>
          </w:p>
        </w:tc>
        <w:tc>
          <w:tcPr>
            <w:tcW w:w="0" w:type="auto"/>
            <w:tcBorders>
              <w:top w:val="nil"/>
              <w:left w:val="nil"/>
              <w:bottom w:val="nil"/>
              <w:right w:val="nil"/>
            </w:tcBorders>
            <w:shd w:val="clear" w:color="auto" w:fill="auto"/>
            <w:noWrap/>
            <w:vAlign w:val="center"/>
          </w:tcPr>
          <w:p w14:paraId="03FDAA75">
            <w:pPr>
              <w:jc w:val="center"/>
              <w:rPr>
                <w:rFonts w:hint="eastAsia" w:ascii="宋体" w:hAnsi="宋体" w:eastAsia="宋体" w:cs="宋体"/>
                <w:i w:val="0"/>
                <w:iCs w:val="0"/>
                <w:color w:val="000000"/>
                <w:sz w:val="16"/>
                <w:szCs w:val="16"/>
                <w:u w:val="none"/>
              </w:rPr>
            </w:pPr>
          </w:p>
        </w:tc>
        <w:tc>
          <w:tcPr>
            <w:tcW w:w="0" w:type="auto"/>
            <w:tcBorders>
              <w:top w:val="nil"/>
              <w:left w:val="nil"/>
              <w:bottom w:val="nil"/>
              <w:right w:val="nil"/>
            </w:tcBorders>
            <w:shd w:val="clear" w:color="auto" w:fill="auto"/>
            <w:noWrap/>
            <w:vAlign w:val="center"/>
          </w:tcPr>
          <w:p w14:paraId="6FD9DC69">
            <w:pPr>
              <w:jc w:val="center"/>
              <w:rPr>
                <w:rFonts w:hint="eastAsia" w:ascii="宋体" w:hAnsi="宋体" w:eastAsia="宋体" w:cs="宋体"/>
                <w:i w:val="0"/>
                <w:iCs w:val="0"/>
                <w:color w:val="000000"/>
                <w:sz w:val="16"/>
                <w:szCs w:val="16"/>
                <w:u w:val="none"/>
              </w:rPr>
            </w:pPr>
          </w:p>
        </w:tc>
        <w:tc>
          <w:tcPr>
            <w:tcW w:w="0" w:type="auto"/>
            <w:tcBorders>
              <w:top w:val="nil"/>
              <w:left w:val="nil"/>
              <w:bottom w:val="nil"/>
              <w:right w:val="nil"/>
            </w:tcBorders>
            <w:shd w:val="clear" w:color="auto" w:fill="auto"/>
            <w:noWrap/>
            <w:vAlign w:val="center"/>
          </w:tcPr>
          <w:p w14:paraId="264D5CD6">
            <w:pPr>
              <w:jc w:val="center"/>
              <w:rPr>
                <w:rFonts w:hint="eastAsia" w:ascii="宋体" w:hAnsi="宋体" w:eastAsia="宋体" w:cs="宋体"/>
                <w:i w:val="0"/>
                <w:iCs w:val="0"/>
                <w:color w:val="000000"/>
                <w:sz w:val="16"/>
                <w:szCs w:val="16"/>
                <w:u w:val="none"/>
              </w:rPr>
            </w:pPr>
          </w:p>
        </w:tc>
        <w:tc>
          <w:tcPr>
            <w:tcW w:w="0" w:type="auto"/>
            <w:tcBorders>
              <w:top w:val="nil"/>
              <w:left w:val="nil"/>
              <w:bottom w:val="nil"/>
              <w:right w:val="nil"/>
            </w:tcBorders>
            <w:shd w:val="clear" w:color="auto" w:fill="auto"/>
            <w:noWrap/>
            <w:vAlign w:val="center"/>
          </w:tcPr>
          <w:p w14:paraId="59436209">
            <w:pPr>
              <w:jc w:val="center"/>
              <w:rPr>
                <w:rFonts w:hint="eastAsia" w:ascii="宋体" w:hAnsi="宋体" w:eastAsia="宋体" w:cs="宋体"/>
                <w:i w:val="0"/>
                <w:iCs w:val="0"/>
                <w:color w:val="000000"/>
                <w:sz w:val="16"/>
                <w:szCs w:val="16"/>
                <w:u w:val="none"/>
              </w:rPr>
            </w:pPr>
          </w:p>
        </w:tc>
        <w:tc>
          <w:tcPr>
            <w:tcW w:w="0" w:type="auto"/>
            <w:tcBorders>
              <w:top w:val="nil"/>
              <w:left w:val="nil"/>
              <w:bottom w:val="nil"/>
              <w:right w:val="nil"/>
            </w:tcBorders>
            <w:shd w:val="clear" w:color="auto" w:fill="auto"/>
            <w:noWrap/>
            <w:vAlign w:val="center"/>
          </w:tcPr>
          <w:p w14:paraId="41921BA4">
            <w:pPr>
              <w:jc w:val="center"/>
              <w:rPr>
                <w:rFonts w:hint="eastAsia" w:ascii="宋体" w:hAnsi="宋体" w:eastAsia="宋体" w:cs="宋体"/>
                <w:i w:val="0"/>
                <w:iCs w:val="0"/>
                <w:color w:val="000000"/>
                <w:sz w:val="16"/>
                <w:szCs w:val="16"/>
                <w:u w:val="none"/>
              </w:rPr>
            </w:pPr>
          </w:p>
        </w:tc>
        <w:tc>
          <w:tcPr>
            <w:tcW w:w="0" w:type="auto"/>
            <w:tcBorders>
              <w:top w:val="nil"/>
              <w:left w:val="nil"/>
              <w:bottom w:val="nil"/>
              <w:right w:val="nil"/>
            </w:tcBorders>
            <w:shd w:val="clear" w:color="auto" w:fill="auto"/>
            <w:noWrap/>
            <w:vAlign w:val="center"/>
          </w:tcPr>
          <w:p w14:paraId="0A727CA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金额单位：万元</w:t>
            </w:r>
          </w:p>
        </w:tc>
      </w:tr>
      <w:tr w14:paraId="05E4C657">
        <w:tblPrEx>
          <w:shd w:val="clear" w:color="auto" w:fill="auto"/>
          <w:tblCellMar>
            <w:top w:w="0" w:type="dxa"/>
            <w:left w:w="108" w:type="dxa"/>
            <w:bottom w:w="0" w:type="dxa"/>
            <w:right w:w="108" w:type="dxa"/>
          </w:tblCellMar>
        </w:tblPrEx>
        <w:trPr>
          <w:trHeight w:val="618" w:hRule="atLeast"/>
        </w:trPr>
        <w:tc>
          <w:tcPr>
            <w:tcW w:w="1078" w:type="dxa"/>
            <w:tcBorders>
              <w:top w:val="single" w:color="000000" w:sz="4" w:space="0"/>
              <w:left w:val="single" w:color="000000" w:sz="4" w:space="0"/>
              <w:bottom w:val="nil"/>
              <w:right w:val="single" w:color="000000" w:sz="4" w:space="0"/>
            </w:tcBorders>
            <w:shd w:val="clear" w:color="auto" w:fill="auto"/>
            <w:vAlign w:val="center"/>
          </w:tcPr>
          <w:p w14:paraId="13CD4904">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一、</w:t>
            </w:r>
            <w:r>
              <w:rPr>
                <w:rFonts w:ascii="Calibri" w:hAnsi="Calibri" w:eastAsia="宋体" w:cs="Calibri"/>
                <w:i w:val="0"/>
                <w:iCs w:val="0"/>
                <w:color w:val="000000"/>
                <w:kern w:val="0"/>
                <w:sz w:val="16"/>
                <w:szCs w:val="16"/>
                <w:u w:val="none"/>
                <w:lang w:val="en-US" w:eastAsia="zh-CN" w:bidi="ar"/>
              </w:rPr>
              <w:t xml:space="preserve"> </w:t>
            </w:r>
            <w:r>
              <w:rPr>
                <w:rFonts w:hint="eastAsia" w:ascii="宋体" w:hAnsi="宋体" w:eastAsia="宋体" w:cs="宋体"/>
                <w:i w:val="0"/>
                <w:iCs w:val="0"/>
                <w:color w:val="000000"/>
                <w:kern w:val="0"/>
                <w:sz w:val="16"/>
                <w:szCs w:val="16"/>
                <w:u w:val="none"/>
                <w:lang w:val="en-US" w:eastAsia="zh-CN" w:bidi="ar"/>
              </w:rPr>
              <w:t>基本情况</w:t>
            </w:r>
          </w:p>
        </w:tc>
        <w:tc>
          <w:tcPr>
            <w:tcW w:w="12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85D04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项目名称</w:t>
            </w:r>
          </w:p>
        </w:tc>
        <w:tc>
          <w:tcPr>
            <w:tcW w:w="192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AB3AB8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新闻宣传经费项目（非专项资金）</w:t>
            </w:r>
          </w:p>
        </w:tc>
        <w:tc>
          <w:tcPr>
            <w:tcW w:w="105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3AEE2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实施(主管）单位</w:t>
            </w:r>
          </w:p>
        </w:tc>
        <w:tc>
          <w:tcPr>
            <w:tcW w:w="3754"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3CAF272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藁城区委宣传部</w:t>
            </w:r>
          </w:p>
        </w:tc>
      </w:tr>
      <w:tr w14:paraId="3672CC80">
        <w:tblPrEx>
          <w:shd w:val="clear" w:color="auto" w:fill="auto"/>
          <w:tblCellMar>
            <w:top w:w="0" w:type="dxa"/>
            <w:left w:w="108" w:type="dxa"/>
            <w:bottom w:w="0" w:type="dxa"/>
            <w:right w:w="108" w:type="dxa"/>
          </w:tblCellMar>
        </w:tblPrEx>
        <w:trPr>
          <w:trHeight w:val="314" w:hRule="atLeast"/>
        </w:trPr>
        <w:tc>
          <w:tcPr>
            <w:tcW w:w="1078"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C1A174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二、预算执行情况</w:t>
            </w:r>
          </w:p>
        </w:tc>
        <w:tc>
          <w:tcPr>
            <w:tcW w:w="216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9CF553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预算安排情况（调整后）</w:t>
            </w:r>
          </w:p>
        </w:tc>
        <w:tc>
          <w:tcPr>
            <w:tcW w:w="209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7D6534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资金到位情况</w:t>
            </w:r>
          </w:p>
        </w:tc>
        <w:tc>
          <w:tcPr>
            <w:tcW w:w="191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55F265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资金执行情况</w:t>
            </w:r>
          </w:p>
        </w:tc>
        <w:tc>
          <w:tcPr>
            <w:tcW w:w="18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65F4A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预算执行进度</w:t>
            </w:r>
          </w:p>
        </w:tc>
      </w:tr>
      <w:tr w14:paraId="159AF4F0">
        <w:tblPrEx>
          <w:shd w:val="clear" w:color="auto" w:fill="auto"/>
          <w:tblCellMar>
            <w:top w:w="0" w:type="dxa"/>
            <w:left w:w="108" w:type="dxa"/>
            <w:bottom w:w="0" w:type="dxa"/>
            <w:right w:w="108" w:type="dxa"/>
          </w:tblCellMar>
        </w:tblPrEx>
        <w:trPr>
          <w:trHeight w:val="314" w:hRule="atLeast"/>
        </w:trPr>
        <w:tc>
          <w:tcPr>
            <w:tcW w:w="107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B62A84B">
            <w:pPr>
              <w:jc w:val="center"/>
              <w:rPr>
                <w:rFonts w:hint="eastAsia" w:ascii="宋体" w:hAnsi="宋体" w:eastAsia="宋体" w:cs="宋体"/>
                <w:i w:val="0"/>
                <w:iCs w:val="0"/>
                <w:color w:val="000000"/>
                <w:sz w:val="16"/>
                <w:szCs w:val="16"/>
                <w:u w:val="none"/>
              </w:rPr>
            </w:pPr>
          </w:p>
        </w:tc>
        <w:tc>
          <w:tcPr>
            <w:tcW w:w="12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165E1E">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预算数：</w:t>
            </w:r>
          </w:p>
        </w:tc>
        <w:tc>
          <w:tcPr>
            <w:tcW w:w="8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AB0E0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7.2</w:t>
            </w:r>
          </w:p>
        </w:tc>
        <w:tc>
          <w:tcPr>
            <w:tcW w:w="10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548415">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到位数：</w:t>
            </w:r>
          </w:p>
        </w:tc>
        <w:tc>
          <w:tcPr>
            <w:tcW w:w="105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F85AF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7.2</w:t>
            </w:r>
          </w:p>
        </w:tc>
        <w:tc>
          <w:tcPr>
            <w:tcW w:w="9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1E6550">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执行数：</w:t>
            </w:r>
          </w:p>
        </w:tc>
        <w:tc>
          <w:tcPr>
            <w:tcW w:w="9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5158C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7.2</w:t>
            </w:r>
          </w:p>
        </w:tc>
        <w:tc>
          <w:tcPr>
            <w:tcW w:w="1842"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1D41E1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100%</w:t>
            </w:r>
          </w:p>
        </w:tc>
      </w:tr>
      <w:tr w14:paraId="7572D860">
        <w:tblPrEx>
          <w:shd w:val="clear" w:color="auto" w:fill="auto"/>
          <w:tblCellMar>
            <w:top w:w="0" w:type="dxa"/>
            <w:left w:w="108" w:type="dxa"/>
            <w:bottom w:w="0" w:type="dxa"/>
            <w:right w:w="108" w:type="dxa"/>
          </w:tblCellMar>
        </w:tblPrEx>
        <w:trPr>
          <w:trHeight w:val="618" w:hRule="atLeast"/>
        </w:trPr>
        <w:tc>
          <w:tcPr>
            <w:tcW w:w="107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4179518">
            <w:pPr>
              <w:jc w:val="center"/>
              <w:rPr>
                <w:rFonts w:hint="eastAsia" w:ascii="宋体" w:hAnsi="宋体" w:eastAsia="宋体" w:cs="宋体"/>
                <w:i w:val="0"/>
                <w:iCs w:val="0"/>
                <w:color w:val="000000"/>
                <w:sz w:val="16"/>
                <w:szCs w:val="16"/>
                <w:u w:val="none"/>
              </w:rPr>
            </w:pPr>
          </w:p>
        </w:tc>
        <w:tc>
          <w:tcPr>
            <w:tcW w:w="12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D06880">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其中：财政资金</w:t>
            </w:r>
          </w:p>
        </w:tc>
        <w:tc>
          <w:tcPr>
            <w:tcW w:w="8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AE218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7.2</w:t>
            </w:r>
          </w:p>
        </w:tc>
        <w:tc>
          <w:tcPr>
            <w:tcW w:w="10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212E23">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其中：财政资金</w:t>
            </w:r>
          </w:p>
        </w:tc>
        <w:tc>
          <w:tcPr>
            <w:tcW w:w="105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DB39F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7.2</w:t>
            </w:r>
          </w:p>
        </w:tc>
        <w:tc>
          <w:tcPr>
            <w:tcW w:w="9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58BC25">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其中：财政资金</w:t>
            </w:r>
          </w:p>
        </w:tc>
        <w:tc>
          <w:tcPr>
            <w:tcW w:w="9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08A0B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7.2</w:t>
            </w:r>
          </w:p>
        </w:tc>
        <w:tc>
          <w:tcPr>
            <w:tcW w:w="184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0B04A1E">
            <w:pPr>
              <w:jc w:val="center"/>
              <w:rPr>
                <w:rFonts w:hint="eastAsia" w:ascii="宋体" w:hAnsi="宋体" w:eastAsia="宋体" w:cs="宋体"/>
                <w:i w:val="0"/>
                <w:iCs w:val="0"/>
                <w:color w:val="000000"/>
                <w:sz w:val="16"/>
                <w:szCs w:val="16"/>
                <w:u w:val="none"/>
              </w:rPr>
            </w:pPr>
          </w:p>
        </w:tc>
      </w:tr>
      <w:tr w14:paraId="153D7AB6">
        <w:tblPrEx>
          <w:shd w:val="clear" w:color="auto" w:fill="auto"/>
          <w:tblCellMar>
            <w:top w:w="0" w:type="dxa"/>
            <w:left w:w="108" w:type="dxa"/>
            <w:bottom w:w="0" w:type="dxa"/>
            <w:right w:w="108" w:type="dxa"/>
          </w:tblCellMar>
        </w:tblPrEx>
        <w:trPr>
          <w:trHeight w:val="314" w:hRule="atLeast"/>
        </w:trPr>
        <w:tc>
          <w:tcPr>
            <w:tcW w:w="107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DD28C01">
            <w:pPr>
              <w:jc w:val="center"/>
              <w:rPr>
                <w:rFonts w:hint="eastAsia" w:ascii="宋体" w:hAnsi="宋体" w:eastAsia="宋体" w:cs="宋体"/>
                <w:i w:val="0"/>
                <w:iCs w:val="0"/>
                <w:color w:val="000000"/>
                <w:sz w:val="16"/>
                <w:szCs w:val="16"/>
                <w:u w:val="none"/>
              </w:rPr>
            </w:pPr>
          </w:p>
        </w:tc>
        <w:tc>
          <w:tcPr>
            <w:tcW w:w="12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9CA1BA">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其他</w:t>
            </w:r>
          </w:p>
        </w:tc>
        <w:tc>
          <w:tcPr>
            <w:tcW w:w="8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C501BA">
            <w:pPr>
              <w:rPr>
                <w:rFonts w:hint="default" w:ascii="Calibri" w:hAnsi="Calibri" w:eastAsia="宋体" w:cs="Calibri"/>
                <w:i w:val="0"/>
                <w:iCs w:val="0"/>
                <w:color w:val="000000"/>
                <w:sz w:val="21"/>
                <w:szCs w:val="21"/>
                <w:u w:val="none"/>
              </w:rPr>
            </w:pPr>
          </w:p>
        </w:tc>
        <w:tc>
          <w:tcPr>
            <w:tcW w:w="10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728A6E">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其他</w:t>
            </w:r>
          </w:p>
        </w:tc>
        <w:tc>
          <w:tcPr>
            <w:tcW w:w="105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F94148">
            <w:pPr>
              <w:rPr>
                <w:rFonts w:hint="eastAsia" w:ascii="宋体" w:hAnsi="宋体" w:eastAsia="宋体" w:cs="宋体"/>
                <w:i w:val="0"/>
                <w:iCs w:val="0"/>
                <w:color w:val="000000"/>
                <w:sz w:val="16"/>
                <w:szCs w:val="16"/>
                <w:u w:val="none"/>
              </w:rPr>
            </w:pPr>
          </w:p>
        </w:tc>
        <w:tc>
          <w:tcPr>
            <w:tcW w:w="9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325725">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其他</w:t>
            </w:r>
          </w:p>
        </w:tc>
        <w:tc>
          <w:tcPr>
            <w:tcW w:w="9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9789D8">
            <w:pPr>
              <w:rPr>
                <w:rFonts w:hint="eastAsia" w:ascii="宋体" w:hAnsi="宋体" w:eastAsia="宋体" w:cs="宋体"/>
                <w:i w:val="0"/>
                <w:iCs w:val="0"/>
                <w:color w:val="000000"/>
                <w:sz w:val="16"/>
                <w:szCs w:val="16"/>
                <w:u w:val="none"/>
              </w:rPr>
            </w:pPr>
          </w:p>
        </w:tc>
        <w:tc>
          <w:tcPr>
            <w:tcW w:w="184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FA32DFB">
            <w:pPr>
              <w:jc w:val="center"/>
              <w:rPr>
                <w:rFonts w:hint="eastAsia" w:ascii="宋体" w:hAnsi="宋体" w:eastAsia="宋体" w:cs="宋体"/>
                <w:i w:val="0"/>
                <w:iCs w:val="0"/>
                <w:color w:val="000000"/>
                <w:sz w:val="16"/>
                <w:szCs w:val="16"/>
                <w:u w:val="none"/>
              </w:rPr>
            </w:pPr>
          </w:p>
        </w:tc>
      </w:tr>
      <w:tr w14:paraId="6B21AC7C">
        <w:tblPrEx>
          <w:tblCellMar>
            <w:top w:w="0" w:type="dxa"/>
            <w:left w:w="108" w:type="dxa"/>
            <w:bottom w:w="0" w:type="dxa"/>
            <w:right w:w="108" w:type="dxa"/>
          </w:tblCellMar>
        </w:tblPrEx>
        <w:trPr>
          <w:trHeight w:val="314" w:hRule="atLeast"/>
        </w:trPr>
        <w:tc>
          <w:tcPr>
            <w:tcW w:w="1078"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F3472D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三、目标完成情况</w:t>
            </w:r>
          </w:p>
        </w:tc>
        <w:tc>
          <w:tcPr>
            <w:tcW w:w="321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30AFD2F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年度预期目标</w:t>
            </w:r>
          </w:p>
        </w:tc>
        <w:tc>
          <w:tcPr>
            <w:tcW w:w="297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5678B80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具体完成情况</w:t>
            </w:r>
          </w:p>
        </w:tc>
        <w:tc>
          <w:tcPr>
            <w:tcW w:w="18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A151F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总体完成率</w:t>
            </w:r>
          </w:p>
        </w:tc>
      </w:tr>
      <w:tr w14:paraId="07DC4801">
        <w:tblPrEx>
          <w:shd w:val="clear" w:color="auto" w:fill="auto"/>
          <w:tblCellMar>
            <w:top w:w="0" w:type="dxa"/>
            <w:left w:w="108" w:type="dxa"/>
            <w:bottom w:w="0" w:type="dxa"/>
            <w:right w:w="108" w:type="dxa"/>
          </w:tblCellMar>
        </w:tblPrEx>
        <w:trPr>
          <w:trHeight w:val="312" w:hRule="atLeast"/>
        </w:trPr>
        <w:tc>
          <w:tcPr>
            <w:tcW w:w="107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A4FE4E1">
            <w:pPr>
              <w:jc w:val="center"/>
              <w:rPr>
                <w:rFonts w:hint="eastAsia" w:ascii="宋体" w:hAnsi="宋体" w:eastAsia="宋体" w:cs="宋体"/>
                <w:i w:val="0"/>
                <w:iCs w:val="0"/>
                <w:color w:val="000000"/>
                <w:sz w:val="16"/>
                <w:szCs w:val="16"/>
                <w:u w:val="none"/>
              </w:rPr>
            </w:pPr>
          </w:p>
        </w:tc>
        <w:tc>
          <w:tcPr>
            <w:tcW w:w="3210"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ADAF948">
            <w:pPr>
              <w:keepNext w:val="0"/>
              <w:keepLines w:val="0"/>
              <w:widowControl/>
              <w:suppressLineNumbers w:val="0"/>
              <w:jc w:val="both"/>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指导协调新闻舆论工作，组织系列主题新闻宣传，开展新闻业务调研评议；抓好新闻管理制度和措施落实；围绕社会热点、敏感问题、突发事件，正确引导社会心态。</w:t>
            </w:r>
          </w:p>
        </w:tc>
        <w:tc>
          <w:tcPr>
            <w:tcW w:w="2970"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5015834">
            <w:pPr>
              <w:keepNext w:val="0"/>
              <w:keepLines w:val="0"/>
              <w:widowControl/>
              <w:suppressLineNumbers w:val="0"/>
              <w:jc w:val="both"/>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为藁城经济社会发展提供有力舆论支持；配合上级新闻媒体到藁城开展采访报道；提高基层通讯员新闻写作能力，提升各部门领导应对新闻媒体能力；指导相关单位及时化解、妥善处理有关负面舆情。</w:t>
            </w:r>
          </w:p>
        </w:tc>
        <w:tc>
          <w:tcPr>
            <w:tcW w:w="1842"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BF129F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100%</w:t>
            </w:r>
          </w:p>
        </w:tc>
      </w:tr>
      <w:tr w14:paraId="39362B89">
        <w:tblPrEx>
          <w:shd w:val="clear" w:color="auto" w:fill="auto"/>
          <w:tblCellMar>
            <w:top w:w="0" w:type="dxa"/>
            <w:left w:w="108" w:type="dxa"/>
            <w:bottom w:w="0" w:type="dxa"/>
            <w:right w:w="108" w:type="dxa"/>
          </w:tblCellMar>
        </w:tblPrEx>
        <w:trPr>
          <w:trHeight w:val="312" w:hRule="atLeast"/>
        </w:trPr>
        <w:tc>
          <w:tcPr>
            <w:tcW w:w="107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EE38D8C">
            <w:pPr>
              <w:jc w:val="center"/>
              <w:rPr>
                <w:rFonts w:hint="eastAsia" w:ascii="宋体" w:hAnsi="宋体" w:eastAsia="宋体" w:cs="宋体"/>
                <w:i w:val="0"/>
                <w:iCs w:val="0"/>
                <w:color w:val="000000"/>
                <w:sz w:val="16"/>
                <w:szCs w:val="16"/>
                <w:u w:val="none"/>
              </w:rPr>
            </w:pPr>
          </w:p>
        </w:tc>
        <w:tc>
          <w:tcPr>
            <w:tcW w:w="321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E82E183">
            <w:pPr>
              <w:jc w:val="both"/>
              <w:rPr>
                <w:rFonts w:hint="eastAsia" w:ascii="宋体" w:hAnsi="宋体" w:eastAsia="宋体" w:cs="宋体"/>
                <w:i w:val="0"/>
                <w:iCs w:val="0"/>
                <w:color w:val="000000"/>
                <w:sz w:val="16"/>
                <w:szCs w:val="16"/>
                <w:u w:val="none"/>
              </w:rPr>
            </w:pPr>
          </w:p>
        </w:tc>
        <w:tc>
          <w:tcPr>
            <w:tcW w:w="297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A098F9E">
            <w:pPr>
              <w:jc w:val="both"/>
              <w:rPr>
                <w:rFonts w:hint="eastAsia" w:ascii="宋体" w:hAnsi="宋体" w:eastAsia="宋体" w:cs="宋体"/>
                <w:i w:val="0"/>
                <w:iCs w:val="0"/>
                <w:color w:val="000000"/>
                <w:sz w:val="16"/>
                <w:szCs w:val="16"/>
                <w:u w:val="none"/>
              </w:rPr>
            </w:pPr>
          </w:p>
        </w:tc>
        <w:tc>
          <w:tcPr>
            <w:tcW w:w="184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22E7C61">
            <w:pPr>
              <w:jc w:val="center"/>
              <w:rPr>
                <w:rFonts w:hint="eastAsia" w:ascii="宋体" w:hAnsi="宋体" w:eastAsia="宋体" w:cs="宋体"/>
                <w:i w:val="0"/>
                <w:iCs w:val="0"/>
                <w:color w:val="000000"/>
                <w:sz w:val="16"/>
                <w:szCs w:val="16"/>
                <w:u w:val="none"/>
              </w:rPr>
            </w:pPr>
          </w:p>
        </w:tc>
      </w:tr>
      <w:tr w14:paraId="3D289732">
        <w:tblPrEx>
          <w:shd w:val="clear" w:color="auto" w:fill="auto"/>
          <w:tblCellMar>
            <w:top w:w="0" w:type="dxa"/>
            <w:left w:w="108" w:type="dxa"/>
            <w:bottom w:w="0" w:type="dxa"/>
            <w:right w:w="108" w:type="dxa"/>
          </w:tblCellMar>
        </w:tblPrEx>
        <w:trPr>
          <w:trHeight w:val="1130" w:hRule="atLeast"/>
        </w:trPr>
        <w:tc>
          <w:tcPr>
            <w:tcW w:w="107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F137744">
            <w:pPr>
              <w:jc w:val="center"/>
              <w:rPr>
                <w:rFonts w:hint="eastAsia" w:ascii="宋体" w:hAnsi="宋体" w:eastAsia="宋体" w:cs="宋体"/>
                <w:i w:val="0"/>
                <w:iCs w:val="0"/>
                <w:color w:val="000000"/>
                <w:sz w:val="16"/>
                <w:szCs w:val="16"/>
                <w:u w:val="none"/>
              </w:rPr>
            </w:pPr>
          </w:p>
        </w:tc>
        <w:tc>
          <w:tcPr>
            <w:tcW w:w="321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172EF13">
            <w:pPr>
              <w:jc w:val="both"/>
              <w:rPr>
                <w:rFonts w:hint="eastAsia" w:ascii="宋体" w:hAnsi="宋体" w:eastAsia="宋体" w:cs="宋体"/>
                <w:i w:val="0"/>
                <w:iCs w:val="0"/>
                <w:color w:val="000000"/>
                <w:sz w:val="16"/>
                <w:szCs w:val="16"/>
                <w:u w:val="none"/>
              </w:rPr>
            </w:pPr>
          </w:p>
        </w:tc>
        <w:tc>
          <w:tcPr>
            <w:tcW w:w="297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54A0C34">
            <w:pPr>
              <w:jc w:val="both"/>
              <w:rPr>
                <w:rFonts w:hint="eastAsia" w:ascii="宋体" w:hAnsi="宋体" w:eastAsia="宋体" w:cs="宋体"/>
                <w:i w:val="0"/>
                <w:iCs w:val="0"/>
                <w:color w:val="000000"/>
                <w:sz w:val="16"/>
                <w:szCs w:val="16"/>
                <w:u w:val="none"/>
              </w:rPr>
            </w:pPr>
          </w:p>
        </w:tc>
        <w:tc>
          <w:tcPr>
            <w:tcW w:w="184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C8A16ED">
            <w:pPr>
              <w:jc w:val="center"/>
              <w:rPr>
                <w:rFonts w:hint="eastAsia" w:ascii="宋体" w:hAnsi="宋体" w:eastAsia="宋体" w:cs="宋体"/>
                <w:i w:val="0"/>
                <w:iCs w:val="0"/>
                <w:color w:val="000000"/>
                <w:sz w:val="16"/>
                <w:szCs w:val="16"/>
                <w:u w:val="none"/>
              </w:rPr>
            </w:pPr>
          </w:p>
        </w:tc>
      </w:tr>
      <w:tr w14:paraId="4A278F5E">
        <w:tblPrEx>
          <w:shd w:val="clear" w:color="auto" w:fill="auto"/>
          <w:tblCellMar>
            <w:top w:w="0" w:type="dxa"/>
            <w:left w:w="108" w:type="dxa"/>
            <w:bottom w:w="0" w:type="dxa"/>
            <w:right w:w="108" w:type="dxa"/>
          </w:tblCellMar>
        </w:tblPrEx>
        <w:trPr>
          <w:trHeight w:val="314" w:hRule="atLeast"/>
        </w:trPr>
        <w:tc>
          <w:tcPr>
            <w:tcW w:w="1078" w:type="dxa"/>
            <w:vMerge w:val="restart"/>
            <w:tcBorders>
              <w:top w:val="single" w:color="000000" w:sz="4" w:space="0"/>
              <w:left w:val="single" w:color="000000" w:sz="4" w:space="0"/>
              <w:bottom w:val="single" w:color="000000" w:sz="4" w:space="0"/>
              <w:right w:val="nil"/>
            </w:tcBorders>
            <w:shd w:val="clear" w:color="auto" w:fill="auto"/>
            <w:vAlign w:val="center"/>
          </w:tcPr>
          <w:p w14:paraId="610142F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四、</w:t>
            </w:r>
            <w:r>
              <w:rPr>
                <w:rFonts w:ascii="Calibri" w:hAnsi="Calibri" w:eastAsia="宋体" w:cs="Calibri"/>
                <w:i w:val="0"/>
                <w:iCs w:val="0"/>
                <w:color w:val="000000"/>
                <w:kern w:val="0"/>
                <w:sz w:val="16"/>
                <w:szCs w:val="16"/>
                <w:u w:val="none"/>
                <w:lang w:val="en-US" w:eastAsia="zh-CN" w:bidi="ar"/>
              </w:rPr>
              <w:t xml:space="preserve"> </w:t>
            </w:r>
            <w:r>
              <w:rPr>
                <w:rFonts w:hint="eastAsia" w:ascii="宋体" w:hAnsi="宋体" w:eastAsia="宋体" w:cs="宋体"/>
                <w:i w:val="0"/>
                <w:iCs w:val="0"/>
                <w:color w:val="000000"/>
                <w:kern w:val="0"/>
                <w:sz w:val="16"/>
                <w:szCs w:val="16"/>
                <w:u w:val="none"/>
                <w:lang w:val="en-US" w:eastAsia="zh-CN" w:bidi="ar"/>
              </w:rPr>
              <w:t>年度绩效指标完成情况</w:t>
            </w:r>
          </w:p>
        </w:tc>
        <w:tc>
          <w:tcPr>
            <w:tcW w:w="12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F8442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一级指标</w:t>
            </w:r>
          </w:p>
        </w:tc>
        <w:tc>
          <w:tcPr>
            <w:tcW w:w="8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A8D92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二级指标</w:t>
            </w:r>
          </w:p>
        </w:tc>
        <w:tc>
          <w:tcPr>
            <w:tcW w:w="209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EF1D0B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三级指标</w:t>
            </w:r>
          </w:p>
        </w:tc>
        <w:tc>
          <w:tcPr>
            <w:tcW w:w="9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1B204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预期指标值</w:t>
            </w:r>
          </w:p>
        </w:tc>
        <w:tc>
          <w:tcPr>
            <w:tcW w:w="9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51DB5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实际完成值</w:t>
            </w:r>
          </w:p>
        </w:tc>
        <w:tc>
          <w:tcPr>
            <w:tcW w:w="18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51A64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自评得分</w:t>
            </w:r>
          </w:p>
        </w:tc>
      </w:tr>
      <w:tr w14:paraId="0A98C1E5">
        <w:tblPrEx>
          <w:shd w:val="clear" w:color="auto" w:fill="auto"/>
          <w:tblCellMar>
            <w:top w:w="0" w:type="dxa"/>
            <w:left w:w="108" w:type="dxa"/>
            <w:bottom w:w="0" w:type="dxa"/>
            <w:right w:w="108" w:type="dxa"/>
          </w:tblCellMar>
        </w:tblPrEx>
        <w:trPr>
          <w:trHeight w:val="635" w:hRule="atLeast"/>
        </w:trPr>
        <w:tc>
          <w:tcPr>
            <w:tcW w:w="1078" w:type="dxa"/>
            <w:vMerge w:val="continue"/>
            <w:tcBorders>
              <w:top w:val="single" w:color="000000" w:sz="4" w:space="0"/>
              <w:left w:val="single" w:color="000000" w:sz="4" w:space="0"/>
              <w:bottom w:val="single" w:color="000000" w:sz="4" w:space="0"/>
              <w:right w:val="nil"/>
            </w:tcBorders>
            <w:shd w:val="clear" w:color="auto" w:fill="auto"/>
            <w:vAlign w:val="center"/>
          </w:tcPr>
          <w:p w14:paraId="3335D2DC">
            <w:pPr>
              <w:jc w:val="center"/>
              <w:rPr>
                <w:rFonts w:hint="eastAsia" w:ascii="宋体" w:hAnsi="宋体" w:eastAsia="宋体" w:cs="宋体"/>
                <w:i w:val="0"/>
                <w:iCs w:val="0"/>
                <w:color w:val="000000"/>
                <w:sz w:val="16"/>
                <w:szCs w:val="16"/>
                <w:u w:val="none"/>
              </w:rPr>
            </w:pPr>
          </w:p>
        </w:tc>
        <w:tc>
          <w:tcPr>
            <w:tcW w:w="1282" w:type="dxa"/>
            <w:vMerge w:val="restart"/>
            <w:tcBorders>
              <w:top w:val="single" w:color="000000" w:sz="4" w:space="0"/>
              <w:left w:val="single" w:color="000000" w:sz="4" w:space="0"/>
              <w:bottom w:val="nil"/>
              <w:right w:val="single" w:color="000000" w:sz="4" w:space="0"/>
            </w:tcBorders>
            <w:shd w:val="clear" w:color="auto" w:fill="auto"/>
            <w:vAlign w:val="center"/>
          </w:tcPr>
          <w:p w14:paraId="390E7CB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产出指标（40）</w:t>
            </w:r>
          </w:p>
        </w:tc>
        <w:tc>
          <w:tcPr>
            <w:tcW w:w="887"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F013EA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数量指标</w:t>
            </w:r>
          </w:p>
        </w:tc>
        <w:tc>
          <w:tcPr>
            <w:tcW w:w="209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7B56701">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组织省市媒体采访、宣传次数（次）</w:t>
            </w:r>
          </w:p>
        </w:tc>
        <w:tc>
          <w:tcPr>
            <w:tcW w:w="9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2A336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≥3</w:t>
            </w:r>
          </w:p>
        </w:tc>
        <w:tc>
          <w:tcPr>
            <w:tcW w:w="9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62D51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100%</w:t>
            </w:r>
          </w:p>
        </w:tc>
        <w:tc>
          <w:tcPr>
            <w:tcW w:w="18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0DFFA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20</w:t>
            </w:r>
          </w:p>
        </w:tc>
      </w:tr>
      <w:tr w14:paraId="011B2324">
        <w:tblPrEx>
          <w:shd w:val="clear" w:color="auto" w:fill="auto"/>
          <w:tblCellMar>
            <w:top w:w="0" w:type="dxa"/>
            <w:left w:w="108" w:type="dxa"/>
            <w:bottom w:w="0" w:type="dxa"/>
            <w:right w:w="108" w:type="dxa"/>
          </w:tblCellMar>
        </w:tblPrEx>
        <w:trPr>
          <w:trHeight w:val="314" w:hRule="atLeast"/>
        </w:trPr>
        <w:tc>
          <w:tcPr>
            <w:tcW w:w="1078" w:type="dxa"/>
            <w:vMerge w:val="continue"/>
            <w:tcBorders>
              <w:top w:val="single" w:color="000000" w:sz="4" w:space="0"/>
              <w:left w:val="single" w:color="000000" w:sz="4" w:space="0"/>
              <w:bottom w:val="single" w:color="000000" w:sz="4" w:space="0"/>
              <w:right w:val="nil"/>
            </w:tcBorders>
            <w:shd w:val="clear" w:color="auto" w:fill="auto"/>
            <w:vAlign w:val="center"/>
          </w:tcPr>
          <w:p w14:paraId="373D9025">
            <w:pPr>
              <w:jc w:val="center"/>
              <w:rPr>
                <w:rFonts w:hint="eastAsia" w:ascii="宋体" w:hAnsi="宋体" w:eastAsia="宋体" w:cs="宋体"/>
                <w:i w:val="0"/>
                <w:iCs w:val="0"/>
                <w:color w:val="000000"/>
                <w:sz w:val="16"/>
                <w:szCs w:val="16"/>
                <w:u w:val="none"/>
              </w:rPr>
            </w:pPr>
          </w:p>
        </w:tc>
        <w:tc>
          <w:tcPr>
            <w:tcW w:w="1282" w:type="dxa"/>
            <w:vMerge w:val="continue"/>
            <w:tcBorders>
              <w:top w:val="single" w:color="000000" w:sz="4" w:space="0"/>
              <w:left w:val="single" w:color="000000" w:sz="4" w:space="0"/>
              <w:bottom w:val="nil"/>
              <w:right w:val="single" w:color="000000" w:sz="4" w:space="0"/>
            </w:tcBorders>
            <w:shd w:val="clear" w:color="auto" w:fill="auto"/>
            <w:vAlign w:val="center"/>
          </w:tcPr>
          <w:p w14:paraId="6A0A3BA4">
            <w:pPr>
              <w:jc w:val="center"/>
              <w:rPr>
                <w:rFonts w:hint="eastAsia" w:ascii="宋体" w:hAnsi="宋体" w:eastAsia="宋体" w:cs="宋体"/>
                <w:i w:val="0"/>
                <w:iCs w:val="0"/>
                <w:color w:val="000000"/>
                <w:sz w:val="16"/>
                <w:szCs w:val="16"/>
                <w:u w:val="none"/>
              </w:rPr>
            </w:pPr>
          </w:p>
        </w:tc>
        <w:tc>
          <w:tcPr>
            <w:tcW w:w="88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5969A41">
            <w:pPr>
              <w:jc w:val="center"/>
              <w:rPr>
                <w:rFonts w:hint="eastAsia" w:ascii="宋体" w:hAnsi="宋体" w:eastAsia="宋体" w:cs="宋体"/>
                <w:i w:val="0"/>
                <w:iCs w:val="0"/>
                <w:color w:val="000000"/>
                <w:sz w:val="16"/>
                <w:szCs w:val="16"/>
                <w:u w:val="none"/>
              </w:rPr>
            </w:pPr>
          </w:p>
        </w:tc>
        <w:tc>
          <w:tcPr>
            <w:tcW w:w="209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EF876C8">
            <w:pPr>
              <w:jc w:val="left"/>
              <w:rPr>
                <w:rFonts w:hint="eastAsia" w:ascii="宋体" w:hAnsi="宋体" w:eastAsia="宋体" w:cs="宋体"/>
                <w:i w:val="0"/>
                <w:iCs w:val="0"/>
                <w:color w:val="000000"/>
                <w:sz w:val="16"/>
                <w:szCs w:val="16"/>
                <w:u w:val="none"/>
              </w:rPr>
            </w:pPr>
          </w:p>
        </w:tc>
        <w:tc>
          <w:tcPr>
            <w:tcW w:w="9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A81BF9">
            <w:pPr>
              <w:jc w:val="center"/>
              <w:rPr>
                <w:rFonts w:hint="default" w:ascii="Calibri" w:hAnsi="Calibri" w:eastAsia="宋体" w:cs="Calibri"/>
                <w:i w:val="0"/>
                <w:iCs w:val="0"/>
                <w:color w:val="000000"/>
                <w:sz w:val="21"/>
                <w:szCs w:val="21"/>
                <w:u w:val="none"/>
              </w:rPr>
            </w:pPr>
          </w:p>
        </w:tc>
        <w:tc>
          <w:tcPr>
            <w:tcW w:w="9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CAA96E">
            <w:pPr>
              <w:jc w:val="center"/>
              <w:rPr>
                <w:rFonts w:hint="default" w:ascii="Calibri" w:hAnsi="Calibri" w:eastAsia="宋体" w:cs="Calibri"/>
                <w:i w:val="0"/>
                <w:iCs w:val="0"/>
                <w:color w:val="000000"/>
                <w:sz w:val="21"/>
                <w:szCs w:val="21"/>
                <w:u w:val="none"/>
              </w:rPr>
            </w:pPr>
          </w:p>
        </w:tc>
        <w:tc>
          <w:tcPr>
            <w:tcW w:w="18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26B3B1">
            <w:pPr>
              <w:jc w:val="center"/>
              <w:rPr>
                <w:rFonts w:hint="default" w:ascii="Calibri" w:hAnsi="Calibri" w:eastAsia="宋体" w:cs="Calibri"/>
                <w:i w:val="0"/>
                <w:iCs w:val="0"/>
                <w:color w:val="000000"/>
                <w:sz w:val="21"/>
                <w:szCs w:val="21"/>
                <w:u w:val="none"/>
              </w:rPr>
            </w:pPr>
          </w:p>
        </w:tc>
      </w:tr>
      <w:tr w14:paraId="79DE9E92">
        <w:tblPrEx>
          <w:shd w:val="clear" w:color="auto" w:fill="auto"/>
          <w:tblCellMar>
            <w:top w:w="0" w:type="dxa"/>
            <w:left w:w="108" w:type="dxa"/>
            <w:bottom w:w="0" w:type="dxa"/>
            <w:right w:w="108" w:type="dxa"/>
          </w:tblCellMar>
        </w:tblPrEx>
        <w:trPr>
          <w:trHeight w:val="314" w:hRule="atLeast"/>
        </w:trPr>
        <w:tc>
          <w:tcPr>
            <w:tcW w:w="1078" w:type="dxa"/>
            <w:vMerge w:val="continue"/>
            <w:tcBorders>
              <w:top w:val="single" w:color="000000" w:sz="4" w:space="0"/>
              <w:left w:val="single" w:color="000000" w:sz="4" w:space="0"/>
              <w:bottom w:val="single" w:color="000000" w:sz="4" w:space="0"/>
              <w:right w:val="nil"/>
            </w:tcBorders>
            <w:shd w:val="clear" w:color="auto" w:fill="auto"/>
            <w:vAlign w:val="center"/>
          </w:tcPr>
          <w:p w14:paraId="10DD055C">
            <w:pPr>
              <w:jc w:val="center"/>
              <w:rPr>
                <w:rFonts w:hint="eastAsia" w:ascii="宋体" w:hAnsi="宋体" w:eastAsia="宋体" w:cs="宋体"/>
                <w:i w:val="0"/>
                <w:iCs w:val="0"/>
                <w:color w:val="000000"/>
                <w:sz w:val="16"/>
                <w:szCs w:val="16"/>
                <w:u w:val="none"/>
              </w:rPr>
            </w:pPr>
          </w:p>
        </w:tc>
        <w:tc>
          <w:tcPr>
            <w:tcW w:w="1282" w:type="dxa"/>
            <w:vMerge w:val="continue"/>
            <w:tcBorders>
              <w:top w:val="single" w:color="000000" w:sz="4" w:space="0"/>
              <w:left w:val="single" w:color="000000" w:sz="4" w:space="0"/>
              <w:bottom w:val="nil"/>
              <w:right w:val="single" w:color="000000" w:sz="4" w:space="0"/>
            </w:tcBorders>
            <w:shd w:val="clear" w:color="auto" w:fill="auto"/>
            <w:vAlign w:val="center"/>
          </w:tcPr>
          <w:p w14:paraId="769AB36F">
            <w:pPr>
              <w:jc w:val="center"/>
              <w:rPr>
                <w:rFonts w:hint="eastAsia" w:ascii="宋体" w:hAnsi="宋体" w:eastAsia="宋体" w:cs="宋体"/>
                <w:i w:val="0"/>
                <w:iCs w:val="0"/>
                <w:color w:val="000000"/>
                <w:sz w:val="16"/>
                <w:szCs w:val="16"/>
                <w:u w:val="none"/>
              </w:rPr>
            </w:pPr>
          </w:p>
        </w:tc>
        <w:tc>
          <w:tcPr>
            <w:tcW w:w="88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9FB6337">
            <w:pPr>
              <w:jc w:val="center"/>
              <w:rPr>
                <w:rFonts w:hint="eastAsia" w:ascii="宋体" w:hAnsi="宋体" w:eastAsia="宋体" w:cs="宋体"/>
                <w:i w:val="0"/>
                <w:iCs w:val="0"/>
                <w:color w:val="000000"/>
                <w:sz w:val="16"/>
                <w:szCs w:val="16"/>
                <w:u w:val="none"/>
              </w:rPr>
            </w:pPr>
          </w:p>
        </w:tc>
        <w:tc>
          <w:tcPr>
            <w:tcW w:w="209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143D911">
            <w:pPr>
              <w:jc w:val="left"/>
              <w:rPr>
                <w:rFonts w:hint="eastAsia" w:ascii="宋体" w:hAnsi="宋体" w:eastAsia="宋体" w:cs="宋体"/>
                <w:i w:val="0"/>
                <w:iCs w:val="0"/>
                <w:color w:val="000000"/>
                <w:sz w:val="16"/>
                <w:szCs w:val="16"/>
                <w:u w:val="none"/>
              </w:rPr>
            </w:pPr>
          </w:p>
        </w:tc>
        <w:tc>
          <w:tcPr>
            <w:tcW w:w="9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9C25C7">
            <w:pPr>
              <w:jc w:val="center"/>
              <w:rPr>
                <w:rFonts w:hint="default" w:ascii="Calibri" w:hAnsi="Calibri" w:eastAsia="宋体" w:cs="Calibri"/>
                <w:i w:val="0"/>
                <w:iCs w:val="0"/>
                <w:color w:val="000000"/>
                <w:sz w:val="21"/>
                <w:szCs w:val="21"/>
                <w:u w:val="none"/>
              </w:rPr>
            </w:pPr>
          </w:p>
        </w:tc>
        <w:tc>
          <w:tcPr>
            <w:tcW w:w="9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B96475">
            <w:pPr>
              <w:jc w:val="center"/>
              <w:rPr>
                <w:rFonts w:hint="default" w:ascii="Calibri" w:hAnsi="Calibri" w:eastAsia="宋体" w:cs="Calibri"/>
                <w:i w:val="0"/>
                <w:iCs w:val="0"/>
                <w:color w:val="000000"/>
                <w:sz w:val="21"/>
                <w:szCs w:val="21"/>
                <w:u w:val="none"/>
              </w:rPr>
            </w:pPr>
          </w:p>
        </w:tc>
        <w:tc>
          <w:tcPr>
            <w:tcW w:w="18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071E5F">
            <w:pPr>
              <w:jc w:val="center"/>
              <w:rPr>
                <w:rFonts w:hint="default" w:ascii="Calibri" w:hAnsi="Calibri" w:eastAsia="宋体" w:cs="Calibri"/>
                <w:i w:val="0"/>
                <w:iCs w:val="0"/>
                <w:color w:val="000000"/>
                <w:sz w:val="21"/>
                <w:szCs w:val="21"/>
                <w:u w:val="none"/>
              </w:rPr>
            </w:pPr>
          </w:p>
        </w:tc>
      </w:tr>
      <w:tr w14:paraId="70BE3E4B">
        <w:tblPrEx>
          <w:shd w:val="clear" w:color="auto" w:fill="auto"/>
          <w:tblCellMar>
            <w:top w:w="0" w:type="dxa"/>
            <w:left w:w="108" w:type="dxa"/>
            <w:bottom w:w="0" w:type="dxa"/>
            <w:right w:w="108" w:type="dxa"/>
          </w:tblCellMar>
        </w:tblPrEx>
        <w:trPr>
          <w:trHeight w:val="618" w:hRule="atLeast"/>
        </w:trPr>
        <w:tc>
          <w:tcPr>
            <w:tcW w:w="1078" w:type="dxa"/>
            <w:vMerge w:val="continue"/>
            <w:tcBorders>
              <w:top w:val="single" w:color="000000" w:sz="4" w:space="0"/>
              <w:left w:val="single" w:color="000000" w:sz="4" w:space="0"/>
              <w:bottom w:val="single" w:color="000000" w:sz="4" w:space="0"/>
              <w:right w:val="nil"/>
            </w:tcBorders>
            <w:shd w:val="clear" w:color="auto" w:fill="auto"/>
            <w:vAlign w:val="center"/>
          </w:tcPr>
          <w:p w14:paraId="15F4C287">
            <w:pPr>
              <w:jc w:val="center"/>
              <w:rPr>
                <w:rFonts w:hint="eastAsia" w:ascii="宋体" w:hAnsi="宋体" w:eastAsia="宋体" w:cs="宋体"/>
                <w:i w:val="0"/>
                <w:iCs w:val="0"/>
                <w:color w:val="000000"/>
                <w:sz w:val="16"/>
                <w:szCs w:val="16"/>
                <w:u w:val="none"/>
              </w:rPr>
            </w:pPr>
          </w:p>
        </w:tc>
        <w:tc>
          <w:tcPr>
            <w:tcW w:w="1282" w:type="dxa"/>
            <w:vMerge w:val="continue"/>
            <w:tcBorders>
              <w:top w:val="single" w:color="000000" w:sz="4" w:space="0"/>
              <w:left w:val="single" w:color="000000" w:sz="4" w:space="0"/>
              <w:bottom w:val="nil"/>
              <w:right w:val="single" w:color="000000" w:sz="4" w:space="0"/>
            </w:tcBorders>
            <w:shd w:val="clear" w:color="auto" w:fill="auto"/>
            <w:vAlign w:val="center"/>
          </w:tcPr>
          <w:p w14:paraId="7CE18E9C">
            <w:pPr>
              <w:jc w:val="center"/>
              <w:rPr>
                <w:rFonts w:hint="eastAsia" w:ascii="宋体" w:hAnsi="宋体" w:eastAsia="宋体" w:cs="宋体"/>
                <w:i w:val="0"/>
                <w:iCs w:val="0"/>
                <w:color w:val="000000"/>
                <w:sz w:val="16"/>
                <w:szCs w:val="16"/>
                <w:u w:val="none"/>
              </w:rPr>
            </w:pPr>
          </w:p>
        </w:tc>
        <w:tc>
          <w:tcPr>
            <w:tcW w:w="887"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2F881D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质量指标</w:t>
            </w:r>
          </w:p>
        </w:tc>
        <w:tc>
          <w:tcPr>
            <w:tcW w:w="209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0171235">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在中央、省、市级媒体刊播宣传藁城稿件（篇）</w:t>
            </w:r>
          </w:p>
        </w:tc>
        <w:tc>
          <w:tcPr>
            <w:tcW w:w="9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EF126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≥260篇</w:t>
            </w:r>
          </w:p>
        </w:tc>
        <w:tc>
          <w:tcPr>
            <w:tcW w:w="9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9D189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350%</w:t>
            </w:r>
          </w:p>
        </w:tc>
        <w:tc>
          <w:tcPr>
            <w:tcW w:w="18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A0239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20</w:t>
            </w:r>
          </w:p>
        </w:tc>
      </w:tr>
      <w:tr w14:paraId="0C25C9EF">
        <w:tblPrEx>
          <w:shd w:val="clear" w:color="auto" w:fill="auto"/>
          <w:tblCellMar>
            <w:top w:w="0" w:type="dxa"/>
            <w:left w:w="108" w:type="dxa"/>
            <w:bottom w:w="0" w:type="dxa"/>
            <w:right w:w="108" w:type="dxa"/>
          </w:tblCellMar>
        </w:tblPrEx>
        <w:trPr>
          <w:trHeight w:val="314" w:hRule="atLeast"/>
        </w:trPr>
        <w:tc>
          <w:tcPr>
            <w:tcW w:w="1078" w:type="dxa"/>
            <w:vMerge w:val="continue"/>
            <w:tcBorders>
              <w:top w:val="single" w:color="000000" w:sz="4" w:space="0"/>
              <w:left w:val="single" w:color="000000" w:sz="4" w:space="0"/>
              <w:bottom w:val="single" w:color="000000" w:sz="4" w:space="0"/>
              <w:right w:val="nil"/>
            </w:tcBorders>
            <w:shd w:val="clear" w:color="auto" w:fill="auto"/>
            <w:vAlign w:val="center"/>
          </w:tcPr>
          <w:p w14:paraId="6A8B6A20">
            <w:pPr>
              <w:jc w:val="center"/>
              <w:rPr>
                <w:rFonts w:hint="eastAsia" w:ascii="宋体" w:hAnsi="宋体" w:eastAsia="宋体" w:cs="宋体"/>
                <w:i w:val="0"/>
                <w:iCs w:val="0"/>
                <w:color w:val="000000"/>
                <w:sz w:val="16"/>
                <w:szCs w:val="16"/>
                <w:u w:val="none"/>
              </w:rPr>
            </w:pPr>
          </w:p>
        </w:tc>
        <w:tc>
          <w:tcPr>
            <w:tcW w:w="1282" w:type="dxa"/>
            <w:vMerge w:val="continue"/>
            <w:tcBorders>
              <w:top w:val="single" w:color="000000" w:sz="4" w:space="0"/>
              <w:left w:val="single" w:color="000000" w:sz="4" w:space="0"/>
              <w:bottom w:val="nil"/>
              <w:right w:val="single" w:color="000000" w:sz="4" w:space="0"/>
            </w:tcBorders>
            <w:shd w:val="clear" w:color="auto" w:fill="auto"/>
            <w:vAlign w:val="center"/>
          </w:tcPr>
          <w:p w14:paraId="3704C4F5">
            <w:pPr>
              <w:jc w:val="center"/>
              <w:rPr>
                <w:rFonts w:hint="eastAsia" w:ascii="宋体" w:hAnsi="宋体" w:eastAsia="宋体" w:cs="宋体"/>
                <w:i w:val="0"/>
                <w:iCs w:val="0"/>
                <w:color w:val="000000"/>
                <w:sz w:val="16"/>
                <w:szCs w:val="16"/>
                <w:u w:val="none"/>
              </w:rPr>
            </w:pPr>
          </w:p>
        </w:tc>
        <w:tc>
          <w:tcPr>
            <w:tcW w:w="88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5B53173">
            <w:pPr>
              <w:jc w:val="center"/>
              <w:rPr>
                <w:rFonts w:hint="eastAsia" w:ascii="宋体" w:hAnsi="宋体" w:eastAsia="宋体" w:cs="宋体"/>
                <w:i w:val="0"/>
                <w:iCs w:val="0"/>
                <w:color w:val="000000"/>
                <w:sz w:val="16"/>
                <w:szCs w:val="16"/>
                <w:u w:val="none"/>
              </w:rPr>
            </w:pPr>
          </w:p>
        </w:tc>
        <w:tc>
          <w:tcPr>
            <w:tcW w:w="209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CF0A1D2">
            <w:pPr>
              <w:jc w:val="left"/>
              <w:rPr>
                <w:rFonts w:hint="eastAsia" w:ascii="宋体" w:hAnsi="宋体" w:eastAsia="宋体" w:cs="宋体"/>
                <w:i w:val="0"/>
                <w:iCs w:val="0"/>
                <w:color w:val="000000"/>
                <w:sz w:val="16"/>
                <w:szCs w:val="16"/>
                <w:u w:val="none"/>
              </w:rPr>
            </w:pPr>
          </w:p>
        </w:tc>
        <w:tc>
          <w:tcPr>
            <w:tcW w:w="9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474DB6">
            <w:pPr>
              <w:jc w:val="center"/>
              <w:rPr>
                <w:rFonts w:hint="default" w:ascii="Calibri" w:hAnsi="Calibri" w:eastAsia="宋体" w:cs="Calibri"/>
                <w:i w:val="0"/>
                <w:iCs w:val="0"/>
                <w:color w:val="000000"/>
                <w:sz w:val="21"/>
                <w:szCs w:val="21"/>
                <w:u w:val="none"/>
              </w:rPr>
            </w:pPr>
          </w:p>
        </w:tc>
        <w:tc>
          <w:tcPr>
            <w:tcW w:w="9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34FFC9">
            <w:pPr>
              <w:jc w:val="center"/>
              <w:rPr>
                <w:rFonts w:hint="default" w:ascii="Calibri" w:hAnsi="Calibri" w:eastAsia="宋体" w:cs="Calibri"/>
                <w:i w:val="0"/>
                <w:iCs w:val="0"/>
                <w:color w:val="000000"/>
                <w:sz w:val="21"/>
                <w:szCs w:val="21"/>
                <w:u w:val="none"/>
              </w:rPr>
            </w:pPr>
          </w:p>
        </w:tc>
        <w:tc>
          <w:tcPr>
            <w:tcW w:w="18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5AD69D">
            <w:pPr>
              <w:jc w:val="center"/>
              <w:rPr>
                <w:rFonts w:hint="default" w:ascii="Calibri" w:hAnsi="Calibri" w:eastAsia="宋体" w:cs="Calibri"/>
                <w:i w:val="0"/>
                <w:iCs w:val="0"/>
                <w:color w:val="000000"/>
                <w:sz w:val="21"/>
                <w:szCs w:val="21"/>
                <w:u w:val="none"/>
              </w:rPr>
            </w:pPr>
          </w:p>
        </w:tc>
      </w:tr>
      <w:tr w14:paraId="7AD656AE">
        <w:tblPrEx>
          <w:tblCellMar>
            <w:top w:w="0" w:type="dxa"/>
            <w:left w:w="108" w:type="dxa"/>
            <w:bottom w:w="0" w:type="dxa"/>
            <w:right w:w="108" w:type="dxa"/>
          </w:tblCellMar>
        </w:tblPrEx>
        <w:trPr>
          <w:trHeight w:val="314" w:hRule="atLeast"/>
        </w:trPr>
        <w:tc>
          <w:tcPr>
            <w:tcW w:w="1078" w:type="dxa"/>
            <w:vMerge w:val="continue"/>
            <w:tcBorders>
              <w:top w:val="single" w:color="000000" w:sz="4" w:space="0"/>
              <w:left w:val="single" w:color="000000" w:sz="4" w:space="0"/>
              <w:bottom w:val="single" w:color="000000" w:sz="4" w:space="0"/>
              <w:right w:val="nil"/>
            </w:tcBorders>
            <w:shd w:val="clear" w:color="auto" w:fill="auto"/>
            <w:vAlign w:val="center"/>
          </w:tcPr>
          <w:p w14:paraId="4EBFC546">
            <w:pPr>
              <w:jc w:val="center"/>
              <w:rPr>
                <w:rFonts w:hint="eastAsia" w:ascii="宋体" w:hAnsi="宋体" w:eastAsia="宋体" w:cs="宋体"/>
                <w:i w:val="0"/>
                <w:iCs w:val="0"/>
                <w:color w:val="000000"/>
                <w:sz w:val="16"/>
                <w:szCs w:val="16"/>
                <w:u w:val="none"/>
              </w:rPr>
            </w:pPr>
          </w:p>
        </w:tc>
        <w:tc>
          <w:tcPr>
            <w:tcW w:w="1282" w:type="dxa"/>
            <w:vMerge w:val="continue"/>
            <w:tcBorders>
              <w:top w:val="single" w:color="000000" w:sz="4" w:space="0"/>
              <w:left w:val="single" w:color="000000" w:sz="4" w:space="0"/>
              <w:bottom w:val="nil"/>
              <w:right w:val="single" w:color="000000" w:sz="4" w:space="0"/>
            </w:tcBorders>
            <w:shd w:val="clear" w:color="auto" w:fill="auto"/>
            <w:vAlign w:val="center"/>
          </w:tcPr>
          <w:p w14:paraId="64242334">
            <w:pPr>
              <w:jc w:val="center"/>
              <w:rPr>
                <w:rFonts w:hint="eastAsia" w:ascii="宋体" w:hAnsi="宋体" w:eastAsia="宋体" w:cs="宋体"/>
                <w:i w:val="0"/>
                <w:iCs w:val="0"/>
                <w:color w:val="000000"/>
                <w:sz w:val="16"/>
                <w:szCs w:val="16"/>
                <w:u w:val="none"/>
              </w:rPr>
            </w:pPr>
          </w:p>
        </w:tc>
        <w:tc>
          <w:tcPr>
            <w:tcW w:w="88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8F57A63">
            <w:pPr>
              <w:jc w:val="center"/>
              <w:rPr>
                <w:rFonts w:hint="eastAsia" w:ascii="宋体" w:hAnsi="宋体" w:eastAsia="宋体" w:cs="宋体"/>
                <w:i w:val="0"/>
                <w:iCs w:val="0"/>
                <w:color w:val="000000"/>
                <w:sz w:val="16"/>
                <w:szCs w:val="16"/>
                <w:u w:val="none"/>
              </w:rPr>
            </w:pPr>
          </w:p>
        </w:tc>
        <w:tc>
          <w:tcPr>
            <w:tcW w:w="209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D055A41">
            <w:pPr>
              <w:jc w:val="left"/>
              <w:rPr>
                <w:rFonts w:hint="eastAsia" w:ascii="宋体" w:hAnsi="宋体" w:eastAsia="宋体" w:cs="宋体"/>
                <w:i w:val="0"/>
                <w:iCs w:val="0"/>
                <w:color w:val="000000"/>
                <w:sz w:val="16"/>
                <w:szCs w:val="16"/>
                <w:u w:val="none"/>
              </w:rPr>
            </w:pPr>
          </w:p>
        </w:tc>
        <w:tc>
          <w:tcPr>
            <w:tcW w:w="9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CA1AA4">
            <w:pPr>
              <w:jc w:val="center"/>
              <w:rPr>
                <w:rFonts w:hint="default" w:ascii="Calibri" w:hAnsi="Calibri" w:eastAsia="宋体" w:cs="Calibri"/>
                <w:i w:val="0"/>
                <w:iCs w:val="0"/>
                <w:color w:val="000000"/>
                <w:sz w:val="21"/>
                <w:szCs w:val="21"/>
                <w:u w:val="none"/>
              </w:rPr>
            </w:pPr>
          </w:p>
        </w:tc>
        <w:tc>
          <w:tcPr>
            <w:tcW w:w="9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C80F9E">
            <w:pPr>
              <w:jc w:val="center"/>
              <w:rPr>
                <w:rFonts w:hint="default" w:ascii="Calibri" w:hAnsi="Calibri" w:eastAsia="宋体" w:cs="Calibri"/>
                <w:i w:val="0"/>
                <w:iCs w:val="0"/>
                <w:color w:val="000000"/>
                <w:sz w:val="21"/>
                <w:szCs w:val="21"/>
                <w:u w:val="none"/>
              </w:rPr>
            </w:pPr>
          </w:p>
        </w:tc>
        <w:tc>
          <w:tcPr>
            <w:tcW w:w="18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8FBDFB">
            <w:pPr>
              <w:jc w:val="center"/>
              <w:rPr>
                <w:rFonts w:hint="default" w:ascii="Calibri" w:hAnsi="Calibri" w:eastAsia="宋体" w:cs="Calibri"/>
                <w:i w:val="0"/>
                <w:iCs w:val="0"/>
                <w:color w:val="000000"/>
                <w:sz w:val="21"/>
                <w:szCs w:val="21"/>
                <w:u w:val="none"/>
              </w:rPr>
            </w:pPr>
          </w:p>
        </w:tc>
      </w:tr>
      <w:tr w14:paraId="42E1699A">
        <w:tblPrEx>
          <w:shd w:val="clear" w:color="auto" w:fill="auto"/>
          <w:tblCellMar>
            <w:top w:w="0" w:type="dxa"/>
            <w:left w:w="108" w:type="dxa"/>
            <w:bottom w:w="0" w:type="dxa"/>
            <w:right w:w="108" w:type="dxa"/>
          </w:tblCellMar>
        </w:tblPrEx>
        <w:trPr>
          <w:trHeight w:val="314" w:hRule="atLeast"/>
        </w:trPr>
        <w:tc>
          <w:tcPr>
            <w:tcW w:w="1078" w:type="dxa"/>
            <w:vMerge w:val="continue"/>
            <w:tcBorders>
              <w:top w:val="single" w:color="000000" w:sz="4" w:space="0"/>
              <w:left w:val="single" w:color="000000" w:sz="4" w:space="0"/>
              <w:bottom w:val="single" w:color="000000" w:sz="4" w:space="0"/>
              <w:right w:val="nil"/>
            </w:tcBorders>
            <w:shd w:val="clear" w:color="auto" w:fill="auto"/>
            <w:vAlign w:val="center"/>
          </w:tcPr>
          <w:p w14:paraId="6076C917">
            <w:pPr>
              <w:jc w:val="center"/>
              <w:rPr>
                <w:rFonts w:hint="eastAsia" w:ascii="宋体" w:hAnsi="宋体" w:eastAsia="宋体" w:cs="宋体"/>
                <w:i w:val="0"/>
                <w:iCs w:val="0"/>
                <w:color w:val="000000"/>
                <w:sz w:val="16"/>
                <w:szCs w:val="16"/>
                <w:u w:val="none"/>
              </w:rPr>
            </w:pPr>
          </w:p>
        </w:tc>
        <w:tc>
          <w:tcPr>
            <w:tcW w:w="1282" w:type="dxa"/>
            <w:vMerge w:val="continue"/>
            <w:tcBorders>
              <w:top w:val="single" w:color="000000" w:sz="4" w:space="0"/>
              <w:left w:val="single" w:color="000000" w:sz="4" w:space="0"/>
              <w:bottom w:val="nil"/>
              <w:right w:val="single" w:color="000000" w:sz="4" w:space="0"/>
            </w:tcBorders>
            <w:shd w:val="clear" w:color="auto" w:fill="auto"/>
            <w:vAlign w:val="center"/>
          </w:tcPr>
          <w:p w14:paraId="0368F421">
            <w:pPr>
              <w:jc w:val="center"/>
              <w:rPr>
                <w:rFonts w:hint="eastAsia" w:ascii="宋体" w:hAnsi="宋体" w:eastAsia="宋体" w:cs="宋体"/>
                <w:i w:val="0"/>
                <w:iCs w:val="0"/>
                <w:color w:val="000000"/>
                <w:sz w:val="16"/>
                <w:szCs w:val="16"/>
                <w:u w:val="none"/>
              </w:rPr>
            </w:pPr>
          </w:p>
        </w:tc>
        <w:tc>
          <w:tcPr>
            <w:tcW w:w="887"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C960AE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时效指标</w:t>
            </w:r>
          </w:p>
        </w:tc>
        <w:tc>
          <w:tcPr>
            <w:tcW w:w="209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4826BA6">
            <w:pPr>
              <w:jc w:val="left"/>
              <w:rPr>
                <w:rFonts w:hint="eastAsia" w:ascii="宋体" w:hAnsi="宋体" w:eastAsia="宋体" w:cs="宋体"/>
                <w:i w:val="0"/>
                <w:iCs w:val="0"/>
                <w:color w:val="000000"/>
                <w:sz w:val="16"/>
                <w:szCs w:val="16"/>
                <w:u w:val="none"/>
              </w:rPr>
            </w:pPr>
          </w:p>
        </w:tc>
        <w:tc>
          <w:tcPr>
            <w:tcW w:w="9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570C50">
            <w:pPr>
              <w:jc w:val="center"/>
              <w:rPr>
                <w:rFonts w:hint="default" w:ascii="Calibri" w:hAnsi="Calibri" w:eastAsia="宋体" w:cs="Calibri"/>
                <w:i w:val="0"/>
                <w:iCs w:val="0"/>
                <w:color w:val="000000"/>
                <w:sz w:val="21"/>
                <w:szCs w:val="21"/>
                <w:u w:val="none"/>
              </w:rPr>
            </w:pPr>
          </w:p>
        </w:tc>
        <w:tc>
          <w:tcPr>
            <w:tcW w:w="9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4118A8">
            <w:pPr>
              <w:jc w:val="center"/>
              <w:rPr>
                <w:rFonts w:hint="default" w:ascii="Calibri" w:hAnsi="Calibri" w:eastAsia="宋体" w:cs="Calibri"/>
                <w:i w:val="0"/>
                <w:iCs w:val="0"/>
                <w:color w:val="000000"/>
                <w:sz w:val="21"/>
                <w:szCs w:val="21"/>
                <w:u w:val="none"/>
              </w:rPr>
            </w:pPr>
          </w:p>
        </w:tc>
        <w:tc>
          <w:tcPr>
            <w:tcW w:w="18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F15418">
            <w:pPr>
              <w:jc w:val="center"/>
              <w:rPr>
                <w:rFonts w:hint="default" w:ascii="Calibri" w:hAnsi="Calibri" w:eastAsia="宋体" w:cs="Calibri"/>
                <w:i w:val="0"/>
                <w:iCs w:val="0"/>
                <w:color w:val="000000"/>
                <w:sz w:val="21"/>
                <w:szCs w:val="21"/>
                <w:u w:val="none"/>
              </w:rPr>
            </w:pPr>
          </w:p>
        </w:tc>
      </w:tr>
      <w:tr w14:paraId="57334479">
        <w:tblPrEx>
          <w:shd w:val="clear" w:color="auto" w:fill="auto"/>
          <w:tblCellMar>
            <w:top w:w="0" w:type="dxa"/>
            <w:left w:w="108" w:type="dxa"/>
            <w:bottom w:w="0" w:type="dxa"/>
            <w:right w:w="108" w:type="dxa"/>
          </w:tblCellMar>
        </w:tblPrEx>
        <w:trPr>
          <w:trHeight w:val="314" w:hRule="atLeast"/>
        </w:trPr>
        <w:tc>
          <w:tcPr>
            <w:tcW w:w="1078" w:type="dxa"/>
            <w:vMerge w:val="continue"/>
            <w:tcBorders>
              <w:top w:val="single" w:color="000000" w:sz="4" w:space="0"/>
              <w:left w:val="single" w:color="000000" w:sz="4" w:space="0"/>
              <w:bottom w:val="single" w:color="000000" w:sz="4" w:space="0"/>
              <w:right w:val="nil"/>
            </w:tcBorders>
            <w:shd w:val="clear" w:color="auto" w:fill="auto"/>
            <w:vAlign w:val="center"/>
          </w:tcPr>
          <w:p w14:paraId="0C0D6256">
            <w:pPr>
              <w:jc w:val="center"/>
              <w:rPr>
                <w:rFonts w:hint="eastAsia" w:ascii="宋体" w:hAnsi="宋体" w:eastAsia="宋体" w:cs="宋体"/>
                <w:i w:val="0"/>
                <w:iCs w:val="0"/>
                <w:color w:val="000000"/>
                <w:sz w:val="16"/>
                <w:szCs w:val="16"/>
                <w:u w:val="none"/>
              </w:rPr>
            </w:pPr>
          </w:p>
        </w:tc>
        <w:tc>
          <w:tcPr>
            <w:tcW w:w="1282" w:type="dxa"/>
            <w:vMerge w:val="continue"/>
            <w:tcBorders>
              <w:top w:val="single" w:color="000000" w:sz="4" w:space="0"/>
              <w:left w:val="single" w:color="000000" w:sz="4" w:space="0"/>
              <w:bottom w:val="nil"/>
              <w:right w:val="single" w:color="000000" w:sz="4" w:space="0"/>
            </w:tcBorders>
            <w:shd w:val="clear" w:color="auto" w:fill="auto"/>
            <w:vAlign w:val="center"/>
          </w:tcPr>
          <w:p w14:paraId="0A981960">
            <w:pPr>
              <w:jc w:val="center"/>
              <w:rPr>
                <w:rFonts w:hint="eastAsia" w:ascii="宋体" w:hAnsi="宋体" w:eastAsia="宋体" w:cs="宋体"/>
                <w:i w:val="0"/>
                <w:iCs w:val="0"/>
                <w:color w:val="000000"/>
                <w:sz w:val="16"/>
                <w:szCs w:val="16"/>
                <w:u w:val="none"/>
              </w:rPr>
            </w:pPr>
          </w:p>
        </w:tc>
        <w:tc>
          <w:tcPr>
            <w:tcW w:w="88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3001B88">
            <w:pPr>
              <w:jc w:val="center"/>
              <w:rPr>
                <w:rFonts w:hint="eastAsia" w:ascii="宋体" w:hAnsi="宋体" w:eastAsia="宋体" w:cs="宋体"/>
                <w:i w:val="0"/>
                <w:iCs w:val="0"/>
                <w:color w:val="000000"/>
                <w:sz w:val="16"/>
                <w:szCs w:val="16"/>
                <w:u w:val="none"/>
              </w:rPr>
            </w:pPr>
          </w:p>
        </w:tc>
        <w:tc>
          <w:tcPr>
            <w:tcW w:w="209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E3C726D">
            <w:pPr>
              <w:jc w:val="left"/>
              <w:rPr>
                <w:rFonts w:hint="eastAsia" w:ascii="宋体" w:hAnsi="宋体" w:eastAsia="宋体" w:cs="宋体"/>
                <w:i w:val="0"/>
                <w:iCs w:val="0"/>
                <w:color w:val="000000"/>
                <w:sz w:val="16"/>
                <w:szCs w:val="16"/>
                <w:u w:val="none"/>
              </w:rPr>
            </w:pPr>
          </w:p>
        </w:tc>
        <w:tc>
          <w:tcPr>
            <w:tcW w:w="9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FDCAD5">
            <w:pPr>
              <w:jc w:val="center"/>
              <w:rPr>
                <w:rFonts w:hint="default" w:ascii="Calibri" w:hAnsi="Calibri" w:eastAsia="宋体" w:cs="Calibri"/>
                <w:i w:val="0"/>
                <w:iCs w:val="0"/>
                <w:color w:val="000000"/>
                <w:sz w:val="21"/>
                <w:szCs w:val="21"/>
                <w:u w:val="none"/>
              </w:rPr>
            </w:pPr>
          </w:p>
        </w:tc>
        <w:tc>
          <w:tcPr>
            <w:tcW w:w="9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B9B49A">
            <w:pPr>
              <w:jc w:val="center"/>
              <w:rPr>
                <w:rFonts w:hint="default" w:ascii="Calibri" w:hAnsi="Calibri" w:eastAsia="宋体" w:cs="Calibri"/>
                <w:i w:val="0"/>
                <w:iCs w:val="0"/>
                <w:color w:val="000000"/>
                <w:sz w:val="21"/>
                <w:szCs w:val="21"/>
                <w:u w:val="none"/>
              </w:rPr>
            </w:pPr>
          </w:p>
        </w:tc>
        <w:tc>
          <w:tcPr>
            <w:tcW w:w="18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4AA01D">
            <w:pPr>
              <w:jc w:val="center"/>
              <w:rPr>
                <w:rFonts w:hint="default" w:ascii="Calibri" w:hAnsi="Calibri" w:eastAsia="宋体" w:cs="Calibri"/>
                <w:i w:val="0"/>
                <w:iCs w:val="0"/>
                <w:color w:val="000000"/>
                <w:sz w:val="21"/>
                <w:szCs w:val="21"/>
                <w:u w:val="none"/>
              </w:rPr>
            </w:pPr>
          </w:p>
        </w:tc>
      </w:tr>
      <w:tr w14:paraId="11587009">
        <w:tblPrEx>
          <w:shd w:val="clear" w:color="auto" w:fill="auto"/>
          <w:tblCellMar>
            <w:top w:w="0" w:type="dxa"/>
            <w:left w:w="108" w:type="dxa"/>
            <w:bottom w:w="0" w:type="dxa"/>
            <w:right w:w="108" w:type="dxa"/>
          </w:tblCellMar>
        </w:tblPrEx>
        <w:trPr>
          <w:trHeight w:val="314" w:hRule="atLeast"/>
        </w:trPr>
        <w:tc>
          <w:tcPr>
            <w:tcW w:w="1078" w:type="dxa"/>
            <w:vMerge w:val="continue"/>
            <w:tcBorders>
              <w:top w:val="single" w:color="000000" w:sz="4" w:space="0"/>
              <w:left w:val="single" w:color="000000" w:sz="4" w:space="0"/>
              <w:bottom w:val="single" w:color="000000" w:sz="4" w:space="0"/>
              <w:right w:val="nil"/>
            </w:tcBorders>
            <w:shd w:val="clear" w:color="auto" w:fill="auto"/>
            <w:vAlign w:val="center"/>
          </w:tcPr>
          <w:p w14:paraId="144F72B0">
            <w:pPr>
              <w:jc w:val="center"/>
              <w:rPr>
                <w:rFonts w:hint="eastAsia" w:ascii="宋体" w:hAnsi="宋体" w:eastAsia="宋体" w:cs="宋体"/>
                <w:i w:val="0"/>
                <w:iCs w:val="0"/>
                <w:color w:val="000000"/>
                <w:sz w:val="16"/>
                <w:szCs w:val="16"/>
                <w:u w:val="none"/>
              </w:rPr>
            </w:pPr>
          </w:p>
        </w:tc>
        <w:tc>
          <w:tcPr>
            <w:tcW w:w="1282" w:type="dxa"/>
            <w:vMerge w:val="continue"/>
            <w:tcBorders>
              <w:top w:val="single" w:color="000000" w:sz="4" w:space="0"/>
              <w:left w:val="single" w:color="000000" w:sz="4" w:space="0"/>
              <w:bottom w:val="nil"/>
              <w:right w:val="single" w:color="000000" w:sz="4" w:space="0"/>
            </w:tcBorders>
            <w:shd w:val="clear" w:color="auto" w:fill="auto"/>
            <w:vAlign w:val="center"/>
          </w:tcPr>
          <w:p w14:paraId="75CCC0BC">
            <w:pPr>
              <w:jc w:val="center"/>
              <w:rPr>
                <w:rFonts w:hint="eastAsia" w:ascii="宋体" w:hAnsi="宋体" w:eastAsia="宋体" w:cs="宋体"/>
                <w:i w:val="0"/>
                <w:iCs w:val="0"/>
                <w:color w:val="000000"/>
                <w:sz w:val="16"/>
                <w:szCs w:val="16"/>
                <w:u w:val="none"/>
              </w:rPr>
            </w:pPr>
          </w:p>
        </w:tc>
        <w:tc>
          <w:tcPr>
            <w:tcW w:w="88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E5CE174">
            <w:pPr>
              <w:jc w:val="center"/>
              <w:rPr>
                <w:rFonts w:hint="eastAsia" w:ascii="宋体" w:hAnsi="宋体" w:eastAsia="宋体" w:cs="宋体"/>
                <w:i w:val="0"/>
                <w:iCs w:val="0"/>
                <w:color w:val="000000"/>
                <w:sz w:val="16"/>
                <w:szCs w:val="16"/>
                <w:u w:val="none"/>
              </w:rPr>
            </w:pPr>
          </w:p>
        </w:tc>
        <w:tc>
          <w:tcPr>
            <w:tcW w:w="209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C5E8C3C">
            <w:pPr>
              <w:jc w:val="left"/>
              <w:rPr>
                <w:rFonts w:hint="eastAsia" w:ascii="宋体" w:hAnsi="宋体" w:eastAsia="宋体" w:cs="宋体"/>
                <w:i w:val="0"/>
                <w:iCs w:val="0"/>
                <w:color w:val="000000"/>
                <w:sz w:val="16"/>
                <w:szCs w:val="16"/>
                <w:u w:val="none"/>
              </w:rPr>
            </w:pPr>
          </w:p>
        </w:tc>
        <w:tc>
          <w:tcPr>
            <w:tcW w:w="9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64489D">
            <w:pPr>
              <w:jc w:val="center"/>
              <w:rPr>
                <w:rFonts w:hint="default" w:ascii="Calibri" w:hAnsi="Calibri" w:eastAsia="宋体" w:cs="Calibri"/>
                <w:i w:val="0"/>
                <w:iCs w:val="0"/>
                <w:color w:val="000000"/>
                <w:sz w:val="21"/>
                <w:szCs w:val="21"/>
                <w:u w:val="none"/>
              </w:rPr>
            </w:pPr>
          </w:p>
        </w:tc>
        <w:tc>
          <w:tcPr>
            <w:tcW w:w="9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48F399">
            <w:pPr>
              <w:jc w:val="center"/>
              <w:rPr>
                <w:rFonts w:hint="default" w:ascii="Calibri" w:hAnsi="Calibri" w:eastAsia="宋体" w:cs="Calibri"/>
                <w:i w:val="0"/>
                <w:iCs w:val="0"/>
                <w:color w:val="000000"/>
                <w:sz w:val="21"/>
                <w:szCs w:val="21"/>
                <w:u w:val="none"/>
              </w:rPr>
            </w:pPr>
          </w:p>
        </w:tc>
        <w:tc>
          <w:tcPr>
            <w:tcW w:w="18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75A935">
            <w:pPr>
              <w:jc w:val="center"/>
              <w:rPr>
                <w:rFonts w:hint="default" w:ascii="Calibri" w:hAnsi="Calibri" w:eastAsia="宋体" w:cs="Calibri"/>
                <w:i w:val="0"/>
                <w:iCs w:val="0"/>
                <w:color w:val="000000"/>
                <w:sz w:val="21"/>
                <w:szCs w:val="21"/>
                <w:u w:val="none"/>
              </w:rPr>
            </w:pPr>
          </w:p>
        </w:tc>
      </w:tr>
      <w:tr w14:paraId="708909C7">
        <w:tblPrEx>
          <w:shd w:val="clear" w:color="auto" w:fill="auto"/>
          <w:tblCellMar>
            <w:top w:w="0" w:type="dxa"/>
            <w:left w:w="108" w:type="dxa"/>
            <w:bottom w:w="0" w:type="dxa"/>
            <w:right w:w="108" w:type="dxa"/>
          </w:tblCellMar>
        </w:tblPrEx>
        <w:trPr>
          <w:trHeight w:val="314" w:hRule="atLeast"/>
        </w:trPr>
        <w:tc>
          <w:tcPr>
            <w:tcW w:w="1078" w:type="dxa"/>
            <w:vMerge w:val="continue"/>
            <w:tcBorders>
              <w:top w:val="single" w:color="000000" w:sz="4" w:space="0"/>
              <w:left w:val="single" w:color="000000" w:sz="4" w:space="0"/>
              <w:bottom w:val="single" w:color="000000" w:sz="4" w:space="0"/>
              <w:right w:val="nil"/>
            </w:tcBorders>
            <w:shd w:val="clear" w:color="auto" w:fill="auto"/>
            <w:vAlign w:val="center"/>
          </w:tcPr>
          <w:p w14:paraId="60BB5D24">
            <w:pPr>
              <w:jc w:val="center"/>
              <w:rPr>
                <w:rFonts w:hint="eastAsia" w:ascii="宋体" w:hAnsi="宋体" w:eastAsia="宋体" w:cs="宋体"/>
                <w:i w:val="0"/>
                <w:iCs w:val="0"/>
                <w:color w:val="000000"/>
                <w:sz w:val="16"/>
                <w:szCs w:val="16"/>
                <w:u w:val="none"/>
              </w:rPr>
            </w:pPr>
          </w:p>
        </w:tc>
        <w:tc>
          <w:tcPr>
            <w:tcW w:w="1282" w:type="dxa"/>
            <w:vMerge w:val="continue"/>
            <w:tcBorders>
              <w:top w:val="single" w:color="000000" w:sz="4" w:space="0"/>
              <w:left w:val="single" w:color="000000" w:sz="4" w:space="0"/>
              <w:bottom w:val="nil"/>
              <w:right w:val="single" w:color="000000" w:sz="4" w:space="0"/>
            </w:tcBorders>
            <w:shd w:val="clear" w:color="auto" w:fill="auto"/>
            <w:vAlign w:val="center"/>
          </w:tcPr>
          <w:p w14:paraId="746AE4A6">
            <w:pPr>
              <w:jc w:val="center"/>
              <w:rPr>
                <w:rFonts w:hint="eastAsia" w:ascii="宋体" w:hAnsi="宋体" w:eastAsia="宋体" w:cs="宋体"/>
                <w:i w:val="0"/>
                <w:iCs w:val="0"/>
                <w:color w:val="000000"/>
                <w:sz w:val="16"/>
                <w:szCs w:val="16"/>
                <w:u w:val="none"/>
              </w:rPr>
            </w:pPr>
          </w:p>
        </w:tc>
        <w:tc>
          <w:tcPr>
            <w:tcW w:w="887"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0A7F2B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成本指标</w:t>
            </w:r>
          </w:p>
        </w:tc>
        <w:tc>
          <w:tcPr>
            <w:tcW w:w="209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4E68AB2">
            <w:pPr>
              <w:jc w:val="left"/>
              <w:rPr>
                <w:rFonts w:hint="eastAsia" w:ascii="宋体" w:hAnsi="宋体" w:eastAsia="宋体" w:cs="宋体"/>
                <w:i w:val="0"/>
                <w:iCs w:val="0"/>
                <w:color w:val="000000"/>
                <w:sz w:val="16"/>
                <w:szCs w:val="16"/>
                <w:u w:val="none"/>
              </w:rPr>
            </w:pPr>
          </w:p>
        </w:tc>
        <w:tc>
          <w:tcPr>
            <w:tcW w:w="9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22589E">
            <w:pPr>
              <w:jc w:val="center"/>
              <w:rPr>
                <w:rFonts w:hint="default" w:ascii="Calibri" w:hAnsi="Calibri" w:eastAsia="宋体" w:cs="Calibri"/>
                <w:i w:val="0"/>
                <w:iCs w:val="0"/>
                <w:color w:val="000000"/>
                <w:sz w:val="21"/>
                <w:szCs w:val="21"/>
                <w:u w:val="none"/>
              </w:rPr>
            </w:pPr>
          </w:p>
        </w:tc>
        <w:tc>
          <w:tcPr>
            <w:tcW w:w="9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EBF183">
            <w:pPr>
              <w:jc w:val="center"/>
              <w:rPr>
                <w:rFonts w:hint="default" w:ascii="Calibri" w:hAnsi="Calibri" w:eastAsia="宋体" w:cs="Calibri"/>
                <w:i w:val="0"/>
                <w:iCs w:val="0"/>
                <w:color w:val="000000"/>
                <w:sz w:val="21"/>
                <w:szCs w:val="21"/>
                <w:u w:val="none"/>
              </w:rPr>
            </w:pPr>
          </w:p>
        </w:tc>
        <w:tc>
          <w:tcPr>
            <w:tcW w:w="18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C1E260">
            <w:pPr>
              <w:jc w:val="center"/>
              <w:rPr>
                <w:rFonts w:hint="default" w:ascii="Calibri" w:hAnsi="Calibri" w:eastAsia="宋体" w:cs="Calibri"/>
                <w:i w:val="0"/>
                <w:iCs w:val="0"/>
                <w:color w:val="000000"/>
                <w:sz w:val="21"/>
                <w:szCs w:val="21"/>
                <w:u w:val="none"/>
              </w:rPr>
            </w:pPr>
          </w:p>
        </w:tc>
      </w:tr>
      <w:tr w14:paraId="5DAF5DDD">
        <w:tblPrEx>
          <w:shd w:val="clear" w:color="auto" w:fill="auto"/>
          <w:tblCellMar>
            <w:top w:w="0" w:type="dxa"/>
            <w:left w:w="108" w:type="dxa"/>
            <w:bottom w:w="0" w:type="dxa"/>
            <w:right w:w="108" w:type="dxa"/>
          </w:tblCellMar>
        </w:tblPrEx>
        <w:trPr>
          <w:trHeight w:val="314" w:hRule="atLeast"/>
        </w:trPr>
        <w:tc>
          <w:tcPr>
            <w:tcW w:w="1078" w:type="dxa"/>
            <w:vMerge w:val="continue"/>
            <w:tcBorders>
              <w:top w:val="single" w:color="000000" w:sz="4" w:space="0"/>
              <w:left w:val="single" w:color="000000" w:sz="4" w:space="0"/>
              <w:bottom w:val="single" w:color="000000" w:sz="4" w:space="0"/>
              <w:right w:val="nil"/>
            </w:tcBorders>
            <w:shd w:val="clear" w:color="auto" w:fill="auto"/>
            <w:vAlign w:val="center"/>
          </w:tcPr>
          <w:p w14:paraId="340B6915">
            <w:pPr>
              <w:jc w:val="center"/>
              <w:rPr>
                <w:rFonts w:hint="eastAsia" w:ascii="宋体" w:hAnsi="宋体" w:eastAsia="宋体" w:cs="宋体"/>
                <w:i w:val="0"/>
                <w:iCs w:val="0"/>
                <w:color w:val="000000"/>
                <w:sz w:val="16"/>
                <w:szCs w:val="16"/>
                <w:u w:val="none"/>
              </w:rPr>
            </w:pPr>
          </w:p>
        </w:tc>
        <w:tc>
          <w:tcPr>
            <w:tcW w:w="1282" w:type="dxa"/>
            <w:vMerge w:val="continue"/>
            <w:tcBorders>
              <w:top w:val="single" w:color="000000" w:sz="4" w:space="0"/>
              <w:left w:val="single" w:color="000000" w:sz="4" w:space="0"/>
              <w:bottom w:val="nil"/>
              <w:right w:val="single" w:color="000000" w:sz="4" w:space="0"/>
            </w:tcBorders>
            <w:shd w:val="clear" w:color="auto" w:fill="auto"/>
            <w:vAlign w:val="center"/>
          </w:tcPr>
          <w:p w14:paraId="2364F28C">
            <w:pPr>
              <w:jc w:val="center"/>
              <w:rPr>
                <w:rFonts w:hint="eastAsia" w:ascii="宋体" w:hAnsi="宋体" w:eastAsia="宋体" w:cs="宋体"/>
                <w:i w:val="0"/>
                <w:iCs w:val="0"/>
                <w:color w:val="000000"/>
                <w:sz w:val="16"/>
                <w:szCs w:val="16"/>
                <w:u w:val="none"/>
              </w:rPr>
            </w:pPr>
          </w:p>
        </w:tc>
        <w:tc>
          <w:tcPr>
            <w:tcW w:w="88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B71E737">
            <w:pPr>
              <w:jc w:val="center"/>
              <w:rPr>
                <w:rFonts w:hint="eastAsia" w:ascii="宋体" w:hAnsi="宋体" w:eastAsia="宋体" w:cs="宋体"/>
                <w:i w:val="0"/>
                <w:iCs w:val="0"/>
                <w:color w:val="000000"/>
                <w:sz w:val="16"/>
                <w:szCs w:val="16"/>
                <w:u w:val="none"/>
              </w:rPr>
            </w:pPr>
          </w:p>
        </w:tc>
        <w:tc>
          <w:tcPr>
            <w:tcW w:w="209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41E6015">
            <w:pPr>
              <w:jc w:val="left"/>
              <w:rPr>
                <w:rFonts w:hint="eastAsia" w:ascii="宋体" w:hAnsi="宋体" w:eastAsia="宋体" w:cs="宋体"/>
                <w:i w:val="0"/>
                <w:iCs w:val="0"/>
                <w:color w:val="000000"/>
                <w:sz w:val="16"/>
                <w:szCs w:val="16"/>
                <w:u w:val="none"/>
              </w:rPr>
            </w:pPr>
          </w:p>
        </w:tc>
        <w:tc>
          <w:tcPr>
            <w:tcW w:w="9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69FBCE">
            <w:pPr>
              <w:jc w:val="center"/>
              <w:rPr>
                <w:rFonts w:hint="default" w:ascii="Calibri" w:hAnsi="Calibri" w:eastAsia="宋体" w:cs="Calibri"/>
                <w:i w:val="0"/>
                <w:iCs w:val="0"/>
                <w:color w:val="000000"/>
                <w:sz w:val="21"/>
                <w:szCs w:val="21"/>
                <w:u w:val="none"/>
              </w:rPr>
            </w:pPr>
          </w:p>
        </w:tc>
        <w:tc>
          <w:tcPr>
            <w:tcW w:w="9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A4B3BA">
            <w:pPr>
              <w:jc w:val="center"/>
              <w:rPr>
                <w:rFonts w:hint="default" w:ascii="Calibri" w:hAnsi="Calibri" w:eastAsia="宋体" w:cs="Calibri"/>
                <w:i w:val="0"/>
                <w:iCs w:val="0"/>
                <w:color w:val="000000"/>
                <w:sz w:val="21"/>
                <w:szCs w:val="21"/>
                <w:u w:val="none"/>
              </w:rPr>
            </w:pPr>
          </w:p>
        </w:tc>
        <w:tc>
          <w:tcPr>
            <w:tcW w:w="18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F88566">
            <w:pPr>
              <w:jc w:val="center"/>
              <w:rPr>
                <w:rFonts w:hint="default" w:ascii="Calibri" w:hAnsi="Calibri" w:eastAsia="宋体" w:cs="Calibri"/>
                <w:i w:val="0"/>
                <w:iCs w:val="0"/>
                <w:color w:val="000000"/>
                <w:sz w:val="21"/>
                <w:szCs w:val="21"/>
                <w:u w:val="none"/>
              </w:rPr>
            </w:pPr>
          </w:p>
        </w:tc>
      </w:tr>
      <w:tr w14:paraId="6DF427A3">
        <w:tblPrEx>
          <w:shd w:val="clear" w:color="auto" w:fill="auto"/>
          <w:tblCellMar>
            <w:top w:w="0" w:type="dxa"/>
            <w:left w:w="108" w:type="dxa"/>
            <w:bottom w:w="0" w:type="dxa"/>
            <w:right w:w="108" w:type="dxa"/>
          </w:tblCellMar>
        </w:tblPrEx>
        <w:trPr>
          <w:trHeight w:val="314" w:hRule="atLeast"/>
        </w:trPr>
        <w:tc>
          <w:tcPr>
            <w:tcW w:w="1078" w:type="dxa"/>
            <w:vMerge w:val="continue"/>
            <w:tcBorders>
              <w:top w:val="single" w:color="000000" w:sz="4" w:space="0"/>
              <w:left w:val="single" w:color="000000" w:sz="4" w:space="0"/>
              <w:bottom w:val="single" w:color="000000" w:sz="4" w:space="0"/>
              <w:right w:val="nil"/>
            </w:tcBorders>
            <w:shd w:val="clear" w:color="auto" w:fill="auto"/>
            <w:vAlign w:val="center"/>
          </w:tcPr>
          <w:p w14:paraId="340E4BE9">
            <w:pPr>
              <w:jc w:val="center"/>
              <w:rPr>
                <w:rFonts w:hint="eastAsia" w:ascii="宋体" w:hAnsi="宋体" w:eastAsia="宋体" w:cs="宋体"/>
                <w:i w:val="0"/>
                <w:iCs w:val="0"/>
                <w:color w:val="000000"/>
                <w:sz w:val="16"/>
                <w:szCs w:val="16"/>
                <w:u w:val="none"/>
              </w:rPr>
            </w:pPr>
          </w:p>
        </w:tc>
        <w:tc>
          <w:tcPr>
            <w:tcW w:w="1282" w:type="dxa"/>
            <w:vMerge w:val="continue"/>
            <w:tcBorders>
              <w:top w:val="single" w:color="000000" w:sz="4" w:space="0"/>
              <w:left w:val="single" w:color="000000" w:sz="4" w:space="0"/>
              <w:bottom w:val="nil"/>
              <w:right w:val="single" w:color="000000" w:sz="4" w:space="0"/>
            </w:tcBorders>
            <w:shd w:val="clear" w:color="auto" w:fill="auto"/>
            <w:vAlign w:val="center"/>
          </w:tcPr>
          <w:p w14:paraId="4D33CE52">
            <w:pPr>
              <w:jc w:val="center"/>
              <w:rPr>
                <w:rFonts w:hint="eastAsia" w:ascii="宋体" w:hAnsi="宋体" w:eastAsia="宋体" w:cs="宋体"/>
                <w:i w:val="0"/>
                <w:iCs w:val="0"/>
                <w:color w:val="000000"/>
                <w:sz w:val="16"/>
                <w:szCs w:val="16"/>
                <w:u w:val="none"/>
              </w:rPr>
            </w:pPr>
          </w:p>
        </w:tc>
        <w:tc>
          <w:tcPr>
            <w:tcW w:w="88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FB83C32">
            <w:pPr>
              <w:jc w:val="center"/>
              <w:rPr>
                <w:rFonts w:hint="eastAsia" w:ascii="宋体" w:hAnsi="宋体" w:eastAsia="宋体" w:cs="宋体"/>
                <w:i w:val="0"/>
                <w:iCs w:val="0"/>
                <w:color w:val="000000"/>
                <w:sz w:val="16"/>
                <w:szCs w:val="16"/>
                <w:u w:val="none"/>
              </w:rPr>
            </w:pPr>
          </w:p>
        </w:tc>
        <w:tc>
          <w:tcPr>
            <w:tcW w:w="209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374402E">
            <w:pPr>
              <w:jc w:val="left"/>
              <w:rPr>
                <w:rFonts w:hint="eastAsia" w:ascii="宋体" w:hAnsi="宋体" w:eastAsia="宋体" w:cs="宋体"/>
                <w:i w:val="0"/>
                <w:iCs w:val="0"/>
                <w:color w:val="000000"/>
                <w:sz w:val="16"/>
                <w:szCs w:val="16"/>
                <w:u w:val="none"/>
              </w:rPr>
            </w:pPr>
          </w:p>
        </w:tc>
        <w:tc>
          <w:tcPr>
            <w:tcW w:w="9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2E6AF8">
            <w:pPr>
              <w:jc w:val="center"/>
              <w:rPr>
                <w:rFonts w:hint="default" w:ascii="Calibri" w:hAnsi="Calibri" w:eastAsia="宋体" w:cs="Calibri"/>
                <w:i w:val="0"/>
                <w:iCs w:val="0"/>
                <w:color w:val="000000"/>
                <w:sz w:val="21"/>
                <w:szCs w:val="21"/>
                <w:u w:val="none"/>
              </w:rPr>
            </w:pPr>
          </w:p>
        </w:tc>
        <w:tc>
          <w:tcPr>
            <w:tcW w:w="9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2C01D0">
            <w:pPr>
              <w:jc w:val="center"/>
              <w:rPr>
                <w:rFonts w:hint="default" w:ascii="Calibri" w:hAnsi="Calibri" w:eastAsia="宋体" w:cs="Calibri"/>
                <w:i w:val="0"/>
                <w:iCs w:val="0"/>
                <w:color w:val="000000"/>
                <w:sz w:val="21"/>
                <w:szCs w:val="21"/>
                <w:u w:val="none"/>
              </w:rPr>
            </w:pPr>
          </w:p>
        </w:tc>
        <w:tc>
          <w:tcPr>
            <w:tcW w:w="18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AA6059">
            <w:pPr>
              <w:jc w:val="center"/>
              <w:rPr>
                <w:rFonts w:hint="default" w:ascii="Calibri" w:hAnsi="Calibri" w:eastAsia="宋体" w:cs="Calibri"/>
                <w:i w:val="0"/>
                <w:iCs w:val="0"/>
                <w:color w:val="000000"/>
                <w:sz w:val="21"/>
                <w:szCs w:val="21"/>
                <w:u w:val="none"/>
              </w:rPr>
            </w:pPr>
          </w:p>
        </w:tc>
      </w:tr>
      <w:tr w14:paraId="17342E5F">
        <w:tblPrEx>
          <w:shd w:val="clear" w:color="auto" w:fill="auto"/>
          <w:tblCellMar>
            <w:top w:w="0" w:type="dxa"/>
            <w:left w:w="108" w:type="dxa"/>
            <w:bottom w:w="0" w:type="dxa"/>
            <w:right w:w="108" w:type="dxa"/>
          </w:tblCellMar>
        </w:tblPrEx>
        <w:trPr>
          <w:trHeight w:val="693" w:hRule="atLeast"/>
        </w:trPr>
        <w:tc>
          <w:tcPr>
            <w:tcW w:w="1078" w:type="dxa"/>
            <w:vMerge w:val="continue"/>
            <w:tcBorders>
              <w:top w:val="single" w:color="000000" w:sz="4" w:space="0"/>
              <w:left w:val="single" w:color="000000" w:sz="4" w:space="0"/>
              <w:bottom w:val="single" w:color="000000" w:sz="4" w:space="0"/>
              <w:right w:val="nil"/>
            </w:tcBorders>
            <w:shd w:val="clear" w:color="auto" w:fill="auto"/>
            <w:vAlign w:val="center"/>
          </w:tcPr>
          <w:p w14:paraId="64B539F1">
            <w:pPr>
              <w:jc w:val="center"/>
              <w:rPr>
                <w:rFonts w:hint="eastAsia" w:ascii="宋体" w:hAnsi="宋体" w:eastAsia="宋体" w:cs="宋体"/>
                <w:i w:val="0"/>
                <w:iCs w:val="0"/>
                <w:color w:val="000000"/>
                <w:sz w:val="16"/>
                <w:szCs w:val="16"/>
                <w:u w:val="none"/>
              </w:rPr>
            </w:pPr>
          </w:p>
        </w:tc>
        <w:tc>
          <w:tcPr>
            <w:tcW w:w="12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8CE677">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预算执行率指标</w:t>
            </w:r>
          </w:p>
          <w:p w14:paraId="2680127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（10分）</w:t>
            </w:r>
          </w:p>
        </w:tc>
        <w:tc>
          <w:tcPr>
            <w:tcW w:w="887" w:type="dxa"/>
            <w:tcBorders>
              <w:top w:val="nil"/>
              <w:left w:val="nil"/>
              <w:bottom w:val="single" w:color="000000" w:sz="4" w:space="0"/>
              <w:right w:val="single" w:color="000000" w:sz="4" w:space="0"/>
            </w:tcBorders>
            <w:shd w:val="clear" w:color="auto" w:fill="auto"/>
            <w:vAlign w:val="center"/>
          </w:tcPr>
          <w:p w14:paraId="19239B8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预算执行率</w:t>
            </w:r>
          </w:p>
        </w:tc>
        <w:tc>
          <w:tcPr>
            <w:tcW w:w="209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903562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预算资金使用到位100%</w:t>
            </w:r>
          </w:p>
        </w:tc>
        <w:tc>
          <w:tcPr>
            <w:tcW w:w="9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2F5D0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100%</w:t>
            </w:r>
          </w:p>
        </w:tc>
        <w:tc>
          <w:tcPr>
            <w:tcW w:w="9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62551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100%</w:t>
            </w:r>
          </w:p>
        </w:tc>
        <w:tc>
          <w:tcPr>
            <w:tcW w:w="18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50382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w:t>
            </w:r>
          </w:p>
        </w:tc>
      </w:tr>
      <w:tr w14:paraId="3DF94CCA">
        <w:tblPrEx>
          <w:shd w:val="clear" w:color="auto" w:fill="auto"/>
          <w:tblCellMar>
            <w:top w:w="0" w:type="dxa"/>
            <w:left w:w="108" w:type="dxa"/>
            <w:bottom w:w="0" w:type="dxa"/>
            <w:right w:w="108" w:type="dxa"/>
          </w:tblCellMar>
        </w:tblPrEx>
        <w:trPr>
          <w:trHeight w:val="314" w:hRule="atLeast"/>
        </w:trPr>
        <w:tc>
          <w:tcPr>
            <w:tcW w:w="1078" w:type="dxa"/>
            <w:vMerge w:val="continue"/>
            <w:tcBorders>
              <w:top w:val="single" w:color="000000" w:sz="4" w:space="0"/>
              <w:left w:val="single" w:color="000000" w:sz="4" w:space="0"/>
              <w:bottom w:val="single" w:color="000000" w:sz="4" w:space="0"/>
              <w:right w:val="nil"/>
            </w:tcBorders>
            <w:shd w:val="clear" w:color="auto" w:fill="auto"/>
            <w:vAlign w:val="center"/>
          </w:tcPr>
          <w:p w14:paraId="738FFF81">
            <w:pPr>
              <w:jc w:val="center"/>
              <w:rPr>
                <w:rFonts w:hint="eastAsia" w:ascii="宋体" w:hAnsi="宋体" w:eastAsia="宋体" w:cs="宋体"/>
                <w:i w:val="0"/>
                <w:iCs w:val="0"/>
                <w:color w:val="000000"/>
                <w:sz w:val="16"/>
                <w:szCs w:val="16"/>
                <w:u w:val="none"/>
              </w:rPr>
            </w:pPr>
          </w:p>
        </w:tc>
        <w:tc>
          <w:tcPr>
            <w:tcW w:w="1282" w:type="dxa"/>
            <w:vMerge w:val="restart"/>
            <w:tcBorders>
              <w:top w:val="nil"/>
              <w:left w:val="single" w:color="000000" w:sz="4" w:space="0"/>
              <w:bottom w:val="nil"/>
              <w:right w:val="single" w:color="000000" w:sz="4" w:space="0"/>
            </w:tcBorders>
            <w:shd w:val="clear" w:color="auto" w:fill="auto"/>
            <w:vAlign w:val="center"/>
          </w:tcPr>
          <w:p w14:paraId="4297561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效益指标（40）</w:t>
            </w:r>
          </w:p>
        </w:tc>
        <w:tc>
          <w:tcPr>
            <w:tcW w:w="887" w:type="dxa"/>
            <w:vMerge w:val="restart"/>
            <w:tcBorders>
              <w:top w:val="single" w:color="000000" w:sz="4" w:space="0"/>
              <w:left w:val="nil"/>
              <w:bottom w:val="single" w:color="000000" w:sz="4" w:space="0"/>
              <w:right w:val="single" w:color="000000" w:sz="4" w:space="0"/>
            </w:tcBorders>
            <w:shd w:val="clear" w:color="auto" w:fill="auto"/>
            <w:vAlign w:val="center"/>
          </w:tcPr>
          <w:p w14:paraId="6627764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经济效益指标</w:t>
            </w:r>
          </w:p>
        </w:tc>
        <w:tc>
          <w:tcPr>
            <w:tcW w:w="209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6515D23">
            <w:pPr>
              <w:jc w:val="left"/>
              <w:rPr>
                <w:rFonts w:hint="eastAsia" w:ascii="宋体" w:hAnsi="宋体" w:eastAsia="宋体" w:cs="宋体"/>
                <w:i w:val="0"/>
                <w:iCs w:val="0"/>
                <w:color w:val="000000"/>
                <w:sz w:val="16"/>
                <w:szCs w:val="16"/>
                <w:u w:val="none"/>
              </w:rPr>
            </w:pPr>
          </w:p>
        </w:tc>
        <w:tc>
          <w:tcPr>
            <w:tcW w:w="9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E06978">
            <w:pPr>
              <w:jc w:val="center"/>
              <w:rPr>
                <w:rFonts w:hint="default" w:ascii="Calibri" w:hAnsi="Calibri" w:eastAsia="宋体" w:cs="Calibri"/>
                <w:i w:val="0"/>
                <w:iCs w:val="0"/>
                <w:color w:val="000000"/>
                <w:sz w:val="21"/>
                <w:szCs w:val="21"/>
                <w:u w:val="none"/>
              </w:rPr>
            </w:pPr>
          </w:p>
        </w:tc>
        <w:tc>
          <w:tcPr>
            <w:tcW w:w="9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565356">
            <w:pPr>
              <w:jc w:val="center"/>
              <w:rPr>
                <w:rFonts w:hint="default" w:ascii="Calibri" w:hAnsi="Calibri" w:eastAsia="宋体" w:cs="Calibri"/>
                <w:i w:val="0"/>
                <w:iCs w:val="0"/>
                <w:color w:val="000000"/>
                <w:sz w:val="21"/>
                <w:szCs w:val="21"/>
                <w:u w:val="none"/>
              </w:rPr>
            </w:pPr>
          </w:p>
        </w:tc>
        <w:tc>
          <w:tcPr>
            <w:tcW w:w="18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85F82C">
            <w:pPr>
              <w:jc w:val="center"/>
              <w:rPr>
                <w:rFonts w:hint="default" w:ascii="Calibri" w:hAnsi="Calibri" w:eastAsia="宋体" w:cs="Calibri"/>
                <w:i w:val="0"/>
                <w:iCs w:val="0"/>
                <w:color w:val="000000"/>
                <w:sz w:val="21"/>
                <w:szCs w:val="21"/>
                <w:u w:val="none"/>
              </w:rPr>
            </w:pPr>
          </w:p>
        </w:tc>
      </w:tr>
      <w:tr w14:paraId="08AEA68A">
        <w:tblPrEx>
          <w:shd w:val="clear" w:color="auto" w:fill="auto"/>
          <w:tblCellMar>
            <w:top w:w="0" w:type="dxa"/>
            <w:left w:w="108" w:type="dxa"/>
            <w:bottom w:w="0" w:type="dxa"/>
            <w:right w:w="108" w:type="dxa"/>
          </w:tblCellMar>
        </w:tblPrEx>
        <w:trPr>
          <w:trHeight w:val="314" w:hRule="atLeast"/>
        </w:trPr>
        <w:tc>
          <w:tcPr>
            <w:tcW w:w="1078" w:type="dxa"/>
            <w:vMerge w:val="continue"/>
            <w:tcBorders>
              <w:top w:val="single" w:color="000000" w:sz="4" w:space="0"/>
              <w:left w:val="single" w:color="000000" w:sz="4" w:space="0"/>
              <w:bottom w:val="single" w:color="000000" w:sz="4" w:space="0"/>
              <w:right w:val="nil"/>
            </w:tcBorders>
            <w:shd w:val="clear" w:color="auto" w:fill="auto"/>
            <w:vAlign w:val="center"/>
          </w:tcPr>
          <w:p w14:paraId="1B7984AC">
            <w:pPr>
              <w:jc w:val="center"/>
              <w:rPr>
                <w:rFonts w:hint="eastAsia" w:ascii="宋体" w:hAnsi="宋体" w:eastAsia="宋体" w:cs="宋体"/>
                <w:i w:val="0"/>
                <w:iCs w:val="0"/>
                <w:color w:val="000000"/>
                <w:sz w:val="16"/>
                <w:szCs w:val="16"/>
                <w:u w:val="none"/>
              </w:rPr>
            </w:pPr>
          </w:p>
        </w:tc>
        <w:tc>
          <w:tcPr>
            <w:tcW w:w="1282" w:type="dxa"/>
            <w:vMerge w:val="continue"/>
            <w:tcBorders>
              <w:top w:val="nil"/>
              <w:left w:val="single" w:color="000000" w:sz="4" w:space="0"/>
              <w:bottom w:val="nil"/>
              <w:right w:val="single" w:color="000000" w:sz="4" w:space="0"/>
            </w:tcBorders>
            <w:shd w:val="clear" w:color="auto" w:fill="auto"/>
            <w:vAlign w:val="center"/>
          </w:tcPr>
          <w:p w14:paraId="427BC603">
            <w:pPr>
              <w:jc w:val="center"/>
              <w:rPr>
                <w:rFonts w:hint="eastAsia" w:ascii="宋体" w:hAnsi="宋体" w:eastAsia="宋体" w:cs="宋体"/>
                <w:i w:val="0"/>
                <w:iCs w:val="0"/>
                <w:color w:val="000000"/>
                <w:sz w:val="16"/>
                <w:szCs w:val="16"/>
                <w:u w:val="none"/>
              </w:rPr>
            </w:pPr>
          </w:p>
        </w:tc>
        <w:tc>
          <w:tcPr>
            <w:tcW w:w="887" w:type="dxa"/>
            <w:vMerge w:val="continue"/>
            <w:tcBorders>
              <w:top w:val="single" w:color="000000" w:sz="4" w:space="0"/>
              <w:left w:val="nil"/>
              <w:bottom w:val="single" w:color="000000" w:sz="4" w:space="0"/>
              <w:right w:val="single" w:color="000000" w:sz="4" w:space="0"/>
            </w:tcBorders>
            <w:shd w:val="clear" w:color="auto" w:fill="auto"/>
            <w:vAlign w:val="center"/>
          </w:tcPr>
          <w:p w14:paraId="7388C1BF">
            <w:pPr>
              <w:jc w:val="center"/>
              <w:rPr>
                <w:rFonts w:hint="eastAsia" w:ascii="宋体" w:hAnsi="宋体" w:eastAsia="宋体" w:cs="宋体"/>
                <w:i w:val="0"/>
                <w:iCs w:val="0"/>
                <w:color w:val="000000"/>
                <w:sz w:val="16"/>
                <w:szCs w:val="16"/>
                <w:u w:val="none"/>
              </w:rPr>
            </w:pPr>
          </w:p>
        </w:tc>
        <w:tc>
          <w:tcPr>
            <w:tcW w:w="209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B342191">
            <w:pPr>
              <w:jc w:val="left"/>
              <w:rPr>
                <w:rFonts w:hint="eastAsia" w:ascii="宋体" w:hAnsi="宋体" w:eastAsia="宋体" w:cs="宋体"/>
                <w:i w:val="0"/>
                <w:iCs w:val="0"/>
                <w:color w:val="000000"/>
                <w:sz w:val="16"/>
                <w:szCs w:val="16"/>
                <w:u w:val="none"/>
              </w:rPr>
            </w:pPr>
          </w:p>
        </w:tc>
        <w:tc>
          <w:tcPr>
            <w:tcW w:w="9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9C355E">
            <w:pPr>
              <w:jc w:val="center"/>
              <w:rPr>
                <w:rFonts w:hint="default" w:ascii="Calibri" w:hAnsi="Calibri" w:eastAsia="宋体" w:cs="Calibri"/>
                <w:i w:val="0"/>
                <w:iCs w:val="0"/>
                <w:color w:val="000000"/>
                <w:sz w:val="21"/>
                <w:szCs w:val="21"/>
                <w:u w:val="none"/>
              </w:rPr>
            </w:pPr>
          </w:p>
        </w:tc>
        <w:tc>
          <w:tcPr>
            <w:tcW w:w="9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730901">
            <w:pPr>
              <w:jc w:val="center"/>
              <w:rPr>
                <w:rFonts w:hint="default" w:ascii="Calibri" w:hAnsi="Calibri" w:eastAsia="宋体" w:cs="Calibri"/>
                <w:i w:val="0"/>
                <w:iCs w:val="0"/>
                <w:color w:val="000000"/>
                <w:sz w:val="21"/>
                <w:szCs w:val="21"/>
                <w:u w:val="none"/>
              </w:rPr>
            </w:pPr>
          </w:p>
        </w:tc>
        <w:tc>
          <w:tcPr>
            <w:tcW w:w="18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F60C76">
            <w:pPr>
              <w:jc w:val="center"/>
              <w:rPr>
                <w:rFonts w:hint="default" w:ascii="Calibri" w:hAnsi="Calibri" w:eastAsia="宋体" w:cs="Calibri"/>
                <w:i w:val="0"/>
                <w:iCs w:val="0"/>
                <w:color w:val="000000"/>
                <w:sz w:val="21"/>
                <w:szCs w:val="21"/>
                <w:u w:val="none"/>
              </w:rPr>
            </w:pPr>
          </w:p>
        </w:tc>
      </w:tr>
      <w:tr w14:paraId="412E8AD0">
        <w:tblPrEx>
          <w:tblCellMar>
            <w:top w:w="0" w:type="dxa"/>
            <w:left w:w="108" w:type="dxa"/>
            <w:bottom w:w="0" w:type="dxa"/>
            <w:right w:w="108" w:type="dxa"/>
          </w:tblCellMar>
        </w:tblPrEx>
        <w:trPr>
          <w:trHeight w:val="314" w:hRule="atLeast"/>
        </w:trPr>
        <w:tc>
          <w:tcPr>
            <w:tcW w:w="1078" w:type="dxa"/>
            <w:vMerge w:val="continue"/>
            <w:tcBorders>
              <w:top w:val="single" w:color="000000" w:sz="4" w:space="0"/>
              <w:left w:val="single" w:color="000000" w:sz="4" w:space="0"/>
              <w:bottom w:val="single" w:color="000000" w:sz="4" w:space="0"/>
              <w:right w:val="nil"/>
            </w:tcBorders>
            <w:shd w:val="clear" w:color="auto" w:fill="auto"/>
            <w:vAlign w:val="center"/>
          </w:tcPr>
          <w:p w14:paraId="2AF4D7D6">
            <w:pPr>
              <w:jc w:val="center"/>
              <w:rPr>
                <w:rFonts w:hint="eastAsia" w:ascii="宋体" w:hAnsi="宋体" w:eastAsia="宋体" w:cs="宋体"/>
                <w:i w:val="0"/>
                <w:iCs w:val="0"/>
                <w:color w:val="000000"/>
                <w:sz w:val="16"/>
                <w:szCs w:val="16"/>
                <w:u w:val="none"/>
              </w:rPr>
            </w:pPr>
          </w:p>
        </w:tc>
        <w:tc>
          <w:tcPr>
            <w:tcW w:w="1282" w:type="dxa"/>
            <w:vMerge w:val="continue"/>
            <w:tcBorders>
              <w:top w:val="nil"/>
              <w:left w:val="single" w:color="000000" w:sz="4" w:space="0"/>
              <w:bottom w:val="nil"/>
              <w:right w:val="single" w:color="000000" w:sz="4" w:space="0"/>
            </w:tcBorders>
            <w:shd w:val="clear" w:color="auto" w:fill="auto"/>
            <w:vAlign w:val="center"/>
          </w:tcPr>
          <w:p w14:paraId="47067F5D">
            <w:pPr>
              <w:jc w:val="center"/>
              <w:rPr>
                <w:rFonts w:hint="eastAsia" w:ascii="宋体" w:hAnsi="宋体" w:eastAsia="宋体" w:cs="宋体"/>
                <w:i w:val="0"/>
                <w:iCs w:val="0"/>
                <w:color w:val="000000"/>
                <w:sz w:val="16"/>
                <w:szCs w:val="16"/>
                <w:u w:val="none"/>
              </w:rPr>
            </w:pPr>
          </w:p>
        </w:tc>
        <w:tc>
          <w:tcPr>
            <w:tcW w:w="887" w:type="dxa"/>
            <w:vMerge w:val="continue"/>
            <w:tcBorders>
              <w:top w:val="single" w:color="000000" w:sz="4" w:space="0"/>
              <w:left w:val="nil"/>
              <w:bottom w:val="single" w:color="000000" w:sz="4" w:space="0"/>
              <w:right w:val="single" w:color="000000" w:sz="4" w:space="0"/>
            </w:tcBorders>
            <w:shd w:val="clear" w:color="auto" w:fill="auto"/>
            <w:vAlign w:val="center"/>
          </w:tcPr>
          <w:p w14:paraId="5C024882">
            <w:pPr>
              <w:jc w:val="center"/>
              <w:rPr>
                <w:rFonts w:hint="eastAsia" w:ascii="宋体" w:hAnsi="宋体" w:eastAsia="宋体" w:cs="宋体"/>
                <w:i w:val="0"/>
                <w:iCs w:val="0"/>
                <w:color w:val="000000"/>
                <w:sz w:val="16"/>
                <w:szCs w:val="16"/>
                <w:u w:val="none"/>
              </w:rPr>
            </w:pPr>
          </w:p>
        </w:tc>
        <w:tc>
          <w:tcPr>
            <w:tcW w:w="209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24CEA69">
            <w:pPr>
              <w:jc w:val="left"/>
              <w:rPr>
                <w:rFonts w:hint="eastAsia" w:ascii="宋体" w:hAnsi="宋体" w:eastAsia="宋体" w:cs="宋体"/>
                <w:i w:val="0"/>
                <w:iCs w:val="0"/>
                <w:color w:val="000000"/>
                <w:sz w:val="16"/>
                <w:szCs w:val="16"/>
                <w:u w:val="none"/>
              </w:rPr>
            </w:pPr>
          </w:p>
        </w:tc>
        <w:tc>
          <w:tcPr>
            <w:tcW w:w="9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A19140">
            <w:pPr>
              <w:jc w:val="center"/>
              <w:rPr>
                <w:rFonts w:hint="default" w:ascii="Calibri" w:hAnsi="Calibri" w:eastAsia="宋体" w:cs="Calibri"/>
                <w:i w:val="0"/>
                <w:iCs w:val="0"/>
                <w:color w:val="000000"/>
                <w:sz w:val="21"/>
                <w:szCs w:val="21"/>
                <w:u w:val="none"/>
              </w:rPr>
            </w:pPr>
          </w:p>
        </w:tc>
        <w:tc>
          <w:tcPr>
            <w:tcW w:w="9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308AF7">
            <w:pPr>
              <w:jc w:val="center"/>
              <w:rPr>
                <w:rFonts w:hint="default" w:ascii="Calibri" w:hAnsi="Calibri" w:eastAsia="宋体" w:cs="Calibri"/>
                <w:i w:val="0"/>
                <w:iCs w:val="0"/>
                <w:color w:val="000000"/>
                <w:sz w:val="21"/>
                <w:szCs w:val="21"/>
                <w:u w:val="none"/>
              </w:rPr>
            </w:pPr>
          </w:p>
        </w:tc>
        <w:tc>
          <w:tcPr>
            <w:tcW w:w="18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207546">
            <w:pPr>
              <w:jc w:val="center"/>
              <w:rPr>
                <w:rFonts w:hint="default" w:ascii="Calibri" w:hAnsi="Calibri" w:eastAsia="宋体" w:cs="Calibri"/>
                <w:i w:val="0"/>
                <w:iCs w:val="0"/>
                <w:color w:val="000000"/>
                <w:sz w:val="21"/>
                <w:szCs w:val="21"/>
                <w:u w:val="none"/>
              </w:rPr>
            </w:pPr>
          </w:p>
        </w:tc>
      </w:tr>
      <w:tr w14:paraId="46CBC209">
        <w:tblPrEx>
          <w:shd w:val="clear" w:color="auto" w:fill="auto"/>
          <w:tblCellMar>
            <w:top w:w="0" w:type="dxa"/>
            <w:left w:w="108" w:type="dxa"/>
            <w:bottom w:w="0" w:type="dxa"/>
            <w:right w:w="108" w:type="dxa"/>
          </w:tblCellMar>
        </w:tblPrEx>
        <w:trPr>
          <w:trHeight w:val="458" w:hRule="atLeast"/>
        </w:trPr>
        <w:tc>
          <w:tcPr>
            <w:tcW w:w="1078" w:type="dxa"/>
            <w:vMerge w:val="continue"/>
            <w:tcBorders>
              <w:top w:val="single" w:color="000000" w:sz="4" w:space="0"/>
              <w:left w:val="single" w:color="000000" w:sz="4" w:space="0"/>
              <w:bottom w:val="single" w:color="000000" w:sz="4" w:space="0"/>
              <w:right w:val="nil"/>
            </w:tcBorders>
            <w:shd w:val="clear" w:color="auto" w:fill="auto"/>
            <w:vAlign w:val="center"/>
          </w:tcPr>
          <w:p w14:paraId="5518A1FD">
            <w:pPr>
              <w:jc w:val="center"/>
              <w:rPr>
                <w:rFonts w:hint="eastAsia" w:ascii="宋体" w:hAnsi="宋体" w:eastAsia="宋体" w:cs="宋体"/>
                <w:i w:val="0"/>
                <w:iCs w:val="0"/>
                <w:color w:val="000000"/>
                <w:sz w:val="16"/>
                <w:szCs w:val="16"/>
                <w:u w:val="none"/>
              </w:rPr>
            </w:pPr>
          </w:p>
        </w:tc>
        <w:tc>
          <w:tcPr>
            <w:tcW w:w="1282" w:type="dxa"/>
            <w:vMerge w:val="continue"/>
            <w:tcBorders>
              <w:top w:val="nil"/>
              <w:left w:val="single" w:color="000000" w:sz="4" w:space="0"/>
              <w:bottom w:val="nil"/>
              <w:right w:val="single" w:color="000000" w:sz="4" w:space="0"/>
            </w:tcBorders>
            <w:shd w:val="clear" w:color="auto" w:fill="auto"/>
            <w:vAlign w:val="center"/>
          </w:tcPr>
          <w:p w14:paraId="69B18ABB">
            <w:pPr>
              <w:jc w:val="center"/>
              <w:rPr>
                <w:rFonts w:hint="eastAsia" w:ascii="宋体" w:hAnsi="宋体" w:eastAsia="宋体" w:cs="宋体"/>
                <w:i w:val="0"/>
                <w:iCs w:val="0"/>
                <w:color w:val="000000"/>
                <w:sz w:val="16"/>
                <w:szCs w:val="16"/>
                <w:u w:val="none"/>
              </w:rPr>
            </w:pPr>
          </w:p>
        </w:tc>
        <w:tc>
          <w:tcPr>
            <w:tcW w:w="887" w:type="dxa"/>
            <w:vMerge w:val="restart"/>
            <w:tcBorders>
              <w:top w:val="single" w:color="000000" w:sz="4" w:space="0"/>
              <w:left w:val="nil"/>
              <w:bottom w:val="single" w:color="000000" w:sz="4" w:space="0"/>
              <w:right w:val="single" w:color="000000" w:sz="4" w:space="0"/>
            </w:tcBorders>
            <w:shd w:val="clear" w:color="auto" w:fill="auto"/>
            <w:vAlign w:val="center"/>
          </w:tcPr>
          <w:p w14:paraId="616BB3C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社会效益指标</w:t>
            </w:r>
          </w:p>
        </w:tc>
        <w:tc>
          <w:tcPr>
            <w:tcW w:w="209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E3B06D0">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突发事件新闻处置完成率</w:t>
            </w:r>
          </w:p>
        </w:tc>
        <w:tc>
          <w:tcPr>
            <w:tcW w:w="9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CEA08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≥80%</w:t>
            </w:r>
          </w:p>
        </w:tc>
        <w:tc>
          <w:tcPr>
            <w:tcW w:w="9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C73D4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100%</w:t>
            </w:r>
          </w:p>
        </w:tc>
        <w:tc>
          <w:tcPr>
            <w:tcW w:w="18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CA27E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20</w:t>
            </w:r>
          </w:p>
        </w:tc>
      </w:tr>
      <w:tr w14:paraId="7221D7F8">
        <w:tblPrEx>
          <w:shd w:val="clear" w:color="auto" w:fill="auto"/>
          <w:tblCellMar>
            <w:top w:w="0" w:type="dxa"/>
            <w:left w:w="108" w:type="dxa"/>
            <w:bottom w:w="0" w:type="dxa"/>
            <w:right w:w="108" w:type="dxa"/>
          </w:tblCellMar>
        </w:tblPrEx>
        <w:trPr>
          <w:trHeight w:val="314" w:hRule="atLeast"/>
        </w:trPr>
        <w:tc>
          <w:tcPr>
            <w:tcW w:w="1078" w:type="dxa"/>
            <w:vMerge w:val="continue"/>
            <w:tcBorders>
              <w:top w:val="single" w:color="000000" w:sz="4" w:space="0"/>
              <w:left w:val="single" w:color="000000" w:sz="4" w:space="0"/>
              <w:bottom w:val="single" w:color="000000" w:sz="4" w:space="0"/>
              <w:right w:val="nil"/>
            </w:tcBorders>
            <w:shd w:val="clear" w:color="auto" w:fill="auto"/>
            <w:vAlign w:val="center"/>
          </w:tcPr>
          <w:p w14:paraId="5CA592C1">
            <w:pPr>
              <w:jc w:val="center"/>
              <w:rPr>
                <w:rFonts w:hint="eastAsia" w:ascii="宋体" w:hAnsi="宋体" w:eastAsia="宋体" w:cs="宋体"/>
                <w:i w:val="0"/>
                <w:iCs w:val="0"/>
                <w:color w:val="000000"/>
                <w:sz w:val="16"/>
                <w:szCs w:val="16"/>
                <w:u w:val="none"/>
              </w:rPr>
            </w:pPr>
          </w:p>
        </w:tc>
        <w:tc>
          <w:tcPr>
            <w:tcW w:w="1282" w:type="dxa"/>
            <w:vMerge w:val="continue"/>
            <w:tcBorders>
              <w:top w:val="nil"/>
              <w:left w:val="single" w:color="000000" w:sz="4" w:space="0"/>
              <w:bottom w:val="nil"/>
              <w:right w:val="single" w:color="000000" w:sz="4" w:space="0"/>
            </w:tcBorders>
            <w:shd w:val="clear" w:color="auto" w:fill="auto"/>
            <w:vAlign w:val="center"/>
          </w:tcPr>
          <w:p w14:paraId="1ED784C3">
            <w:pPr>
              <w:jc w:val="center"/>
              <w:rPr>
                <w:rFonts w:hint="eastAsia" w:ascii="宋体" w:hAnsi="宋体" w:eastAsia="宋体" w:cs="宋体"/>
                <w:i w:val="0"/>
                <w:iCs w:val="0"/>
                <w:color w:val="000000"/>
                <w:sz w:val="16"/>
                <w:szCs w:val="16"/>
                <w:u w:val="none"/>
              </w:rPr>
            </w:pPr>
          </w:p>
        </w:tc>
        <w:tc>
          <w:tcPr>
            <w:tcW w:w="887" w:type="dxa"/>
            <w:vMerge w:val="continue"/>
            <w:tcBorders>
              <w:top w:val="single" w:color="000000" w:sz="4" w:space="0"/>
              <w:left w:val="nil"/>
              <w:bottom w:val="single" w:color="000000" w:sz="4" w:space="0"/>
              <w:right w:val="single" w:color="000000" w:sz="4" w:space="0"/>
            </w:tcBorders>
            <w:shd w:val="clear" w:color="auto" w:fill="auto"/>
            <w:vAlign w:val="center"/>
          </w:tcPr>
          <w:p w14:paraId="7597447C">
            <w:pPr>
              <w:jc w:val="center"/>
              <w:rPr>
                <w:rFonts w:hint="eastAsia" w:ascii="宋体" w:hAnsi="宋体" w:eastAsia="宋体" w:cs="宋体"/>
                <w:i w:val="0"/>
                <w:iCs w:val="0"/>
                <w:color w:val="000000"/>
                <w:sz w:val="16"/>
                <w:szCs w:val="16"/>
                <w:u w:val="none"/>
              </w:rPr>
            </w:pPr>
          </w:p>
        </w:tc>
        <w:tc>
          <w:tcPr>
            <w:tcW w:w="209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88B3D66">
            <w:pPr>
              <w:jc w:val="left"/>
              <w:rPr>
                <w:rFonts w:hint="eastAsia" w:ascii="宋体" w:hAnsi="宋体" w:eastAsia="宋体" w:cs="宋体"/>
                <w:i w:val="0"/>
                <w:iCs w:val="0"/>
                <w:color w:val="000000"/>
                <w:sz w:val="16"/>
                <w:szCs w:val="16"/>
                <w:u w:val="none"/>
              </w:rPr>
            </w:pPr>
          </w:p>
        </w:tc>
        <w:tc>
          <w:tcPr>
            <w:tcW w:w="9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3C3096">
            <w:pPr>
              <w:jc w:val="center"/>
              <w:rPr>
                <w:rFonts w:hint="default" w:ascii="Calibri" w:hAnsi="Calibri" w:eastAsia="宋体" w:cs="Calibri"/>
                <w:i w:val="0"/>
                <w:iCs w:val="0"/>
                <w:color w:val="000000"/>
                <w:sz w:val="21"/>
                <w:szCs w:val="21"/>
                <w:u w:val="none"/>
              </w:rPr>
            </w:pPr>
          </w:p>
        </w:tc>
        <w:tc>
          <w:tcPr>
            <w:tcW w:w="9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48EFBB">
            <w:pPr>
              <w:jc w:val="center"/>
              <w:rPr>
                <w:rFonts w:hint="default" w:ascii="Calibri" w:hAnsi="Calibri" w:eastAsia="宋体" w:cs="Calibri"/>
                <w:i w:val="0"/>
                <w:iCs w:val="0"/>
                <w:color w:val="000000"/>
                <w:sz w:val="21"/>
                <w:szCs w:val="21"/>
                <w:u w:val="none"/>
              </w:rPr>
            </w:pPr>
          </w:p>
        </w:tc>
        <w:tc>
          <w:tcPr>
            <w:tcW w:w="18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EB7D76">
            <w:pPr>
              <w:jc w:val="center"/>
              <w:rPr>
                <w:rFonts w:hint="default" w:ascii="Calibri" w:hAnsi="Calibri" w:eastAsia="宋体" w:cs="Calibri"/>
                <w:i w:val="0"/>
                <w:iCs w:val="0"/>
                <w:color w:val="000000"/>
                <w:sz w:val="21"/>
                <w:szCs w:val="21"/>
                <w:u w:val="none"/>
              </w:rPr>
            </w:pPr>
          </w:p>
        </w:tc>
      </w:tr>
      <w:tr w14:paraId="52B9037C">
        <w:tblPrEx>
          <w:shd w:val="clear" w:color="auto" w:fill="auto"/>
          <w:tblCellMar>
            <w:top w:w="0" w:type="dxa"/>
            <w:left w:w="108" w:type="dxa"/>
            <w:bottom w:w="0" w:type="dxa"/>
            <w:right w:w="108" w:type="dxa"/>
          </w:tblCellMar>
        </w:tblPrEx>
        <w:trPr>
          <w:trHeight w:val="314" w:hRule="atLeast"/>
        </w:trPr>
        <w:tc>
          <w:tcPr>
            <w:tcW w:w="1078" w:type="dxa"/>
            <w:vMerge w:val="continue"/>
            <w:tcBorders>
              <w:top w:val="single" w:color="000000" w:sz="4" w:space="0"/>
              <w:left w:val="single" w:color="000000" w:sz="4" w:space="0"/>
              <w:bottom w:val="single" w:color="000000" w:sz="4" w:space="0"/>
              <w:right w:val="nil"/>
            </w:tcBorders>
            <w:shd w:val="clear" w:color="auto" w:fill="auto"/>
            <w:vAlign w:val="center"/>
          </w:tcPr>
          <w:p w14:paraId="0DBCF1D1">
            <w:pPr>
              <w:jc w:val="center"/>
              <w:rPr>
                <w:rFonts w:hint="eastAsia" w:ascii="宋体" w:hAnsi="宋体" w:eastAsia="宋体" w:cs="宋体"/>
                <w:i w:val="0"/>
                <w:iCs w:val="0"/>
                <w:color w:val="000000"/>
                <w:sz w:val="16"/>
                <w:szCs w:val="16"/>
                <w:u w:val="none"/>
              </w:rPr>
            </w:pPr>
          </w:p>
        </w:tc>
        <w:tc>
          <w:tcPr>
            <w:tcW w:w="1282" w:type="dxa"/>
            <w:vMerge w:val="continue"/>
            <w:tcBorders>
              <w:top w:val="nil"/>
              <w:left w:val="single" w:color="000000" w:sz="4" w:space="0"/>
              <w:bottom w:val="nil"/>
              <w:right w:val="single" w:color="000000" w:sz="4" w:space="0"/>
            </w:tcBorders>
            <w:shd w:val="clear" w:color="auto" w:fill="auto"/>
            <w:vAlign w:val="center"/>
          </w:tcPr>
          <w:p w14:paraId="59ED7720">
            <w:pPr>
              <w:jc w:val="center"/>
              <w:rPr>
                <w:rFonts w:hint="eastAsia" w:ascii="宋体" w:hAnsi="宋体" w:eastAsia="宋体" w:cs="宋体"/>
                <w:i w:val="0"/>
                <w:iCs w:val="0"/>
                <w:color w:val="000000"/>
                <w:sz w:val="16"/>
                <w:szCs w:val="16"/>
                <w:u w:val="none"/>
              </w:rPr>
            </w:pPr>
          </w:p>
        </w:tc>
        <w:tc>
          <w:tcPr>
            <w:tcW w:w="887" w:type="dxa"/>
            <w:vMerge w:val="continue"/>
            <w:tcBorders>
              <w:top w:val="single" w:color="000000" w:sz="4" w:space="0"/>
              <w:left w:val="nil"/>
              <w:bottom w:val="single" w:color="000000" w:sz="4" w:space="0"/>
              <w:right w:val="single" w:color="000000" w:sz="4" w:space="0"/>
            </w:tcBorders>
            <w:shd w:val="clear" w:color="auto" w:fill="auto"/>
            <w:vAlign w:val="center"/>
          </w:tcPr>
          <w:p w14:paraId="12AE2E72">
            <w:pPr>
              <w:jc w:val="center"/>
              <w:rPr>
                <w:rFonts w:hint="eastAsia" w:ascii="宋体" w:hAnsi="宋体" w:eastAsia="宋体" w:cs="宋体"/>
                <w:i w:val="0"/>
                <w:iCs w:val="0"/>
                <w:color w:val="000000"/>
                <w:sz w:val="16"/>
                <w:szCs w:val="16"/>
                <w:u w:val="none"/>
              </w:rPr>
            </w:pPr>
          </w:p>
        </w:tc>
        <w:tc>
          <w:tcPr>
            <w:tcW w:w="209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28D8C53">
            <w:pPr>
              <w:jc w:val="left"/>
              <w:rPr>
                <w:rFonts w:hint="eastAsia" w:ascii="宋体" w:hAnsi="宋体" w:eastAsia="宋体" w:cs="宋体"/>
                <w:i w:val="0"/>
                <w:iCs w:val="0"/>
                <w:color w:val="000000"/>
                <w:sz w:val="16"/>
                <w:szCs w:val="16"/>
                <w:u w:val="none"/>
              </w:rPr>
            </w:pPr>
          </w:p>
        </w:tc>
        <w:tc>
          <w:tcPr>
            <w:tcW w:w="9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863F35">
            <w:pPr>
              <w:jc w:val="center"/>
              <w:rPr>
                <w:rFonts w:hint="default" w:ascii="Calibri" w:hAnsi="Calibri" w:eastAsia="宋体" w:cs="Calibri"/>
                <w:i w:val="0"/>
                <w:iCs w:val="0"/>
                <w:color w:val="000000"/>
                <w:sz w:val="21"/>
                <w:szCs w:val="21"/>
                <w:u w:val="none"/>
              </w:rPr>
            </w:pPr>
          </w:p>
        </w:tc>
        <w:tc>
          <w:tcPr>
            <w:tcW w:w="9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C2B655">
            <w:pPr>
              <w:jc w:val="center"/>
              <w:rPr>
                <w:rFonts w:hint="default" w:ascii="Calibri" w:hAnsi="Calibri" w:eastAsia="宋体" w:cs="Calibri"/>
                <w:i w:val="0"/>
                <w:iCs w:val="0"/>
                <w:color w:val="000000"/>
                <w:sz w:val="21"/>
                <w:szCs w:val="21"/>
                <w:u w:val="none"/>
              </w:rPr>
            </w:pPr>
          </w:p>
        </w:tc>
        <w:tc>
          <w:tcPr>
            <w:tcW w:w="18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4E0839">
            <w:pPr>
              <w:jc w:val="center"/>
              <w:rPr>
                <w:rFonts w:hint="default" w:ascii="Calibri" w:hAnsi="Calibri" w:eastAsia="宋体" w:cs="Calibri"/>
                <w:i w:val="0"/>
                <w:iCs w:val="0"/>
                <w:color w:val="000000"/>
                <w:sz w:val="21"/>
                <w:szCs w:val="21"/>
                <w:u w:val="none"/>
              </w:rPr>
            </w:pPr>
          </w:p>
        </w:tc>
      </w:tr>
      <w:tr w14:paraId="69ED3BF2">
        <w:tblPrEx>
          <w:shd w:val="clear" w:color="auto" w:fill="auto"/>
          <w:tblCellMar>
            <w:top w:w="0" w:type="dxa"/>
            <w:left w:w="108" w:type="dxa"/>
            <w:bottom w:w="0" w:type="dxa"/>
            <w:right w:w="108" w:type="dxa"/>
          </w:tblCellMar>
        </w:tblPrEx>
        <w:trPr>
          <w:trHeight w:val="314" w:hRule="atLeast"/>
        </w:trPr>
        <w:tc>
          <w:tcPr>
            <w:tcW w:w="1078" w:type="dxa"/>
            <w:vMerge w:val="continue"/>
            <w:tcBorders>
              <w:top w:val="single" w:color="000000" w:sz="4" w:space="0"/>
              <w:left w:val="single" w:color="000000" w:sz="4" w:space="0"/>
              <w:bottom w:val="single" w:color="000000" w:sz="4" w:space="0"/>
              <w:right w:val="nil"/>
            </w:tcBorders>
            <w:shd w:val="clear" w:color="auto" w:fill="auto"/>
            <w:vAlign w:val="center"/>
          </w:tcPr>
          <w:p w14:paraId="2DCE5256">
            <w:pPr>
              <w:jc w:val="center"/>
              <w:rPr>
                <w:rFonts w:hint="eastAsia" w:ascii="宋体" w:hAnsi="宋体" w:eastAsia="宋体" w:cs="宋体"/>
                <w:i w:val="0"/>
                <w:iCs w:val="0"/>
                <w:color w:val="000000"/>
                <w:sz w:val="16"/>
                <w:szCs w:val="16"/>
                <w:u w:val="none"/>
              </w:rPr>
            </w:pPr>
          </w:p>
        </w:tc>
        <w:tc>
          <w:tcPr>
            <w:tcW w:w="1282" w:type="dxa"/>
            <w:vMerge w:val="continue"/>
            <w:tcBorders>
              <w:top w:val="nil"/>
              <w:left w:val="single" w:color="000000" w:sz="4" w:space="0"/>
              <w:bottom w:val="nil"/>
              <w:right w:val="single" w:color="000000" w:sz="4" w:space="0"/>
            </w:tcBorders>
            <w:shd w:val="clear" w:color="auto" w:fill="auto"/>
            <w:vAlign w:val="center"/>
          </w:tcPr>
          <w:p w14:paraId="658AB39F">
            <w:pPr>
              <w:jc w:val="center"/>
              <w:rPr>
                <w:rFonts w:hint="eastAsia" w:ascii="宋体" w:hAnsi="宋体" w:eastAsia="宋体" w:cs="宋体"/>
                <w:i w:val="0"/>
                <w:iCs w:val="0"/>
                <w:color w:val="000000"/>
                <w:sz w:val="16"/>
                <w:szCs w:val="16"/>
                <w:u w:val="none"/>
              </w:rPr>
            </w:pPr>
          </w:p>
        </w:tc>
        <w:tc>
          <w:tcPr>
            <w:tcW w:w="887" w:type="dxa"/>
            <w:vMerge w:val="restart"/>
            <w:tcBorders>
              <w:top w:val="single" w:color="000000" w:sz="4" w:space="0"/>
              <w:left w:val="nil"/>
              <w:bottom w:val="single" w:color="000000" w:sz="4" w:space="0"/>
              <w:right w:val="single" w:color="000000" w:sz="4" w:space="0"/>
            </w:tcBorders>
            <w:shd w:val="clear" w:color="auto" w:fill="auto"/>
            <w:vAlign w:val="center"/>
          </w:tcPr>
          <w:p w14:paraId="584BB5B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生态效益指标</w:t>
            </w:r>
          </w:p>
        </w:tc>
        <w:tc>
          <w:tcPr>
            <w:tcW w:w="209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8A9016D">
            <w:pPr>
              <w:jc w:val="left"/>
              <w:rPr>
                <w:rFonts w:hint="eastAsia" w:ascii="宋体" w:hAnsi="宋体" w:eastAsia="宋体" w:cs="宋体"/>
                <w:i w:val="0"/>
                <w:iCs w:val="0"/>
                <w:color w:val="000000"/>
                <w:sz w:val="16"/>
                <w:szCs w:val="16"/>
                <w:u w:val="none"/>
              </w:rPr>
            </w:pPr>
          </w:p>
        </w:tc>
        <w:tc>
          <w:tcPr>
            <w:tcW w:w="9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67A555">
            <w:pPr>
              <w:jc w:val="center"/>
              <w:rPr>
                <w:rFonts w:hint="eastAsia" w:ascii="宋体" w:hAnsi="宋体" w:eastAsia="宋体" w:cs="宋体"/>
                <w:i w:val="0"/>
                <w:iCs w:val="0"/>
                <w:color w:val="000000"/>
                <w:sz w:val="16"/>
                <w:szCs w:val="16"/>
                <w:u w:val="none"/>
              </w:rPr>
            </w:pPr>
          </w:p>
        </w:tc>
        <w:tc>
          <w:tcPr>
            <w:tcW w:w="9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081E4C">
            <w:pPr>
              <w:jc w:val="center"/>
              <w:rPr>
                <w:rFonts w:hint="eastAsia" w:ascii="宋体" w:hAnsi="宋体" w:eastAsia="宋体" w:cs="宋体"/>
                <w:i w:val="0"/>
                <w:iCs w:val="0"/>
                <w:color w:val="000000"/>
                <w:sz w:val="16"/>
                <w:szCs w:val="16"/>
                <w:u w:val="none"/>
              </w:rPr>
            </w:pPr>
          </w:p>
        </w:tc>
        <w:tc>
          <w:tcPr>
            <w:tcW w:w="18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C6FE58">
            <w:pPr>
              <w:jc w:val="center"/>
              <w:rPr>
                <w:rFonts w:hint="default" w:ascii="Calibri" w:hAnsi="Calibri" w:eastAsia="宋体" w:cs="Calibri"/>
                <w:i w:val="0"/>
                <w:iCs w:val="0"/>
                <w:color w:val="000000"/>
                <w:sz w:val="21"/>
                <w:szCs w:val="21"/>
                <w:u w:val="none"/>
              </w:rPr>
            </w:pPr>
          </w:p>
        </w:tc>
      </w:tr>
      <w:tr w14:paraId="36491828">
        <w:tblPrEx>
          <w:shd w:val="clear" w:color="auto" w:fill="auto"/>
          <w:tblCellMar>
            <w:top w:w="0" w:type="dxa"/>
            <w:left w:w="108" w:type="dxa"/>
            <w:bottom w:w="0" w:type="dxa"/>
            <w:right w:w="108" w:type="dxa"/>
          </w:tblCellMar>
        </w:tblPrEx>
        <w:trPr>
          <w:trHeight w:val="314" w:hRule="atLeast"/>
        </w:trPr>
        <w:tc>
          <w:tcPr>
            <w:tcW w:w="1078" w:type="dxa"/>
            <w:vMerge w:val="continue"/>
            <w:tcBorders>
              <w:top w:val="single" w:color="000000" w:sz="4" w:space="0"/>
              <w:left w:val="single" w:color="000000" w:sz="4" w:space="0"/>
              <w:bottom w:val="single" w:color="000000" w:sz="4" w:space="0"/>
              <w:right w:val="nil"/>
            </w:tcBorders>
            <w:shd w:val="clear" w:color="auto" w:fill="auto"/>
            <w:vAlign w:val="center"/>
          </w:tcPr>
          <w:p w14:paraId="4C3CB198">
            <w:pPr>
              <w:jc w:val="center"/>
              <w:rPr>
                <w:rFonts w:hint="eastAsia" w:ascii="宋体" w:hAnsi="宋体" w:eastAsia="宋体" w:cs="宋体"/>
                <w:i w:val="0"/>
                <w:iCs w:val="0"/>
                <w:color w:val="000000"/>
                <w:sz w:val="16"/>
                <w:szCs w:val="16"/>
                <w:u w:val="none"/>
              </w:rPr>
            </w:pPr>
          </w:p>
        </w:tc>
        <w:tc>
          <w:tcPr>
            <w:tcW w:w="1282" w:type="dxa"/>
            <w:vMerge w:val="continue"/>
            <w:tcBorders>
              <w:top w:val="nil"/>
              <w:left w:val="single" w:color="000000" w:sz="4" w:space="0"/>
              <w:bottom w:val="nil"/>
              <w:right w:val="single" w:color="000000" w:sz="4" w:space="0"/>
            </w:tcBorders>
            <w:shd w:val="clear" w:color="auto" w:fill="auto"/>
            <w:vAlign w:val="center"/>
          </w:tcPr>
          <w:p w14:paraId="4C8F1478">
            <w:pPr>
              <w:jc w:val="center"/>
              <w:rPr>
                <w:rFonts w:hint="eastAsia" w:ascii="宋体" w:hAnsi="宋体" w:eastAsia="宋体" w:cs="宋体"/>
                <w:i w:val="0"/>
                <w:iCs w:val="0"/>
                <w:color w:val="000000"/>
                <w:sz w:val="16"/>
                <w:szCs w:val="16"/>
                <w:u w:val="none"/>
              </w:rPr>
            </w:pPr>
          </w:p>
        </w:tc>
        <w:tc>
          <w:tcPr>
            <w:tcW w:w="887" w:type="dxa"/>
            <w:vMerge w:val="continue"/>
            <w:tcBorders>
              <w:top w:val="single" w:color="000000" w:sz="4" w:space="0"/>
              <w:left w:val="nil"/>
              <w:bottom w:val="single" w:color="000000" w:sz="4" w:space="0"/>
              <w:right w:val="single" w:color="000000" w:sz="4" w:space="0"/>
            </w:tcBorders>
            <w:shd w:val="clear" w:color="auto" w:fill="auto"/>
            <w:vAlign w:val="center"/>
          </w:tcPr>
          <w:p w14:paraId="7AE63EB0">
            <w:pPr>
              <w:jc w:val="center"/>
              <w:rPr>
                <w:rFonts w:hint="eastAsia" w:ascii="宋体" w:hAnsi="宋体" w:eastAsia="宋体" w:cs="宋体"/>
                <w:i w:val="0"/>
                <w:iCs w:val="0"/>
                <w:color w:val="000000"/>
                <w:sz w:val="16"/>
                <w:szCs w:val="16"/>
                <w:u w:val="none"/>
              </w:rPr>
            </w:pPr>
          </w:p>
        </w:tc>
        <w:tc>
          <w:tcPr>
            <w:tcW w:w="209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188D632">
            <w:pPr>
              <w:jc w:val="left"/>
              <w:rPr>
                <w:rFonts w:hint="eastAsia" w:ascii="宋体" w:hAnsi="宋体" w:eastAsia="宋体" w:cs="宋体"/>
                <w:i w:val="0"/>
                <w:iCs w:val="0"/>
                <w:color w:val="000000"/>
                <w:sz w:val="16"/>
                <w:szCs w:val="16"/>
                <w:u w:val="none"/>
              </w:rPr>
            </w:pPr>
          </w:p>
        </w:tc>
        <w:tc>
          <w:tcPr>
            <w:tcW w:w="9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7BFF45">
            <w:pPr>
              <w:jc w:val="center"/>
              <w:rPr>
                <w:rFonts w:hint="default" w:ascii="Calibri" w:hAnsi="Calibri" w:eastAsia="宋体" w:cs="Calibri"/>
                <w:i w:val="0"/>
                <w:iCs w:val="0"/>
                <w:color w:val="000000"/>
                <w:sz w:val="21"/>
                <w:szCs w:val="21"/>
                <w:u w:val="none"/>
              </w:rPr>
            </w:pPr>
          </w:p>
        </w:tc>
        <w:tc>
          <w:tcPr>
            <w:tcW w:w="9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CE2EEA">
            <w:pPr>
              <w:jc w:val="center"/>
              <w:rPr>
                <w:rFonts w:hint="default" w:ascii="Calibri" w:hAnsi="Calibri" w:eastAsia="宋体" w:cs="Calibri"/>
                <w:i w:val="0"/>
                <w:iCs w:val="0"/>
                <w:color w:val="000000"/>
                <w:sz w:val="21"/>
                <w:szCs w:val="21"/>
                <w:u w:val="none"/>
              </w:rPr>
            </w:pPr>
          </w:p>
        </w:tc>
        <w:tc>
          <w:tcPr>
            <w:tcW w:w="18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F85104">
            <w:pPr>
              <w:jc w:val="center"/>
              <w:rPr>
                <w:rFonts w:hint="default" w:ascii="Calibri" w:hAnsi="Calibri" w:eastAsia="宋体" w:cs="Calibri"/>
                <w:i w:val="0"/>
                <w:iCs w:val="0"/>
                <w:color w:val="000000"/>
                <w:sz w:val="21"/>
                <w:szCs w:val="21"/>
                <w:u w:val="none"/>
              </w:rPr>
            </w:pPr>
          </w:p>
        </w:tc>
      </w:tr>
      <w:tr w14:paraId="02B045AB">
        <w:tblPrEx>
          <w:shd w:val="clear" w:color="auto" w:fill="auto"/>
          <w:tblCellMar>
            <w:top w:w="0" w:type="dxa"/>
            <w:left w:w="108" w:type="dxa"/>
            <w:bottom w:w="0" w:type="dxa"/>
            <w:right w:w="108" w:type="dxa"/>
          </w:tblCellMar>
        </w:tblPrEx>
        <w:trPr>
          <w:trHeight w:val="314" w:hRule="atLeast"/>
        </w:trPr>
        <w:tc>
          <w:tcPr>
            <w:tcW w:w="1078" w:type="dxa"/>
            <w:vMerge w:val="continue"/>
            <w:tcBorders>
              <w:top w:val="single" w:color="000000" w:sz="4" w:space="0"/>
              <w:left w:val="single" w:color="000000" w:sz="4" w:space="0"/>
              <w:bottom w:val="single" w:color="000000" w:sz="4" w:space="0"/>
              <w:right w:val="nil"/>
            </w:tcBorders>
            <w:shd w:val="clear" w:color="auto" w:fill="auto"/>
            <w:vAlign w:val="center"/>
          </w:tcPr>
          <w:p w14:paraId="67BC41E2">
            <w:pPr>
              <w:jc w:val="center"/>
              <w:rPr>
                <w:rFonts w:hint="eastAsia" w:ascii="宋体" w:hAnsi="宋体" w:eastAsia="宋体" w:cs="宋体"/>
                <w:i w:val="0"/>
                <w:iCs w:val="0"/>
                <w:color w:val="000000"/>
                <w:sz w:val="16"/>
                <w:szCs w:val="16"/>
                <w:u w:val="none"/>
              </w:rPr>
            </w:pPr>
          </w:p>
        </w:tc>
        <w:tc>
          <w:tcPr>
            <w:tcW w:w="1282" w:type="dxa"/>
            <w:vMerge w:val="continue"/>
            <w:tcBorders>
              <w:top w:val="nil"/>
              <w:left w:val="single" w:color="000000" w:sz="4" w:space="0"/>
              <w:bottom w:val="nil"/>
              <w:right w:val="single" w:color="000000" w:sz="4" w:space="0"/>
            </w:tcBorders>
            <w:shd w:val="clear" w:color="auto" w:fill="auto"/>
            <w:vAlign w:val="center"/>
          </w:tcPr>
          <w:p w14:paraId="63726FC6">
            <w:pPr>
              <w:jc w:val="center"/>
              <w:rPr>
                <w:rFonts w:hint="eastAsia" w:ascii="宋体" w:hAnsi="宋体" w:eastAsia="宋体" w:cs="宋体"/>
                <w:i w:val="0"/>
                <w:iCs w:val="0"/>
                <w:color w:val="000000"/>
                <w:sz w:val="16"/>
                <w:szCs w:val="16"/>
                <w:u w:val="none"/>
              </w:rPr>
            </w:pPr>
          </w:p>
        </w:tc>
        <w:tc>
          <w:tcPr>
            <w:tcW w:w="887" w:type="dxa"/>
            <w:vMerge w:val="continue"/>
            <w:tcBorders>
              <w:top w:val="single" w:color="000000" w:sz="4" w:space="0"/>
              <w:left w:val="nil"/>
              <w:bottom w:val="single" w:color="000000" w:sz="4" w:space="0"/>
              <w:right w:val="single" w:color="000000" w:sz="4" w:space="0"/>
            </w:tcBorders>
            <w:shd w:val="clear" w:color="auto" w:fill="auto"/>
            <w:vAlign w:val="center"/>
          </w:tcPr>
          <w:p w14:paraId="0F142F85">
            <w:pPr>
              <w:jc w:val="center"/>
              <w:rPr>
                <w:rFonts w:hint="eastAsia" w:ascii="宋体" w:hAnsi="宋体" w:eastAsia="宋体" w:cs="宋体"/>
                <w:i w:val="0"/>
                <w:iCs w:val="0"/>
                <w:color w:val="000000"/>
                <w:sz w:val="16"/>
                <w:szCs w:val="16"/>
                <w:u w:val="none"/>
              </w:rPr>
            </w:pPr>
          </w:p>
        </w:tc>
        <w:tc>
          <w:tcPr>
            <w:tcW w:w="209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83DBD94">
            <w:pPr>
              <w:jc w:val="left"/>
              <w:rPr>
                <w:rFonts w:hint="eastAsia" w:ascii="宋体" w:hAnsi="宋体" w:eastAsia="宋体" w:cs="宋体"/>
                <w:i w:val="0"/>
                <w:iCs w:val="0"/>
                <w:color w:val="000000"/>
                <w:sz w:val="16"/>
                <w:szCs w:val="16"/>
                <w:u w:val="none"/>
              </w:rPr>
            </w:pPr>
          </w:p>
        </w:tc>
        <w:tc>
          <w:tcPr>
            <w:tcW w:w="9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F62403">
            <w:pPr>
              <w:jc w:val="center"/>
              <w:rPr>
                <w:rFonts w:hint="default" w:ascii="Calibri" w:hAnsi="Calibri" w:eastAsia="宋体" w:cs="Calibri"/>
                <w:i w:val="0"/>
                <w:iCs w:val="0"/>
                <w:color w:val="000000"/>
                <w:sz w:val="21"/>
                <w:szCs w:val="21"/>
                <w:u w:val="none"/>
              </w:rPr>
            </w:pPr>
          </w:p>
        </w:tc>
        <w:tc>
          <w:tcPr>
            <w:tcW w:w="9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D126B2">
            <w:pPr>
              <w:jc w:val="center"/>
              <w:rPr>
                <w:rFonts w:hint="default" w:ascii="Calibri" w:hAnsi="Calibri" w:eastAsia="宋体" w:cs="Calibri"/>
                <w:i w:val="0"/>
                <w:iCs w:val="0"/>
                <w:color w:val="000000"/>
                <w:sz w:val="21"/>
                <w:szCs w:val="21"/>
                <w:u w:val="none"/>
              </w:rPr>
            </w:pPr>
          </w:p>
        </w:tc>
        <w:tc>
          <w:tcPr>
            <w:tcW w:w="18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A5E3C1">
            <w:pPr>
              <w:jc w:val="center"/>
              <w:rPr>
                <w:rFonts w:hint="default" w:ascii="Calibri" w:hAnsi="Calibri" w:eastAsia="宋体" w:cs="Calibri"/>
                <w:i w:val="0"/>
                <w:iCs w:val="0"/>
                <w:color w:val="000000"/>
                <w:sz w:val="21"/>
                <w:szCs w:val="21"/>
                <w:u w:val="none"/>
              </w:rPr>
            </w:pPr>
          </w:p>
        </w:tc>
      </w:tr>
      <w:tr w14:paraId="7FB056AC">
        <w:tblPrEx>
          <w:shd w:val="clear" w:color="auto" w:fill="auto"/>
          <w:tblCellMar>
            <w:top w:w="0" w:type="dxa"/>
            <w:left w:w="108" w:type="dxa"/>
            <w:bottom w:w="0" w:type="dxa"/>
            <w:right w:w="108" w:type="dxa"/>
          </w:tblCellMar>
        </w:tblPrEx>
        <w:trPr>
          <w:trHeight w:val="618" w:hRule="atLeast"/>
        </w:trPr>
        <w:tc>
          <w:tcPr>
            <w:tcW w:w="1078" w:type="dxa"/>
            <w:vMerge w:val="continue"/>
            <w:tcBorders>
              <w:top w:val="single" w:color="000000" w:sz="4" w:space="0"/>
              <w:left w:val="single" w:color="000000" w:sz="4" w:space="0"/>
              <w:bottom w:val="single" w:color="000000" w:sz="4" w:space="0"/>
              <w:right w:val="nil"/>
            </w:tcBorders>
            <w:shd w:val="clear" w:color="auto" w:fill="auto"/>
            <w:vAlign w:val="center"/>
          </w:tcPr>
          <w:p w14:paraId="2DA57899">
            <w:pPr>
              <w:jc w:val="center"/>
              <w:rPr>
                <w:rFonts w:hint="eastAsia" w:ascii="宋体" w:hAnsi="宋体" w:eastAsia="宋体" w:cs="宋体"/>
                <w:i w:val="0"/>
                <w:iCs w:val="0"/>
                <w:color w:val="000000"/>
                <w:sz w:val="16"/>
                <w:szCs w:val="16"/>
                <w:u w:val="none"/>
              </w:rPr>
            </w:pPr>
          </w:p>
        </w:tc>
        <w:tc>
          <w:tcPr>
            <w:tcW w:w="1282" w:type="dxa"/>
            <w:vMerge w:val="continue"/>
            <w:tcBorders>
              <w:top w:val="nil"/>
              <w:left w:val="single" w:color="000000" w:sz="4" w:space="0"/>
              <w:bottom w:val="nil"/>
              <w:right w:val="single" w:color="000000" w:sz="4" w:space="0"/>
            </w:tcBorders>
            <w:shd w:val="clear" w:color="auto" w:fill="auto"/>
            <w:vAlign w:val="center"/>
          </w:tcPr>
          <w:p w14:paraId="7081EA56">
            <w:pPr>
              <w:jc w:val="center"/>
              <w:rPr>
                <w:rFonts w:hint="eastAsia" w:ascii="宋体" w:hAnsi="宋体" w:eastAsia="宋体" w:cs="宋体"/>
                <w:i w:val="0"/>
                <w:iCs w:val="0"/>
                <w:color w:val="000000"/>
                <w:sz w:val="16"/>
                <w:szCs w:val="16"/>
                <w:u w:val="none"/>
              </w:rPr>
            </w:pPr>
          </w:p>
        </w:tc>
        <w:tc>
          <w:tcPr>
            <w:tcW w:w="887" w:type="dxa"/>
            <w:vMerge w:val="restart"/>
            <w:tcBorders>
              <w:top w:val="single" w:color="000000" w:sz="4" w:space="0"/>
              <w:left w:val="nil"/>
              <w:bottom w:val="single" w:color="000000" w:sz="4" w:space="0"/>
              <w:right w:val="single" w:color="000000" w:sz="4" w:space="0"/>
            </w:tcBorders>
            <w:shd w:val="clear" w:color="auto" w:fill="auto"/>
            <w:vAlign w:val="center"/>
          </w:tcPr>
          <w:p w14:paraId="294CEFF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可持续影响指标</w:t>
            </w:r>
          </w:p>
        </w:tc>
        <w:tc>
          <w:tcPr>
            <w:tcW w:w="209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BBC31C7">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做好市级以上新闻媒体到藁城采访、调研工作</w:t>
            </w:r>
          </w:p>
        </w:tc>
        <w:tc>
          <w:tcPr>
            <w:tcW w:w="9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3F50C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较好</w:t>
            </w:r>
          </w:p>
        </w:tc>
        <w:tc>
          <w:tcPr>
            <w:tcW w:w="9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C96B8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较好</w:t>
            </w:r>
          </w:p>
        </w:tc>
        <w:tc>
          <w:tcPr>
            <w:tcW w:w="18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DB03B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17</w:t>
            </w:r>
          </w:p>
        </w:tc>
      </w:tr>
      <w:tr w14:paraId="243558FC">
        <w:tblPrEx>
          <w:shd w:val="clear" w:color="auto" w:fill="auto"/>
          <w:tblCellMar>
            <w:top w:w="0" w:type="dxa"/>
            <w:left w:w="108" w:type="dxa"/>
            <w:bottom w:w="0" w:type="dxa"/>
            <w:right w:w="108" w:type="dxa"/>
          </w:tblCellMar>
        </w:tblPrEx>
        <w:trPr>
          <w:trHeight w:val="314" w:hRule="atLeast"/>
        </w:trPr>
        <w:tc>
          <w:tcPr>
            <w:tcW w:w="1078" w:type="dxa"/>
            <w:vMerge w:val="continue"/>
            <w:tcBorders>
              <w:top w:val="single" w:color="000000" w:sz="4" w:space="0"/>
              <w:left w:val="single" w:color="000000" w:sz="4" w:space="0"/>
              <w:bottom w:val="single" w:color="000000" w:sz="4" w:space="0"/>
              <w:right w:val="nil"/>
            </w:tcBorders>
            <w:shd w:val="clear" w:color="auto" w:fill="auto"/>
            <w:vAlign w:val="center"/>
          </w:tcPr>
          <w:p w14:paraId="49DE0132">
            <w:pPr>
              <w:jc w:val="center"/>
              <w:rPr>
                <w:rFonts w:hint="eastAsia" w:ascii="宋体" w:hAnsi="宋体" w:eastAsia="宋体" w:cs="宋体"/>
                <w:i w:val="0"/>
                <w:iCs w:val="0"/>
                <w:color w:val="000000"/>
                <w:sz w:val="16"/>
                <w:szCs w:val="16"/>
                <w:u w:val="none"/>
              </w:rPr>
            </w:pPr>
          </w:p>
        </w:tc>
        <w:tc>
          <w:tcPr>
            <w:tcW w:w="1282" w:type="dxa"/>
            <w:vMerge w:val="continue"/>
            <w:tcBorders>
              <w:top w:val="nil"/>
              <w:left w:val="single" w:color="000000" w:sz="4" w:space="0"/>
              <w:bottom w:val="nil"/>
              <w:right w:val="single" w:color="000000" w:sz="4" w:space="0"/>
            </w:tcBorders>
            <w:shd w:val="clear" w:color="auto" w:fill="auto"/>
            <w:vAlign w:val="center"/>
          </w:tcPr>
          <w:p w14:paraId="0088A6A5">
            <w:pPr>
              <w:jc w:val="center"/>
              <w:rPr>
                <w:rFonts w:hint="eastAsia" w:ascii="宋体" w:hAnsi="宋体" w:eastAsia="宋体" w:cs="宋体"/>
                <w:i w:val="0"/>
                <w:iCs w:val="0"/>
                <w:color w:val="000000"/>
                <w:sz w:val="16"/>
                <w:szCs w:val="16"/>
                <w:u w:val="none"/>
              </w:rPr>
            </w:pPr>
          </w:p>
        </w:tc>
        <w:tc>
          <w:tcPr>
            <w:tcW w:w="887" w:type="dxa"/>
            <w:vMerge w:val="continue"/>
            <w:tcBorders>
              <w:top w:val="single" w:color="000000" w:sz="4" w:space="0"/>
              <w:left w:val="nil"/>
              <w:bottom w:val="single" w:color="000000" w:sz="4" w:space="0"/>
              <w:right w:val="single" w:color="000000" w:sz="4" w:space="0"/>
            </w:tcBorders>
            <w:shd w:val="clear" w:color="auto" w:fill="auto"/>
            <w:vAlign w:val="center"/>
          </w:tcPr>
          <w:p w14:paraId="533E64D7">
            <w:pPr>
              <w:jc w:val="center"/>
              <w:rPr>
                <w:rFonts w:hint="eastAsia" w:ascii="宋体" w:hAnsi="宋体" w:eastAsia="宋体" w:cs="宋体"/>
                <w:i w:val="0"/>
                <w:iCs w:val="0"/>
                <w:color w:val="000000"/>
                <w:sz w:val="16"/>
                <w:szCs w:val="16"/>
                <w:u w:val="none"/>
              </w:rPr>
            </w:pPr>
          </w:p>
        </w:tc>
        <w:tc>
          <w:tcPr>
            <w:tcW w:w="209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77AC569">
            <w:pPr>
              <w:jc w:val="left"/>
              <w:rPr>
                <w:rFonts w:hint="eastAsia" w:ascii="宋体" w:hAnsi="宋体" w:eastAsia="宋体" w:cs="宋体"/>
                <w:i w:val="0"/>
                <w:iCs w:val="0"/>
                <w:color w:val="000000"/>
                <w:sz w:val="16"/>
                <w:szCs w:val="16"/>
                <w:u w:val="none"/>
              </w:rPr>
            </w:pPr>
          </w:p>
        </w:tc>
        <w:tc>
          <w:tcPr>
            <w:tcW w:w="9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50A5E7">
            <w:pPr>
              <w:jc w:val="center"/>
              <w:rPr>
                <w:rFonts w:hint="default" w:ascii="Calibri" w:hAnsi="Calibri" w:eastAsia="宋体" w:cs="Calibri"/>
                <w:i w:val="0"/>
                <w:iCs w:val="0"/>
                <w:color w:val="000000"/>
                <w:sz w:val="21"/>
                <w:szCs w:val="21"/>
                <w:u w:val="none"/>
              </w:rPr>
            </w:pPr>
          </w:p>
        </w:tc>
        <w:tc>
          <w:tcPr>
            <w:tcW w:w="9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594401">
            <w:pPr>
              <w:jc w:val="center"/>
              <w:rPr>
                <w:rFonts w:hint="default" w:ascii="Calibri" w:hAnsi="Calibri" w:eastAsia="宋体" w:cs="Calibri"/>
                <w:i w:val="0"/>
                <w:iCs w:val="0"/>
                <w:color w:val="000000"/>
                <w:sz w:val="21"/>
                <w:szCs w:val="21"/>
                <w:u w:val="none"/>
              </w:rPr>
            </w:pPr>
          </w:p>
        </w:tc>
        <w:tc>
          <w:tcPr>
            <w:tcW w:w="18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D3E932">
            <w:pPr>
              <w:jc w:val="center"/>
              <w:rPr>
                <w:rFonts w:hint="default" w:ascii="Calibri" w:hAnsi="Calibri" w:eastAsia="宋体" w:cs="Calibri"/>
                <w:i w:val="0"/>
                <w:iCs w:val="0"/>
                <w:color w:val="000000"/>
                <w:sz w:val="21"/>
                <w:szCs w:val="21"/>
                <w:u w:val="none"/>
              </w:rPr>
            </w:pPr>
          </w:p>
        </w:tc>
      </w:tr>
      <w:tr w14:paraId="499EF508">
        <w:tblPrEx>
          <w:shd w:val="clear" w:color="auto" w:fill="auto"/>
          <w:tblCellMar>
            <w:top w:w="0" w:type="dxa"/>
            <w:left w:w="108" w:type="dxa"/>
            <w:bottom w:w="0" w:type="dxa"/>
            <w:right w:w="108" w:type="dxa"/>
          </w:tblCellMar>
        </w:tblPrEx>
        <w:trPr>
          <w:trHeight w:val="314" w:hRule="atLeast"/>
        </w:trPr>
        <w:tc>
          <w:tcPr>
            <w:tcW w:w="1078" w:type="dxa"/>
            <w:vMerge w:val="continue"/>
            <w:tcBorders>
              <w:top w:val="single" w:color="000000" w:sz="4" w:space="0"/>
              <w:left w:val="single" w:color="000000" w:sz="4" w:space="0"/>
              <w:bottom w:val="single" w:color="000000" w:sz="4" w:space="0"/>
              <w:right w:val="nil"/>
            </w:tcBorders>
            <w:shd w:val="clear" w:color="auto" w:fill="auto"/>
            <w:vAlign w:val="center"/>
          </w:tcPr>
          <w:p w14:paraId="048D3729">
            <w:pPr>
              <w:jc w:val="center"/>
              <w:rPr>
                <w:rFonts w:hint="eastAsia" w:ascii="宋体" w:hAnsi="宋体" w:eastAsia="宋体" w:cs="宋体"/>
                <w:i w:val="0"/>
                <w:iCs w:val="0"/>
                <w:color w:val="000000"/>
                <w:sz w:val="16"/>
                <w:szCs w:val="16"/>
                <w:u w:val="none"/>
              </w:rPr>
            </w:pPr>
          </w:p>
        </w:tc>
        <w:tc>
          <w:tcPr>
            <w:tcW w:w="1282" w:type="dxa"/>
            <w:vMerge w:val="continue"/>
            <w:tcBorders>
              <w:top w:val="nil"/>
              <w:left w:val="single" w:color="000000" w:sz="4" w:space="0"/>
              <w:bottom w:val="nil"/>
              <w:right w:val="single" w:color="000000" w:sz="4" w:space="0"/>
            </w:tcBorders>
            <w:shd w:val="clear" w:color="auto" w:fill="auto"/>
            <w:vAlign w:val="center"/>
          </w:tcPr>
          <w:p w14:paraId="25758619">
            <w:pPr>
              <w:jc w:val="center"/>
              <w:rPr>
                <w:rFonts w:hint="eastAsia" w:ascii="宋体" w:hAnsi="宋体" w:eastAsia="宋体" w:cs="宋体"/>
                <w:i w:val="0"/>
                <w:iCs w:val="0"/>
                <w:color w:val="000000"/>
                <w:sz w:val="16"/>
                <w:szCs w:val="16"/>
                <w:u w:val="none"/>
              </w:rPr>
            </w:pPr>
          </w:p>
        </w:tc>
        <w:tc>
          <w:tcPr>
            <w:tcW w:w="887" w:type="dxa"/>
            <w:vMerge w:val="continue"/>
            <w:tcBorders>
              <w:top w:val="single" w:color="000000" w:sz="4" w:space="0"/>
              <w:left w:val="nil"/>
              <w:bottom w:val="single" w:color="000000" w:sz="4" w:space="0"/>
              <w:right w:val="single" w:color="000000" w:sz="4" w:space="0"/>
            </w:tcBorders>
            <w:shd w:val="clear" w:color="auto" w:fill="auto"/>
            <w:vAlign w:val="center"/>
          </w:tcPr>
          <w:p w14:paraId="3CC1F761">
            <w:pPr>
              <w:jc w:val="center"/>
              <w:rPr>
                <w:rFonts w:hint="eastAsia" w:ascii="宋体" w:hAnsi="宋体" w:eastAsia="宋体" w:cs="宋体"/>
                <w:i w:val="0"/>
                <w:iCs w:val="0"/>
                <w:color w:val="000000"/>
                <w:sz w:val="16"/>
                <w:szCs w:val="16"/>
                <w:u w:val="none"/>
              </w:rPr>
            </w:pPr>
          </w:p>
        </w:tc>
        <w:tc>
          <w:tcPr>
            <w:tcW w:w="209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9CE92B3">
            <w:pPr>
              <w:jc w:val="left"/>
              <w:rPr>
                <w:rFonts w:hint="eastAsia" w:ascii="宋体" w:hAnsi="宋体" w:eastAsia="宋体" w:cs="宋体"/>
                <w:i w:val="0"/>
                <w:iCs w:val="0"/>
                <w:color w:val="000000"/>
                <w:sz w:val="16"/>
                <w:szCs w:val="16"/>
                <w:u w:val="none"/>
              </w:rPr>
            </w:pPr>
          </w:p>
        </w:tc>
        <w:tc>
          <w:tcPr>
            <w:tcW w:w="9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32A220">
            <w:pPr>
              <w:jc w:val="center"/>
              <w:rPr>
                <w:rFonts w:hint="default" w:ascii="Calibri" w:hAnsi="Calibri" w:eastAsia="宋体" w:cs="Calibri"/>
                <w:i w:val="0"/>
                <w:iCs w:val="0"/>
                <w:color w:val="000000"/>
                <w:sz w:val="21"/>
                <w:szCs w:val="21"/>
                <w:u w:val="none"/>
              </w:rPr>
            </w:pPr>
          </w:p>
        </w:tc>
        <w:tc>
          <w:tcPr>
            <w:tcW w:w="9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2EECC0">
            <w:pPr>
              <w:jc w:val="center"/>
              <w:rPr>
                <w:rFonts w:hint="default" w:ascii="Calibri" w:hAnsi="Calibri" w:eastAsia="宋体" w:cs="Calibri"/>
                <w:i w:val="0"/>
                <w:iCs w:val="0"/>
                <w:color w:val="000000"/>
                <w:sz w:val="21"/>
                <w:szCs w:val="21"/>
                <w:u w:val="none"/>
              </w:rPr>
            </w:pPr>
          </w:p>
        </w:tc>
        <w:tc>
          <w:tcPr>
            <w:tcW w:w="18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88AF57">
            <w:pPr>
              <w:jc w:val="center"/>
              <w:rPr>
                <w:rFonts w:hint="default" w:ascii="Calibri" w:hAnsi="Calibri" w:eastAsia="宋体" w:cs="Calibri"/>
                <w:i w:val="0"/>
                <w:iCs w:val="0"/>
                <w:color w:val="000000"/>
                <w:sz w:val="21"/>
                <w:szCs w:val="21"/>
                <w:u w:val="none"/>
              </w:rPr>
            </w:pPr>
          </w:p>
        </w:tc>
      </w:tr>
      <w:tr w14:paraId="6705844C">
        <w:tblPrEx>
          <w:tblCellMar>
            <w:top w:w="0" w:type="dxa"/>
            <w:left w:w="108" w:type="dxa"/>
            <w:bottom w:w="0" w:type="dxa"/>
            <w:right w:w="108" w:type="dxa"/>
          </w:tblCellMar>
        </w:tblPrEx>
        <w:trPr>
          <w:trHeight w:val="314" w:hRule="atLeast"/>
        </w:trPr>
        <w:tc>
          <w:tcPr>
            <w:tcW w:w="1078" w:type="dxa"/>
            <w:vMerge w:val="continue"/>
            <w:tcBorders>
              <w:top w:val="single" w:color="000000" w:sz="4" w:space="0"/>
              <w:left w:val="single" w:color="000000" w:sz="4" w:space="0"/>
              <w:bottom w:val="single" w:color="000000" w:sz="4" w:space="0"/>
              <w:right w:val="nil"/>
            </w:tcBorders>
            <w:shd w:val="clear" w:color="auto" w:fill="auto"/>
            <w:vAlign w:val="center"/>
          </w:tcPr>
          <w:p w14:paraId="6E348326">
            <w:pPr>
              <w:jc w:val="center"/>
              <w:rPr>
                <w:rFonts w:hint="eastAsia" w:ascii="宋体" w:hAnsi="宋体" w:eastAsia="宋体" w:cs="宋体"/>
                <w:i w:val="0"/>
                <w:iCs w:val="0"/>
                <w:color w:val="000000"/>
                <w:sz w:val="16"/>
                <w:szCs w:val="16"/>
                <w:u w:val="none"/>
              </w:rPr>
            </w:pPr>
          </w:p>
        </w:tc>
        <w:tc>
          <w:tcPr>
            <w:tcW w:w="1282"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283C68F">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满意度指标</w:t>
            </w:r>
          </w:p>
          <w:p w14:paraId="6AD1469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（10分）</w:t>
            </w:r>
          </w:p>
        </w:tc>
        <w:tc>
          <w:tcPr>
            <w:tcW w:w="887" w:type="dxa"/>
            <w:vMerge w:val="restart"/>
            <w:tcBorders>
              <w:top w:val="single" w:color="000000" w:sz="4" w:space="0"/>
              <w:left w:val="nil"/>
              <w:bottom w:val="single" w:color="000000" w:sz="4" w:space="0"/>
              <w:right w:val="single" w:color="000000" w:sz="4" w:space="0"/>
            </w:tcBorders>
            <w:shd w:val="clear" w:color="auto" w:fill="auto"/>
            <w:vAlign w:val="center"/>
          </w:tcPr>
          <w:p w14:paraId="7445394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满意度指标</w:t>
            </w:r>
          </w:p>
        </w:tc>
        <w:tc>
          <w:tcPr>
            <w:tcW w:w="209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C3011F1">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群众满意度</w:t>
            </w:r>
          </w:p>
        </w:tc>
        <w:tc>
          <w:tcPr>
            <w:tcW w:w="9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565D9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≥90%</w:t>
            </w:r>
          </w:p>
        </w:tc>
        <w:tc>
          <w:tcPr>
            <w:tcW w:w="9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3E9FB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100%</w:t>
            </w:r>
          </w:p>
        </w:tc>
        <w:tc>
          <w:tcPr>
            <w:tcW w:w="18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45E47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w:t>
            </w:r>
          </w:p>
        </w:tc>
      </w:tr>
      <w:tr w14:paraId="63629425">
        <w:tblPrEx>
          <w:shd w:val="clear" w:color="auto" w:fill="auto"/>
          <w:tblCellMar>
            <w:top w:w="0" w:type="dxa"/>
            <w:left w:w="108" w:type="dxa"/>
            <w:bottom w:w="0" w:type="dxa"/>
            <w:right w:w="108" w:type="dxa"/>
          </w:tblCellMar>
        </w:tblPrEx>
        <w:trPr>
          <w:trHeight w:val="314" w:hRule="atLeast"/>
        </w:trPr>
        <w:tc>
          <w:tcPr>
            <w:tcW w:w="1078" w:type="dxa"/>
            <w:vMerge w:val="continue"/>
            <w:tcBorders>
              <w:top w:val="single" w:color="000000" w:sz="4" w:space="0"/>
              <w:left w:val="single" w:color="000000" w:sz="4" w:space="0"/>
              <w:bottom w:val="single" w:color="000000" w:sz="4" w:space="0"/>
              <w:right w:val="nil"/>
            </w:tcBorders>
            <w:shd w:val="clear" w:color="auto" w:fill="auto"/>
            <w:vAlign w:val="center"/>
          </w:tcPr>
          <w:p w14:paraId="686E701E">
            <w:pPr>
              <w:jc w:val="center"/>
              <w:rPr>
                <w:rFonts w:hint="eastAsia" w:ascii="宋体" w:hAnsi="宋体" w:eastAsia="宋体" w:cs="宋体"/>
                <w:i w:val="0"/>
                <w:iCs w:val="0"/>
                <w:color w:val="000000"/>
                <w:sz w:val="16"/>
                <w:szCs w:val="16"/>
                <w:u w:val="none"/>
              </w:rPr>
            </w:pPr>
          </w:p>
        </w:tc>
        <w:tc>
          <w:tcPr>
            <w:tcW w:w="128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ECEE8C7">
            <w:pPr>
              <w:jc w:val="center"/>
              <w:rPr>
                <w:rFonts w:hint="eastAsia" w:ascii="宋体" w:hAnsi="宋体" w:eastAsia="宋体" w:cs="宋体"/>
                <w:i w:val="0"/>
                <w:iCs w:val="0"/>
                <w:color w:val="000000"/>
                <w:sz w:val="16"/>
                <w:szCs w:val="16"/>
                <w:u w:val="none"/>
              </w:rPr>
            </w:pPr>
          </w:p>
        </w:tc>
        <w:tc>
          <w:tcPr>
            <w:tcW w:w="887" w:type="dxa"/>
            <w:vMerge w:val="continue"/>
            <w:tcBorders>
              <w:top w:val="single" w:color="000000" w:sz="4" w:space="0"/>
              <w:left w:val="nil"/>
              <w:bottom w:val="single" w:color="000000" w:sz="4" w:space="0"/>
              <w:right w:val="single" w:color="000000" w:sz="4" w:space="0"/>
            </w:tcBorders>
            <w:shd w:val="clear" w:color="auto" w:fill="auto"/>
            <w:vAlign w:val="center"/>
          </w:tcPr>
          <w:p w14:paraId="4B92221D">
            <w:pPr>
              <w:jc w:val="center"/>
              <w:rPr>
                <w:rFonts w:hint="eastAsia" w:ascii="宋体" w:hAnsi="宋体" w:eastAsia="宋体" w:cs="宋体"/>
                <w:i w:val="0"/>
                <w:iCs w:val="0"/>
                <w:color w:val="000000"/>
                <w:sz w:val="16"/>
                <w:szCs w:val="16"/>
                <w:u w:val="none"/>
              </w:rPr>
            </w:pPr>
          </w:p>
        </w:tc>
        <w:tc>
          <w:tcPr>
            <w:tcW w:w="209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E130771">
            <w:pPr>
              <w:jc w:val="left"/>
              <w:rPr>
                <w:rFonts w:hint="eastAsia" w:ascii="宋体" w:hAnsi="宋体" w:eastAsia="宋体" w:cs="宋体"/>
                <w:i w:val="0"/>
                <w:iCs w:val="0"/>
                <w:color w:val="000000"/>
                <w:sz w:val="16"/>
                <w:szCs w:val="16"/>
                <w:u w:val="none"/>
              </w:rPr>
            </w:pPr>
          </w:p>
        </w:tc>
        <w:tc>
          <w:tcPr>
            <w:tcW w:w="9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6B325D">
            <w:pPr>
              <w:jc w:val="center"/>
              <w:rPr>
                <w:rFonts w:hint="default" w:ascii="Calibri" w:hAnsi="Calibri" w:eastAsia="宋体" w:cs="Calibri"/>
                <w:i w:val="0"/>
                <w:iCs w:val="0"/>
                <w:color w:val="000000"/>
                <w:sz w:val="21"/>
                <w:szCs w:val="21"/>
                <w:u w:val="none"/>
              </w:rPr>
            </w:pPr>
          </w:p>
        </w:tc>
        <w:tc>
          <w:tcPr>
            <w:tcW w:w="9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1712EF">
            <w:pPr>
              <w:jc w:val="center"/>
              <w:rPr>
                <w:rFonts w:hint="default" w:ascii="Calibri" w:hAnsi="Calibri" w:eastAsia="宋体" w:cs="Calibri"/>
                <w:i w:val="0"/>
                <w:iCs w:val="0"/>
                <w:color w:val="000000"/>
                <w:sz w:val="21"/>
                <w:szCs w:val="21"/>
                <w:u w:val="none"/>
              </w:rPr>
            </w:pPr>
          </w:p>
        </w:tc>
        <w:tc>
          <w:tcPr>
            <w:tcW w:w="18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F2B76F">
            <w:pPr>
              <w:jc w:val="center"/>
              <w:rPr>
                <w:rFonts w:hint="default" w:ascii="Calibri" w:hAnsi="Calibri" w:eastAsia="宋体" w:cs="Calibri"/>
                <w:i w:val="0"/>
                <w:iCs w:val="0"/>
                <w:color w:val="000000"/>
                <w:sz w:val="21"/>
                <w:szCs w:val="21"/>
                <w:u w:val="none"/>
              </w:rPr>
            </w:pPr>
          </w:p>
        </w:tc>
      </w:tr>
      <w:tr w14:paraId="2643FC3C">
        <w:tblPrEx>
          <w:shd w:val="clear" w:color="auto" w:fill="auto"/>
          <w:tblCellMar>
            <w:top w:w="0" w:type="dxa"/>
            <w:left w:w="108" w:type="dxa"/>
            <w:bottom w:w="0" w:type="dxa"/>
            <w:right w:w="108" w:type="dxa"/>
          </w:tblCellMar>
        </w:tblPrEx>
        <w:trPr>
          <w:trHeight w:val="314" w:hRule="atLeast"/>
        </w:trPr>
        <w:tc>
          <w:tcPr>
            <w:tcW w:w="1078" w:type="dxa"/>
            <w:vMerge w:val="continue"/>
            <w:tcBorders>
              <w:top w:val="single" w:color="000000" w:sz="4" w:space="0"/>
              <w:left w:val="single" w:color="000000" w:sz="4" w:space="0"/>
              <w:bottom w:val="single" w:color="000000" w:sz="4" w:space="0"/>
              <w:right w:val="nil"/>
            </w:tcBorders>
            <w:shd w:val="clear" w:color="auto" w:fill="auto"/>
            <w:vAlign w:val="center"/>
          </w:tcPr>
          <w:p w14:paraId="3D2377E9">
            <w:pPr>
              <w:jc w:val="center"/>
              <w:rPr>
                <w:rFonts w:hint="eastAsia" w:ascii="宋体" w:hAnsi="宋体" w:eastAsia="宋体" w:cs="宋体"/>
                <w:i w:val="0"/>
                <w:iCs w:val="0"/>
                <w:color w:val="000000"/>
                <w:sz w:val="16"/>
                <w:szCs w:val="16"/>
                <w:u w:val="none"/>
              </w:rPr>
            </w:pPr>
          </w:p>
        </w:tc>
        <w:tc>
          <w:tcPr>
            <w:tcW w:w="128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6303920">
            <w:pPr>
              <w:jc w:val="center"/>
              <w:rPr>
                <w:rFonts w:hint="eastAsia" w:ascii="宋体" w:hAnsi="宋体" w:eastAsia="宋体" w:cs="宋体"/>
                <w:i w:val="0"/>
                <w:iCs w:val="0"/>
                <w:color w:val="000000"/>
                <w:sz w:val="16"/>
                <w:szCs w:val="16"/>
                <w:u w:val="none"/>
              </w:rPr>
            </w:pPr>
          </w:p>
        </w:tc>
        <w:tc>
          <w:tcPr>
            <w:tcW w:w="887" w:type="dxa"/>
            <w:vMerge w:val="continue"/>
            <w:tcBorders>
              <w:top w:val="single" w:color="000000" w:sz="4" w:space="0"/>
              <w:left w:val="nil"/>
              <w:bottom w:val="single" w:color="000000" w:sz="4" w:space="0"/>
              <w:right w:val="single" w:color="000000" w:sz="4" w:space="0"/>
            </w:tcBorders>
            <w:shd w:val="clear" w:color="auto" w:fill="auto"/>
            <w:vAlign w:val="center"/>
          </w:tcPr>
          <w:p w14:paraId="087E310A">
            <w:pPr>
              <w:jc w:val="center"/>
              <w:rPr>
                <w:rFonts w:hint="eastAsia" w:ascii="宋体" w:hAnsi="宋体" w:eastAsia="宋体" w:cs="宋体"/>
                <w:i w:val="0"/>
                <w:iCs w:val="0"/>
                <w:color w:val="000000"/>
                <w:sz w:val="16"/>
                <w:szCs w:val="16"/>
                <w:u w:val="none"/>
              </w:rPr>
            </w:pPr>
          </w:p>
        </w:tc>
        <w:tc>
          <w:tcPr>
            <w:tcW w:w="2099" w:type="dxa"/>
            <w:gridSpan w:val="2"/>
            <w:tcBorders>
              <w:top w:val="single" w:color="000000" w:sz="4" w:space="0"/>
              <w:left w:val="single" w:color="000000" w:sz="4" w:space="0"/>
              <w:bottom w:val="nil"/>
              <w:right w:val="single" w:color="000000" w:sz="4" w:space="0"/>
            </w:tcBorders>
            <w:shd w:val="clear" w:color="auto" w:fill="auto"/>
            <w:vAlign w:val="center"/>
          </w:tcPr>
          <w:p w14:paraId="4EB13679">
            <w:pPr>
              <w:jc w:val="left"/>
              <w:rPr>
                <w:rFonts w:hint="eastAsia" w:ascii="宋体" w:hAnsi="宋体" w:eastAsia="宋体" w:cs="宋体"/>
                <w:i w:val="0"/>
                <w:iCs w:val="0"/>
                <w:color w:val="000000"/>
                <w:sz w:val="16"/>
                <w:szCs w:val="16"/>
                <w:u w:val="none"/>
              </w:rPr>
            </w:pPr>
          </w:p>
        </w:tc>
        <w:tc>
          <w:tcPr>
            <w:tcW w:w="956" w:type="dxa"/>
            <w:tcBorders>
              <w:top w:val="single" w:color="000000" w:sz="4" w:space="0"/>
              <w:left w:val="single" w:color="000000" w:sz="4" w:space="0"/>
              <w:bottom w:val="nil"/>
              <w:right w:val="single" w:color="000000" w:sz="4" w:space="0"/>
            </w:tcBorders>
            <w:shd w:val="clear" w:color="auto" w:fill="auto"/>
            <w:vAlign w:val="center"/>
          </w:tcPr>
          <w:p w14:paraId="180615FE">
            <w:pPr>
              <w:jc w:val="center"/>
              <w:rPr>
                <w:rFonts w:hint="default" w:ascii="Calibri" w:hAnsi="Calibri" w:eastAsia="宋体" w:cs="Calibri"/>
                <w:i w:val="0"/>
                <w:iCs w:val="0"/>
                <w:color w:val="000000"/>
                <w:sz w:val="21"/>
                <w:szCs w:val="21"/>
                <w:u w:val="none"/>
              </w:rPr>
            </w:pPr>
          </w:p>
        </w:tc>
        <w:tc>
          <w:tcPr>
            <w:tcW w:w="956" w:type="dxa"/>
            <w:tcBorders>
              <w:top w:val="single" w:color="000000" w:sz="4" w:space="0"/>
              <w:left w:val="single" w:color="000000" w:sz="4" w:space="0"/>
              <w:bottom w:val="nil"/>
              <w:right w:val="single" w:color="000000" w:sz="4" w:space="0"/>
            </w:tcBorders>
            <w:shd w:val="clear" w:color="auto" w:fill="auto"/>
            <w:vAlign w:val="center"/>
          </w:tcPr>
          <w:p w14:paraId="75779E1D">
            <w:pPr>
              <w:jc w:val="center"/>
              <w:rPr>
                <w:rFonts w:hint="default" w:ascii="Calibri" w:hAnsi="Calibri" w:eastAsia="宋体" w:cs="Calibri"/>
                <w:i w:val="0"/>
                <w:iCs w:val="0"/>
                <w:color w:val="000000"/>
                <w:sz w:val="21"/>
                <w:szCs w:val="21"/>
                <w:u w:val="none"/>
              </w:rPr>
            </w:pPr>
          </w:p>
        </w:tc>
        <w:tc>
          <w:tcPr>
            <w:tcW w:w="1842" w:type="dxa"/>
            <w:tcBorders>
              <w:top w:val="single" w:color="000000" w:sz="4" w:space="0"/>
              <w:left w:val="single" w:color="000000" w:sz="4" w:space="0"/>
              <w:bottom w:val="nil"/>
              <w:right w:val="single" w:color="000000" w:sz="4" w:space="0"/>
            </w:tcBorders>
            <w:shd w:val="clear" w:color="auto" w:fill="auto"/>
            <w:vAlign w:val="center"/>
          </w:tcPr>
          <w:p w14:paraId="19BDE1A3">
            <w:pPr>
              <w:jc w:val="center"/>
              <w:rPr>
                <w:rFonts w:hint="default" w:ascii="Calibri" w:hAnsi="Calibri" w:eastAsia="宋体" w:cs="Calibri"/>
                <w:i w:val="0"/>
                <w:iCs w:val="0"/>
                <w:color w:val="000000"/>
                <w:sz w:val="21"/>
                <w:szCs w:val="21"/>
                <w:u w:val="none"/>
              </w:rPr>
            </w:pPr>
          </w:p>
        </w:tc>
      </w:tr>
      <w:tr w14:paraId="0D736C1E">
        <w:tblPrEx>
          <w:shd w:val="clear" w:color="auto" w:fill="auto"/>
          <w:tblCellMar>
            <w:top w:w="0" w:type="dxa"/>
            <w:left w:w="108" w:type="dxa"/>
            <w:bottom w:w="0" w:type="dxa"/>
            <w:right w:w="108" w:type="dxa"/>
          </w:tblCellMar>
        </w:tblPrEx>
        <w:trPr>
          <w:trHeight w:val="314" w:hRule="atLeast"/>
        </w:trPr>
        <w:tc>
          <w:tcPr>
            <w:tcW w:w="1078" w:type="dxa"/>
            <w:vMerge w:val="continue"/>
            <w:tcBorders>
              <w:top w:val="single" w:color="000000" w:sz="4" w:space="0"/>
              <w:left w:val="single" w:color="000000" w:sz="4" w:space="0"/>
              <w:bottom w:val="single" w:color="000000" w:sz="4" w:space="0"/>
              <w:right w:val="nil"/>
            </w:tcBorders>
            <w:shd w:val="clear" w:color="auto" w:fill="auto"/>
            <w:vAlign w:val="center"/>
          </w:tcPr>
          <w:p w14:paraId="493EBD9E">
            <w:pPr>
              <w:jc w:val="center"/>
              <w:rPr>
                <w:rFonts w:hint="eastAsia" w:ascii="宋体" w:hAnsi="宋体" w:eastAsia="宋体" w:cs="宋体"/>
                <w:i w:val="0"/>
                <w:iCs w:val="0"/>
                <w:color w:val="000000"/>
                <w:sz w:val="16"/>
                <w:szCs w:val="16"/>
                <w:u w:val="none"/>
              </w:rPr>
            </w:pPr>
          </w:p>
        </w:tc>
        <w:tc>
          <w:tcPr>
            <w:tcW w:w="6180"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437F791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总分</w:t>
            </w:r>
          </w:p>
        </w:tc>
        <w:tc>
          <w:tcPr>
            <w:tcW w:w="18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DCF1A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97</w:t>
            </w:r>
          </w:p>
        </w:tc>
      </w:tr>
      <w:tr w14:paraId="27BB4050">
        <w:tblPrEx>
          <w:shd w:val="clear" w:color="auto" w:fill="auto"/>
          <w:tblCellMar>
            <w:top w:w="0" w:type="dxa"/>
            <w:left w:w="108" w:type="dxa"/>
            <w:bottom w:w="0" w:type="dxa"/>
            <w:right w:w="108" w:type="dxa"/>
          </w:tblCellMar>
        </w:tblPrEx>
        <w:trPr>
          <w:trHeight w:val="932" w:hRule="atLeast"/>
        </w:trPr>
        <w:tc>
          <w:tcPr>
            <w:tcW w:w="1078" w:type="dxa"/>
            <w:tcBorders>
              <w:top w:val="nil"/>
              <w:left w:val="single" w:color="000000" w:sz="4" w:space="0"/>
              <w:bottom w:val="single" w:color="000000" w:sz="4" w:space="0"/>
              <w:right w:val="single" w:color="000000" w:sz="4" w:space="0"/>
            </w:tcBorders>
            <w:shd w:val="clear" w:color="auto" w:fill="auto"/>
            <w:vAlign w:val="center"/>
          </w:tcPr>
          <w:p w14:paraId="11E1D38E">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五、</w:t>
            </w:r>
            <w:r>
              <w:rPr>
                <w:rFonts w:ascii="Calibri" w:hAnsi="Calibri" w:eastAsia="宋体" w:cs="Calibri"/>
                <w:i w:val="0"/>
                <w:iCs w:val="0"/>
                <w:color w:val="000000"/>
                <w:kern w:val="0"/>
                <w:sz w:val="16"/>
                <w:szCs w:val="16"/>
                <w:u w:val="none"/>
                <w:lang w:val="en-US" w:eastAsia="zh-CN" w:bidi="ar"/>
              </w:rPr>
              <w:t xml:space="preserve"> </w:t>
            </w:r>
            <w:r>
              <w:rPr>
                <w:rFonts w:hint="eastAsia" w:ascii="宋体" w:hAnsi="宋体" w:eastAsia="宋体" w:cs="宋体"/>
                <w:i w:val="0"/>
                <w:iCs w:val="0"/>
                <w:color w:val="000000"/>
                <w:kern w:val="0"/>
                <w:sz w:val="16"/>
                <w:szCs w:val="16"/>
                <w:u w:val="none"/>
                <w:lang w:val="en-US" w:eastAsia="zh-CN" w:bidi="ar"/>
              </w:rPr>
              <w:t>存在问题、原因及下一步整改措施</w:t>
            </w:r>
          </w:p>
        </w:tc>
        <w:tc>
          <w:tcPr>
            <w:tcW w:w="8022"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332A943B">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无</w:t>
            </w:r>
          </w:p>
        </w:tc>
      </w:tr>
    </w:tbl>
    <w:p w14:paraId="011432F5">
      <w:pPr>
        <w:adjustRightInd w:val="0"/>
        <w:snapToGrid w:val="0"/>
        <w:spacing w:line="600" w:lineRule="exact"/>
        <w:rPr>
          <w:rFonts w:ascii="仿宋_GB2312" w:hAnsi="仿宋_GB2312" w:eastAsia="仿宋_GB2312" w:cs="仿宋_GB2312"/>
          <w:sz w:val="32"/>
          <w:szCs w:val="32"/>
        </w:rPr>
      </w:pPr>
    </w:p>
    <w:p w14:paraId="38F676B2">
      <w:pPr>
        <w:adjustRightInd w:val="0"/>
        <w:snapToGrid w:val="0"/>
        <w:spacing w:line="600" w:lineRule="exact"/>
        <w:ind w:firstLine="643" w:firstLineChars="200"/>
        <w:rPr>
          <w:rFonts w:hint="eastAsia" w:ascii="楷体_GB2312" w:hAnsi="楷体_GB2312" w:eastAsia="楷体_GB2312" w:cs="楷体_GB2312"/>
          <w:b/>
          <w:bCs/>
          <w:sz w:val="32"/>
          <w:szCs w:val="32"/>
        </w:rPr>
      </w:pPr>
      <w:r>
        <w:rPr>
          <w:rFonts w:hint="eastAsia" w:ascii="楷体_GB2312" w:hAnsi="楷体_GB2312" w:eastAsia="楷体_GB2312" w:cs="楷体_GB2312"/>
          <w:b/>
          <w:bCs/>
          <w:sz w:val="32"/>
          <w:szCs w:val="32"/>
        </w:rPr>
        <w:t>（三）财政评价项目绩效评价结果</w:t>
      </w:r>
    </w:p>
    <w:p w14:paraId="203E71E8">
      <w:pPr>
        <w:adjustRightInd w:val="0"/>
        <w:snapToGrid w:val="0"/>
        <w:spacing w:line="600" w:lineRule="exact"/>
        <w:ind w:firstLine="640" w:firstLineChars="200"/>
        <w:rPr>
          <w:rFonts w:hint="eastAsia" w:ascii="楷体_GB2312" w:hAnsi="楷体_GB2312" w:eastAsia="楷体_GB2312" w:cs="楷体_GB2312"/>
          <w:b w:val="0"/>
          <w:bCs w:val="0"/>
          <w:sz w:val="32"/>
          <w:szCs w:val="32"/>
          <w:lang w:eastAsia="zh-CN"/>
        </w:rPr>
      </w:pPr>
      <w:r>
        <w:rPr>
          <w:rFonts w:hint="eastAsia" w:ascii="仿宋_GB2312" w:hAnsi="仿宋_GB2312" w:eastAsia="仿宋_GB2312" w:cs="仿宋_GB2312"/>
          <w:b w:val="0"/>
          <w:bCs w:val="0"/>
          <w:sz w:val="32"/>
          <w:szCs w:val="32"/>
          <w:lang w:eastAsia="zh-CN"/>
        </w:rPr>
        <w:t>无</w:t>
      </w:r>
    </w:p>
    <w:p w14:paraId="7A5990EF">
      <w:pPr>
        <w:keepNext/>
        <w:keepLines/>
        <w:snapToGrid w:val="0"/>
        <w:spacing w:line="600" w:lineRule="exact"/>
        <w:ind w:firstLine="640" w:firstLineChars="200"/>
        <w:outlineLvl w:val="1"/>
        <w:rPr>
          <w:rFonts w:ascii="黑体" w:hAnsi="黑体" w:eastAsia="黑体" w:cs="黑体"/>
          <w:b/>
          <w:bCs/>
          <w:sz w:val="32"/>
          <w:szCs w:val="32"/>
        </w:rPr>
      </w:pPr>
      <w:r>
        <w:rPr>
          <w:rFonts w:hint="eastAsia" w:ascii="黑体" w:hAnsi="黑体" w:eastAsia="黑体" w:cs="黑体"/>
          <w:sz w:val="32"/>
          <w:szCs w:val="32"/>
        </w:rPr>
        <w:t>七、机关运行经费情况</w:t>
      </w:r>
    </w:p>
    <w:p w14:paraId="033A53DD">
      <w:pPr>
        <w:adjustRightInd w:val="0"/>
        <w:snapToGrid w:val="0"/>
        <w:spacing w:line="580" w:lineRule="exact"/>
        <w:ind w:firstLine="640" w:firstLineChars="200"/>
        <w:rPr>
          <w:rFonts w:ascii="仿宋_GB2312" w:hAnsi="仿宋_GB2312" w:eastAsia="仿宋_GB2312" w:cs="仿宋_GB2312"/>
          <w:sz w:val="32"/>
          <w:szCs w:val="32"/>
          <w:highlight w:val="yellow"/>
        </w:rPr>
      </w:pPr>
      <w:r>
        <w:rPr>
          <w:rFonts w:hint="eastAsia" w:ascii="仿宋_GB2312" w:hAnsi="Times New Roman" w:eastAsia="仿宋_GB2312" w:cs="DengXian-Regular"/>
          <w:sz w:val="32"/>
          <w:szCs w:val="32"/>
        </w:rPr>
        <w:t>本部门20</w:t>
      </w:r>
      <w:r>
        <w:rPr>
          <w:rFonts w:hint="eastAsia" w:ascii="仿宋_GB2312" w:hAnsi="Times New Roman" w:eastAsia="仿宋_GB2312" w:cs="DengXian-Regular"/>
          <w:sz w:val="32"/>
          <w:szCs w:val="32"/>
          <w:lang w:val="en-US" w:eastAsia="zh-CN"/>
        </w:rPr>
        <w:t>20</w:t>
      </w:r>
      <w:r>
        <w:rPr>
          <w:rFonts w:hint="eastAsia" w:ascii="仿宋_GB2312" w:hAnsi="Times New Roman" w:eastAsia="仿宋_GB2312" w:cs="DengXian-Regular"/>
          <w:sz w:val="32"/>
          <w:szCs w:val="32"/>
        </w:rPr>
        <w:t>年度机关运行经费支出</w:t>
      </w:r>
      <w:r>
        <w:rPr>
          <w:rFonts w:hint="eastAsia" w:ascii="仿宋_GB2312" w:hAnsi="Times New Roman" w:eastAsia="仿宋_GB2312" w:cs="DengXian-Regular"/>
          <w:sz w:val="32"/>
          <w:szCs w:val="32"/>
          <w:lang w:val="en-US" w:eastAsia="zh-CN"/>
        </w:rPr>
        <w:t>16.19</w:t>
      </w:r>
      <w:r>
        <w:rPr>
          <w:rFonts w:hint="eastAsia" w:ascii="仿宋_GB2312" w:hAnsi="Times New Roman" w:eastAsia="仿宋_GB2312" w:cs="DengXian-Regular"/>
          <w:sz w:val="32"/>
          <w:szCs w:val="32"/>
        </w:rPr>
        <w:t>万元，比201</w:t>
      </w:r>
      <w:r>
        <w:rPr>
          <w:rFonts w:hint="eastAsia" w:ascii="仿宋_GB2312" w:hAnsi="Times New Roman" w:eastAsia="仿宋_GB2312" w:cs="DengXian-Regular"/>
          <w:sz w:val="32"/>
          <w:szCs w:val="32"/>
          <w:lang w:val="en-US" w:eastAsia="zh-CN"/>
        </w:rPr>
        <w:t>9</w:t>
      </w:r>
      <w:r>
        <w:rPr>
          <w:rFonts w:hint="eastAsia" w:ascii="仿宋_GB2312" w:hAnsi="Times New Roman" w:eastAsia="仿宋_GB2312" w:cs="DengXian-Regular"/>
          <w:sz w:val="32"/>
          <w:szCs w:val="32"/>
        </w:rPr>
        <w:t>年度</w:t>
      </w:r>
      <w:r>
        <w:rPr>
          <w:rFonts w:hint="eastAsia" w:ascii="仿宋_GB2312" w:hAnsi="Times New Roman" w:eastAsia="仿宋_GB2312" w:cs="DengXian-Regular"/>
          <w:sz w:val="32"/>
          <w:szCs w:val="32"/>
          <w:lang w:eastAsia="zh-CN"/>
        </w:rPr>
        <w:t>减少</w:t>
      </w:r>
      <w:r>
        <w:rPr>
          <w:rFonts w:hint="eastAsia" w:ascii="仿宋_GB2312" w:hAnsi="Times New Roman" w:eastAsia="仿宋_GB2312" w:cs="DengXian-Regular"/>
          <w:sz w:val="32"/>
          <w:szCs w:val="32"/>
          <w:lang w:val="en-US" w:eastAsia="zh-CN"/>
        </w:rPr>
        <w:t>45.73</w:t>
      </w:r>
      <w:r>
        <w:rPr>
          <w:rFonts w:hint="eastAsia" w:ascii="仿宋_GB2312" w:hAnsi="Times New Roman" w:eastAsia="仿宋_GB2312" w:cs="DengXian-Regular"/>
          <w:sz w:val="32"/>
          <w:szCs w:val="32"/>
        </w:rPr>
        <w:t>万元，</w:t>
      </w:r>
      <w:r>
        <w:rPr>
          <w:rFonts w:hint="eastAsia" w:ascii="仿宋_GB2312" w:hAnsi="Times New Roman" w:eastAsia="仿宋_GB2312" w:cs="DengXian-Regular"/>
          <w:sz w:val="32"/>
          <w:szCs w:val="32"/>
          <w:lang w:eastAsia="zh-CN"/>
        </w:rPr>
        <w:t>减少</w:t>
      </w:r>
      <w:r>
        <w:rPr>
          <w:rFonts w:hint="eastAsia" w:ascii="仿宋_GB2312" w:hAnsi="Times New Roman" w:eastAsia="仿宋_GB2312" w:cs="DengXian-Regular"/>
          <w:sz w:val="32"/>
          <w:szCs w:val="32"/>
          <w:lang w:val="en-US" w:eastAsia="zh-CN"/>
        </w:rPr>
        <w:t>73.85</w:t>
      </w:r>
      <w:r>
        <w:rPr>
          <w:rFonts w:hint="eastAsia" w:ascii="仿宋_GB2312" w:hAnsi="Times New Roman" w:eastAsia="仿宋_GB2312" w:cs="DengXian-Regular"/>
          <w:sz w:val="32"/>
          <w:szCs w:val="32"/>
        </w:rPr>
        <w:t>%。主要原因是</w:t>
      </w:r>
      <w:r>
        <w:rPr>
          <w:rFonts w:hint="eastAsia" w:ascii="仿宋_GB2312" w:hAnsi="Times New Roman" w:eastAsia="仿宋_GB2312" w:cs="Wingdings"/>
          <w:sz w:val="32"/>
          <w:szCs w:val="32"/>
          <w:lang w:eastAsia="zh-CN"/>
        </w:rPr>
        <w:t>机构改革，</w:t>
      </w:r>
      <w:r>
        <w:rPr>
          <w:rFonts w:hint="eastAsia" w:ascii="仿宋_GB2312" w:hAnsi="仿宋" w:eastAsia="仿宋_GB2312"/>
          <w:sz w:val="32"/>
          <w:szCs w:val="32"/>
        </w:rPr>
        <w:t>宣传部</w:t>
      </w:r>
      <w:r>
        <w:rPr>
          <w:rFonts w:hint="eastAsia" w:ascii="仿宋_GB2312" w:hAnsi="仿宋" w:eastAsia="仿宋_GB2312"/>
          <w:sz w:val="32"/>
          <w:szCs w:val="32"/>
          <w:lang w:eastAsia="zh-CN"/>
        </w:rPr>
        <w:t>减少</w:t>
      </w:r>
      <w:r>
        <w:rPr>
          <w:rFonts w:hint="eastAsia" w:ascii="仿宋_GB2312" w:hAnsi="仿宋" w:eastAsia="仿宋_GB2312"/>
          <w:sz w:val="32"/>
          <w:szCs w:val="32"/>
        </w:rPr>
        <w:t>电视台和报社为下属单位</w:t>
      </w:r>
      <w:r>
        <w:rPr>
          <w:rFonts w:hint="eastAsia" w:ascii="仿宋_GB2312" w:hAnsi="Times New Roman" w:eastAsia="仿宋_GB2312" w:cs="DengXian-Regular"/>
          <w:sz w:val="32"/>
          <w:szCs w:val="32"/>
        </w:rPr>
        <w:t>。</w:t>
      </w:r>
    </w:p>
    <w:p w14:paraId="3095687A">
      <w:pPr>
        <w:keepNext/>
        <w:keepLines/>
        <w:snapToGrid w:val="0"/>
        <w:spacing w:line="600" w:lineRule="exact"/>
        <w:ind w:firstLine="640" w:firstLineChars="200"/>
        <w:outlineLvl w:val="2"/>
        <w:rPr>
          <w:rFonts w:ascii="黑体" w:hAnsi="黑体" w:eastAsia="黑体" w:cs="黑体"/>
          <w:sz w:val="32"/>
          <w:szCs w:val="32"/>
        </w:rPr>
      </w:pPr>
      <w:r>
        <w:rPr>
          <w:rFonts w:hint="eastAsia" w:ascii="黑体" w:hAnsi="黑体" w:eastAsia="黑体" w:cs="黑体"/>
          <w:sz w:val="32"/>
          <w:szCs w:val="32"/>
        </w:rPr>
        <w:t>八、政府采购情况</w:t>
      </w:r>
    </w:p>
    <w:p w14:paraId="22F6C150">
      <w:pPr>
        <w:snapToGrid w:val="0"/>
        <w:spacing w:line="600" w:lineRule="exact"/>
        <w:ind w:firstLine="640" w:firstLineChars="200"/>
        <w:jc w:val="left"/>
        <w:rPr>
          <w:rFonts w:ascii="仿宋_GB2312" w:hAnsi="仿宋_GB2312" w:eastAsia="仿宋_GB2312" w:cs="仿宋_GB2312"/>
          <w:sz w:val="32"/>
          <w:szCs w:val="32"/>
          <w:highlight w:val="yellow"/>
        </w:rPr>
      </w:pPr>
      <w:r>
        <w:rPr>
          <w:rFonts w:hint="eastAsia" w:ascii="仿宋_GB2312" w:hAnsi="仿宋_GB2312" w:eastAsia="仿宋_GB2312" w:cs="仿宋_GB2312"/>
          <w:sz w:val="32"/>
          <w:szCs w:val="32"/>
        </w:rPr>
        <w:t>本部门2020年度政府采购支出总额</w:t>
      </w:r>
      <w:r>
        <w:rPr>
          <w:rFonts w:hint="eastAsia" w:ascii="仿宋_GB2312" w:hAnsi="仿宋_GB2312" w:eastAsia="仿宋_GB2312" w:cs="仿宋_GB2312"/>
          <w:sz w:val="32"/>
          <w:szCs w:val="32"/>
          <w:lang w:val="en-US" w:eastAsia="zh-CN"/>
        </w:rPr>
        <w:t>115.33</w:t>
      </w:r>
      <w:r>
        <w:rPr>
          <w:rFonts w:hint="eastAsia" w:ascii="仿宋_GB2312" w:hAnsi="仿宋_GB2312" w:eastAsia="仿宋_GB2312" w:cs="仿宋_GB2312"/>
          <w:sz w:val="32"/>
          <w:szCs w:val="32"/>
        </w:rPr>
        <w:t>万元，从采购类型来看，</w:t>
      </w:r>
      <w:r>
        <w:rPr>
          <w:rFonts w:hint="eastAsia" w:ascii="仿宋_GB2312" w:hAnsi="仿宋_GB2312" w:eastAsia="仿宋_GB2312" w:cs="仿宋_GB2312"/>
          <w:color w:val="000000"/>
          <w:kern w:val="0"/>
          <w:sz w:val="32"/>
          <w:szCs w:val="32"/>
        </w:rPr>
        <w:t>政府采购货物支出</w:t>
      </w:r>
      <w:r>
        <w:rPr>
          <w:rFonts w:hint="eastAsia" w:ascii="仿宋_GB2312" w:hAnsi="仿宋_GB2312" w:eastAsia="仿宋_GB2312" w:cs="仿宋_GB2312"/>
          <w:color w:val="000000"/>
          <w:kern w:val="0"/>
          <w:sz w:val="32"/>
          <w:szCs w:val="32"/>
          <w:lang w:val="en-US" w:eastAsia="zh-CN"/>
        </w:rPr>
        <w:t>0</w:t>
      </w:r>
      <w:r>
        <w:rPr>
          <w:rFonts w:hint="eastAsia" w:ascii="仿宋_GB2312" w:hAnsi="仿宋_GB2312" w:eastAsia="仿宋_GB2312" w:cs="仿宋_GB2312"/>
          <w:color w:val="000000"/>
          <w:kern w:val="0"/>
          <w:sz w:val="32"/>
          <w:szCs w:val="32"/>
        </w:rPr>
        <w:t>万元、政府采购工程支出</w:t>
      </w:r>
      <w:r>
        <w:rPr>
          <w:rFonts w:hint="eastAsia" w:ascii="仿宋_GB2312" w:hAnsi="仿宋_GB2312" w:eastAsia="仿宋_GB2312" w:cs="仿宋_GB2312"/>
          <w:color w:val="000000"/>
          <w:kern w:val="0"/>
          <w:sz w:val="32"/>
          <w:szCs w:val="32"/>
          <w:lang w:val="en-US" w:eastAsia="zh-CN"/>
        </w:rPr>
        <w:t>0</w:t>
      </w:r>
      <w:r>
        <w:rPr>
          <w:rFonts w:hint="eastAsia" w:ascii="仿宋_GB2312" w:hAnsi="仿宋_GB2312" w:eastAsia="仿宋_GB2312" w:cs="仿宋_GB2312"/>
          <w:color w:val="000000"/>
          <w:kern w:val="0"/>
          <w:sz w:val="32"/>
          <w:szCs w:val="32"/>
        </w:rPr>
        <w:t xml:space="preserve">万元、政府采购服务支出 </w:t>
      </w:r>
      <w:r>
        <w:rPr>
          <w:rFonts w:hint="eastAsia" w:ascii="仿宋_GB2312" w:hAnsi="仿宋_GB2312" w:eastAsia="仿宋_GB2312" w:cs="仿宋_GB2312"/>
          <w:color w:val="000000"/>
          <w:kern w:val="0"/>
          <w:sz w:val="32"/>
          <w:szCs w:val="32"/>
          <w:lang w:val="en-US" w:eastAsia="zh-CN"/>
        </w:rPr>
        <w:t>115.33</w:t>
      </w:r>
      <w:r>
        <w:rPr>
          <w:rFonts w:hint="eastAsia" w:ascii="仿宋_GB2312" w:hAnsi="仿宋_GB2312" w:eastAsia="仿宋_GB2312" w:cs="仿宋_GB2312"/>
          <w:color w:val="000000"/>
          <w:kern w:val="0"/>
          <w:sz w:val="32"/>
          <w:szCs w:val="32"/>
        </w:rPr>
        <w:t>万元。授予中小企业合同金</w:t>
      </w:r>
      <w:r>
        <w:rPr>
          <w:rFonts w:hint="eastAsia" w:ascii="仿宋_GB2312" w:hAnsi="仿宋_GB2312" w:eastAsia="仿宋_GB2312" w:cs="仿宋_GB2312"/>
          <w:color w:val="000000"/>
          <w:kern w:val="0"/>
          <w:sz w:val="32"/>
          <w:szCs w:val="32"/>
          <w:lang w:val="en-US" w:eastAsia="zh-CN"/>
        </w:rPr>
        <w:t>115.33</w:t>
      </w:r>
      <w:r>
        <w:rPr>
          <w:rFonts w:hint="eastAsia" w:ascii="仿宋_GB2312" w:hAnsi="仿宋_GB2312" w:eastAsia="仿宋_GB2312" w:cs="仿宋_GB2312"/>
          <w:color w:val="000000"/>
          <w:kern w:val="0"/>
          <w:sz w:val="32"/>
          <w:szCs w:val="32"/>
        </w:rPr>
        <w:t>万元，占政府采购支出总额的</w:t>
      </w:r>
      <w:r>
        <w:rPr>
          <w:rFonts w:hint="eastAsia" w:ascii="仿宋_GB2312" w:hAnsi="仿宋_GB2312" w:eastAsia="仿宋_GB2312" w:cs="仿宋_GB2312"/>
          <w:color w:val="000000"/>
          <w:kern w:val="0"/>
          <w:sz w:val="32"/>
          <w:szCs w:val="32"/>
          <w:lang w:val="en-US" w:eastAsia="zh-CN"/>
        </w:rPr>
        <w:t>100</w:t>
      </w:r>
      <w:r>
        <w:rPr>
          <w:rFonts w:hint="eastAsia" w:ascii="仿宋_GB2312" w:hAnsi="仿宋_GB2312" w:eastAsia="仿宋_GB2312" w:cs="仿宋_GB2312"/>
          <w:color w:val="000000"/>
          <w:kern w:val="0"/>
          <w:sz w:val="32"/>
          <w:szCs w:val="32"/>
        </w:rPr>
        <w:t>%，其中授予小微企业合同金额</w:t>
      </w:r>
      <w:r>
        <w:rPr>
          <w:rFonts w:hint="eastAsia" w:ascii="仿宋_GB2312" w:hAnsi="仿宋_GB2312" w:eastAsia="仿宋_GB2312" w:cs="仿宋_GB2312"/>
          <w:color w:val="000000"/>
          <w:kern w:val="0"/>
          <w:sz w:val="32"/>
          <w:szCs w:val="32"/>
          <w:lang w:val="en-US" w:eastAsia="zh-CN"/>
        </w:rPr>
        <w:t>0</w:t>
      </w:r>
      <w:r>
        <w:rPr>
          <w:rFonts w:hint="eastAsia" w:ascii="仿宋_GB2312" w:hAnsi="仿宋_GB2312" w:eastAsia="仿宋_GB2312" w:cs="仿宋_GB2312"/>
          <w:color w:val="000000"/>
          <w:kern w:val="0"/>
          <w:sz w:val="32"/>
          <w:szCs w:val="32"/>
        </w:rPr>
        <w:t xml:space="preserve">万元，占政府采购支出总额的 </w:t>
      </w:r>
      <w:r>
        <w:rPr>
          <w:rFonts w:hint="eastAsia" w:ascii="仿宋_GB2312" w:hAnsi="仿宋_GB2312" w:eastAsia="仿宋_GB2312" w:cs="仿宋_GB2312"/>
          <w:color w:val="000000"/>
          <w:kern w:val="0"/>
          <w:sz w:val="32"/>
          <w:szCs w:val="32"/>
          <w:lang w:val="en-US" w:eastAsia="zh-CN"/>
        </w:rPr>
        <w:t>0</w:t>
      </w:r>
      <w:r>
        <w:rPr>
          <w:rFonts w:hint="eastAsia" w:ascii="仿宋_GB2312" w:hAnsi="仿宋_GB2312" w:eastAsia="仿宋_GB2312" w:cs="仿宋_GB2312"/>
          <w:color w:val="000000"/>
          <w:kern w:val="0"/>
          <w:sz w:val="32"/>
          <w:szCs w:val="32"/>
        </w:rPr>
        <w:t>%。</w:t>
      </w:r>
    </w:p>
    <w:p w14:paraId="673EAE92">
      <w:pPr>
        <w:keepNext/>
        <w:keepLines/>
        <w:snapToGrid w:val="0"/>
        <w:spacing w:line="600" w:lineRule="exact"/>
        <w:ind w:firstLine="640" w:firstLineChars="200"/>
        <w:outlineLvl w:val="2"/>
        <w:rPr>
          <w:rFonts w:ascii="黑体" w:hAnsi="黑体" w:eastAsia="黑体" w:cs="黑体"/>
          <w:sz w:val="32"/>
          <w:szCs w:val="32"/>
        </w:rPr>
      </w:pPr>
      <w:r>
        <w:rPr>
          <w:rFonts w:hint="eastAsia" w:ascii="黑体" w:hAnsi="黑体" w:eastAsia="黑体" w:cs="黑体"/>
          <w:sz w:val="32"/>
          <w:szCs w:val="32"/>
        </w:rPr>
        <w:t>九、国有资产占用情况</w:t>
      </w:r>
    </w:p>
    <w:p w14:paraId="0A14E3B5">
      <w:pPr>
        <w:adjustRightInd w:val="0"/>
        <w:snapToGrid w:val="0"/>
        <w:spacing w:line="580" w:lineRule="exact"/>
        <w:ind w:firstLine="640" w:firstLineChars="200"/>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rPr>
        <w:t>截至2020年12月31日，本部门共有车辆</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辆，比上年减少</w:t>
      </w:r>
      <w:r>
        <w:rPr>
          <w:rFonts w:hint="eastAsia" w:ascii="仿宋_GB2312" w:hAnsi="仿宋_GB2312" w:eastAsia="仿宋_GB2312" w:cs="仿宋_GB2312"/>
          <w:sz w:val="32"/>
          <w:szCs w:val="32"/>
          <w:lang w:val="en-US" w:eastAsia="zh-CN"/>
        </w:rPr>
        <w:t>1</w:t>
      </w:r>
      <w:r>
        <w:rPr>
          <w:rFonts w:hint="eastAsia" w:ascii="仿宋_GB2312" w:hAnsi="仿宋_GB2312" w:eastAsia="仿宋_GB2312" w:cs="仿宋_GB2312"/>
          <w:sz w:val="32"/>
          <w:szCs w:val="32"/>
        </w:rPr>
        <w:t>辆，主要</w:t>
      </w:r>
      <w:r>
        <w:rPr>
          <w:rFonts w:hint="eastAsia" w:ascii="仿宋_GB2312" w:hAnsi="仿宋_GB2312" w:eastAsia="仿宋_GB2312" w:cs="仿宋_GB2312"/>
          <w:sz w:val="32"/>
          <w:szCs w:val="32"/>
          <w:lang w:eastAsia="zh-CN"/>
        </w:rPr>
        <w:t>是</w:t>
      </w:r>
      <w:bookmarkStart w:id="0" w:name="_GoBack"/>
      <w:bookmarkEnd w:id="0"/>
      <w:r>
        <w:rPr>
          <w:rFonts w:hint="eastAsia" w:ascii="仿宋_GB2312" w:hAnsi="Times New Roman" w:eastAsia="仿宋_GB2312" w:cs="Wingdings"/>
          <w:sz w:val="32"/>
          <w:szCs w:val="32"/>
          <w:lang w:eastAsia="zh-CN"/>
        </w:rPr>
        <w:t>机构改革，</w:t>
      </w:r>
      <w:r>
        <w:rPr>
          <w:rFonts w:hint="eastAsia" w:ascii="仿宋_GB2312" w:hAnsi="仿宋" w:eastAsia="仿宋_GB2312"/>
          <w:sz w:val="32"/>
          <w:szCs w:val="32"/>
        </w:rPr>
        <w:t>宣传部</w:t>
      </w:r>
      <w:r>
        <w:rPr>
          <w:rFonts w:hint="eastAsia" w:ascii="仿宋_GB2312" w:hAnsi="仿宋" w:eastAsia="仿宋_GB2312"/>
          <w:sz w:val="32"/>
          <w:szCs w:val="32"/>
          <w:lang w:eastAsia="zh-CN"/>
        </w:rPr>
        <w:t>减少</w:t>
      </w:r>
      <w:r>
        <w:rPr>
          <w:rFonts w:hint="eastAsia" w:ascii="仿宋_GB2312" w:hAnsi="仿宋" w:eastAsia="仿宋_GB2312"/>
          <w:sz w:val="32"/>
          <w:szCs w:val="32"/>
        </w:rPr>
        <w:t>电视台和报社为下属单位</w:t>
      </w:r>
      <w:r>
        <w:rPr>
          <w:rFonts w:hint="eastAsia" w:ascii="仿宋_GB2312" w:hAnsi="仿宋_GB2312" w:eastAsia="仿宋_GB2312" w:cs="仿宋_GB2312"/>
          <w:sz w:val="32"/>
          <w:szCs w:val="32"/>
        </w:rPr>
        <w:t>。其中，副部（省）级及以上领导用车</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辆，主要领导干部用车</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辆，机要通信用车</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辆，应急保障用车</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辆，执法执勤用车</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辆，特种专业技术用车</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辆，离退休干部用车</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辆，其他用车</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辆</w:t>
      </w:r>
      <w:r>
        <w:rPr>
          <w:rFonts w:hint="eastAsia" w:ascii="仿宋_GB2312" w:hAnsi="仿宋_GB2312" w:eastAsia="仿宋_GB2312" w:cs="仿宋_GB2312"/>
          <w:sz w:val="32"/>
          <w:szCs w:val="32"/>
          <w:lang w:eastAsia="zh-CN"/>
        </w:rPr>
        <w:t>。</w:t>
      </w:r>
    </w:p>
    <w:p w14:paraId="695B671B">
      <w:pPr>
        <w:adjustRightInd w:val="0"/>
        <w:snapToGrid w:val="0"/>
        <w:spacing w:line="600" w:lineRule="exact"/>
        <w:ind w:firstLine="640" w:firstLineChars="200"/>
        <w:rPr>
          <w:rFonts w:ascii="仿宋_GB2312" w:hAnsi="仿宋_GB2312" w:eastAsia="仿宋_GB2312" w:cs="仿宋_GB2312"/>
          <w:b/>
          <w:bCs/>
          <w:sz w:val="32"/>
          <w:szCs w:val="32"/>
        </w:rPr>
      </w:pPr>
      <w:r>
        <w:rPr>
          <w:rFonts w:hint="eastAsia" w:ascii="仿宋_GB2312" w:hAnsi="仿宋_GB2312" w:eastAsia="仿宋_GB2312" w:cs="仿宋_GB2312"/>
          <w:sz w:val="32"/>
          <w:szCs w:val="32"/>
        </w:rPr>
        <w:t>单位价值50万元以上通用设备</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台（套），</w:t>
      </w:r>
      <w:r>
        <w:rPr>
          <w:rFonts w:hint="eastAsia" w:ascii="仿宋_GB2312" w:hAnsi="Times New Roman" w:eastAsia="仿宋_GB2312" w:cs="DengXian-Regular"/>
          <w:sz w:val="32"/>
          <w:szCs w:val="32"/>
        </w:rPr>
        <w:t>与上年持平</w:t>
      </w:r>
      <w:r>
        <w:rPr>
          <w:rFonts w:hint="eastAsia" w:ascii="仿宋_GB2312" w:hAnsi="Times New Roman" w:eastAsia="仿宋_GB2312" w:cs="DengXian-Regular"/>
          <w:sz w:val="32"/>
          <w:szCs w:val="32"/>
          <w:lang w:eastAsia="zh-CN"/>
        </w:rPr>
        <w:t>；</w:t>
      </w:r>
      <w:r>
        <w:rPr>
          <w:rFonts w:hint="eastAsia" w:ascii="仿宋_GB2312" w:hAnsi="仿宋_GB2312" w:eastAsia="仿宋_GB2312" w:cs="仿宋_GB2312"/>
          <w:sz w:val="32"/>
          <w:szCs w:val="32"/>
        </w:rPr>
        <w:t>单位价值100万元以上专用设备</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台（套）</w:t>
      </w:r>
      <w:r>
        <w:rPr>
          <w:rFonts w:hint="eastAsia" w:ascii="仿宋_GB2312" w:hAnsi="仿宋_GB2312" w:eastAsia="仿宋_GB2312" w:cs="仿宋_GB2312"/>
          <w:sz w:val="32"/>
          <w:szCs w:val="32"/>
          <w:lang w:eastAsia="zh-CN"/>
        </w:rPr>
        <w:t>，</w:t>
      </w:r>
      <w:r>
        <w:rPr>
          <w:rFonts w:hint="eastAsia" w:ascii="仿宋_GB2312" w:hAnsi="Times New Roman" w:eastAsia="仿宋_GB2312" w:cs="DengXian-Regular"/>
          <w:sz w:val="32"/>
          <w:szCs w:val="32"/>
        </w:rPr>
        <w:t>与上年持平</w:t>
      </w:r>
      <w:r>
        <w:rPr>
          <w:rFonts w:hint="eastAsia" w:ascii="仿宋_GB2312" w:hAnsi="仿宋_GB2312" w:eastAsia="仿宋_GB2312" w:cs="仿宋_GB2312"/>
          <w:sz w:val="32"/>
          <w:szCs w:val="32"/>
        </w:rPr>
        <w:t>。</w:t>
      </w:r>
    </w:p>
    <w:p w14:paraId="204804FE">
      <w:pPr>
        <w:keepNext/>
        <w:keepLines/>
        <w:snapToGrid w:val="0"/>
        <w:spacing w:line="600" w:lineRule="exact"/>
        <w:ind w:firstLine="640" w:firstLineChars="200"/>
        <w:outlineLvl w:val="2"/>
        <w:rPr>
          <w:rFonts w:ascii="黑体" w:hAnsi="黑体" w:eastAsia="黑体" w:cs="黑体"/>
          <w:sz w:val="32"/>
          <w:szCs w:val="32"/>
        </w:rPr>
      </w:pPr>
      <w:r>
        <w:rPr>
          <w:rFonts w:hint="eastAsia" w:ascii="黑体" w:hAnsi="黑体" w:eastAsia="黑体" w:cs="黑体"/>
          <w:sz w:val="32"/>
          <w:szCs w:val="32"/>
        </w:rPr>
        <w:t>十、其他需要说明的情况</w:t>
      </w:r>
    </w:p>
    <w:p w14:paraId="40512366">
      <w:pPr>
        <w:adjustRightInd w:val="0"/>
        <w:snapToGrid w:val="0"/>
        <w:spacing w:line="60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1. 本部门2020年度未发生国有资金经营预算收支及结转结余情况，故国有资金经营预算</w:t>
      </w:r>
      <w:r>
        <w:rPr>
          <w:rFonts w:hint="eastAsia" w:ascii="仿宋_GB2312" w:hAnsi="仿宋_GB2312" w:eastAsia="仿宋_GB2312" w:cs="仿宋_GB2312"/>
          <w:sz w:val="32"/>
          <w:szCs w:val="32"/>
          <w:lang w:eastAsia="zh-CN"/>
        </w:rPr>
        <w:t>财政拨款支出决算</w:t>
      </w:r>
      <w:r>
        <w:rPr>
          <w:rFonts w:hint="eastAsia" w:ascii="仿宋_GB2312" w:hAnsi="仿宋_GB2312" w:eastAsia="仿宋_GB2312" w:cs="仿宋_GB2312"/>
          <w:sz w:val="32"/>
          <w:szCs w:val="32"/>
        </w:rPr>
        <w:t>表以空表列示。</w:t>
      </w:r>
    </w:p>
    <w:p w14:paraId="0CDF5DBA">
      <w:pPr>
        <w:adjustRightInd w:val="0"/>
        <w:snapToGrid w:val="0"/>
        <w:spacing w:line="60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2. 由于决算公开表格中金额数值应当保留两位小数，公开数据为四舍五入计算结果，个别数据合计项与分项之和存在小数点后差额，特此说明。</w:t>
      </w:r>
    </w:p>
    <w:p w14:paraId="1A527BD7">
      <w:pPr>
        <w:rPr>
          <w:rFonts w:ascii="仿宋_GB2312" w:hAnsi="宋体" w:eastAsia="仿宋_GB2312" w:cs="Arial Black"/>
          <w:sz w:val="32"/>
          <w:szCs w:val="32"/>
        </w:rPr>
      </w:pPr>
      <w:r>
        <w:rPr>
          <w:rFonts w:ascii="仿宋_GB2312" w:hAnsi="宋体" w:eastAsia="仿宋_GB2312" w:cs="Arial Black"/>
          <w:sz w:val="32"/>
          <w:szCs w:val="32"/>
        </w:rPr>
        <w:br w:type="page"/>
      </w:r>
    </w:p>
    <w:p w14:paraId="18A796D9">
      <w:pPr>
        <w:rPr>
          <w:rFonts w:ascii="仿宋_GB2312" w:hAnsi="宋体" w:eastAsia="仿宋_GB2312" w:cs="Arial Black"/>
          <w:sz w:val="32"/>
          <w:szCs w:val="32"/>
        </w:rPr>
      </w:pPr>
    </w:p>
    <w:p w14:paraId="5DC7F233">
      <w:pPr>
        <w:rPr>
          <w:rFonts w:ascii="仿宋_GB2312" w:hAnsi="宋体" w:eastAsia="仿宋_GB2312" w:cs="Arial Black"/>
          <w:sz w:val="32"/>
          <w:szCs w:val="32"/>
        </w:rPr>
      </w:pPr>
    </w:p>
    <w:p w14:paraId="1730D602">
      <w:pPr>
        <w:rPr>
          <w:rFonts w:ascii="仿宋_GB2312" w:hAnsi="宋体" w:eastAsia="仿宋_GB2312" w:cs="Arial Black"/>
          <w:sz w:val="32"/>
          <w:szCs w:val="32"/>
        </w:rPr>
      </w:pPr>
    </w:p>
    <w:p w14:paraId="3BCBC407">
      <w:pPr>
        <w:rPr>
          <w:rFonts w:ascii="仿宋_GB2312" w:hAnsi="宋体" w:eastAsia="仿宋_GB2312" w:cs="Arial Black"/>
          <w:sz w:val="32"/>
          <w:szCs w:val="32"/>
        </w:rPr>
      </w:pPr>
    </w:p>
    <w:p w14:paraId="65F896DC">
      <w:pPr>
        <w:rPr>
          <w:rFonts w:ascii="仿宋_GB2312" w:hAnsi="宋体" w:eastAsia="仿宋_GB2312" w:cs="Arial Black"/>
          <w:sz w:val="32"/>
          <w:szCs w:val="32"/>
        </w:rPr>
      </w:pPr>
    </w:p>
    <w:p w14:paraId="5AEDDB3A">
      <w:pPr>
        <w:rPr>
          <w:rFonts w:ascii="仿宋_GB2312" w:hAnsi="宋体" w:eastAsia="仿宋_GB2312" w:cs="Arial Black"/>
          <w:sz w:val="32"/>
          <w:szCs w:val="32"/>
          <w:highlight w:val="yellow"/>
        </w:rPr>
      </w:pPr>
      <w:r>
        <w:rPr>
          <w:sz w:val="72"/>
        </w:rPr>
        <mc:AlternateContent>
          <mc:Choice Requires="wps">
            <w:drawing>
              <wp:anchor distT="0" distB="0" distL="114300" distR="114300" simplePos="0" relativeHeight="251660288" behindDoc="0" locked="0" layoutInCell="1" allowOverlap="1">
                <wp:simplePos x="0" y="0"/>
                <wp:positionH relativeFrom="column">
                  <wp:posOffset>-1040130</wp:posOffset>
                </wp:positionH>
                <wp:positionV relativeFrom="paragraph">
                  <wp:posOffset>26035</wp:posOffset>
                </wp:positionV>
                <wp:extent cx="7793355" cy="3341370"/>
                <wp:effectExtent l="4445" t="4445" r="12700" b="6985"/>
                <wp:wrapNone/>
                <wp:docPr id="8" name="文本框 188"/>
                <wp:cNvGraphicFramePr/>
                <a:graphic xmlns:a="http://schemas.openxmlformats.org/drawingml/2006/main">
                  <a:graphicData uri="http://schemas.microsoft.com/office/word/2010/wordprocessingShape">
                    <wps:wsp>
                      <wps:cNvSpPr/>
                      <wps:spPr>
                        <a:xfrm>
                          <a:off x="0" y="0"/>
                          <a:ext cx="7793355" cy="3341370"/>
                        </a:xfrm>
                        <a:prstGeom prst="rect">
                          <a:avLst/>
                        </a:prstGeom>
                        <a:pattFill prst="pct5">
                          <a:fgClr>
                            <a:srgbClr val="7F7F7F">
                              <a:alpha val="100000"/>
                            </a:srgbClr>
                          </a:fgClr>
                          <a:bgClr>
                            <a:srgbClr val="FFFFFF">
                              <a:alpha val="100000"/>
                            </a:srgbClr>
                          </a:bgClr>
                        </a:pattFill>
                        <a:ln w="6350" cap="flat" cmpd="sng">
                          <a:solidFill>
                            <a:srgbClr val="7F7F7F"/>
                          </a:solidFill>
                          <a:prstDash val="solid"/>
                          <a:miter/>
                          <a:headEnd type="none" w="med" len="med"/>
                          <a:tailEnd type="none" w="med" len="med"/>
                        </a:ln>
                      </wps:spPr>
                      <wps:txbx>
                        <w:txbxContent>
                          <w:p w14:paraId="7DBE3333">
                            <w:pPr>
                              <w:widowControl/>
                              <w:jc w:val="center"/>
                            </w:pPr>
                            <w:r>
                              <w:rPr>
                                <w:rFonts w:hint="eastAsia" w:ascii="黑体" w:hAnsi="黑体" w:eastAsia="黑体" w:cs="黑体"/>
                                <w:color w:val="000000"/>
                                <w:sz w:val="90"/>
                                <w:szCs w:val="90"/>
                              </w:rPr>
                              <w:t>第三部分 相关名词解释</w:t>
                            </w:r>
                          </w:p>
                        </w:txbxContent>
                      </wps:txbx>
                      <wps:bodyPr vert="horz" wrap="square" upright="0"/>
                    </wps:wsp>
                  </a:graphicData>
                </a:graphic>
              </wp:anchor>
            </w:drawing>
          </mc:Choice>
          <mc:Fallback>
            <w:pict>
              <v:rect id="文本框 188" o:spid="_x0000_s1026" o:spt="1" style="position:absolute;left:0pt;margin-left:-81.9pt;margin-top:2.05pt;height:263.1pt;width:613.65pt;z-index:251660288;mso-width-relative:page;mso-height-relative:page;" fillcolor="#7F7F7F" filled="t" stroked="t" coordsize="21600,21600" o:gfxdata="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">
                <v:fill type="pattern" on="t" color2="#FFFFFF" o:title="5%" focussize="0,0" r:id="rId14"/>
                <v:stroke weight="0.5pt" color="#7F7F7F" joinstyle="miter"/>
                <v:imagedata o:title=""/>
                <o:lock v:ext="edit" aspectratio="f"/>
                <v:textbox>
                  <w:txbxContent>
                    <w:p w14:paraId="7DBE3333">
                      <w:pPr>
                        <w:widowControl/>
                        <w:jc w:val="center"/>
                      </w:pPr>
                      <w:r>
                        <w:rPr>
                          <w:rFonts w:hint="eastAsia" w:ascii="黑体" w:hAnsi="黑体" w:eastAsia="黑体" w:cs="黑体"/>
                          <w:color w:val="000000"/>
                          <w:sz w:val="90"/>
                          <w:szCs w:val="90"/>
                        </w:rPr>
                        <w:t>第三部分 相关名词解释</w:t>
                      </w:r>
                    </w:p>
                  </w:txbxContent>
                </v:textbox>
              </v:rect>
            </w:pict>
          </mc:Fallback>
        </mc:AlternateContent>
      </w:r>
      <w:r>
        <w:rPr>
          <w:rFonts w:hint="eastAsia" w:ascii="仿宋_GB2312" w:hAnsi="宋体" w:eastAsia="仿宋_GB2312" w:cs="Arial Black"/>
          <w:sz w:val="32"/>
          <w:szCs w:val="32"/>
          <w:highlight w:val="yellow"/>
        </w:rPr>
        <w:br w:type="page"/>
      </w:r>
    </w:p>
    <w:p w14:paraId="016CACB5">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（一）财政拨款收入：</w:t>
      </w:r>
      <w:r>
        <w:rPr>
          <w:rFonts w:hint="eastAsia" w:ascii="仿宋_GB2312" w:hAnsi="宋体" w:eastAsia="仿宋_GB2312" w:cs="Times New Roman"/>
          <w:color w:val="000000"/>
          <w:kern w:val="0"/>
          <w:sz w:val="32"/>
          <w:szCs w:val="32"/>
        </w:rPr>
        <w:t>本年度从本级财政部门取得的财政拨款，包括一般公共预算财政拨款和政府性基金预算财政拨款。</w:t>
      </w:r>
    </w:p>
    <w:p w14:paraId="3C0BF3B7">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（二）事业收入：</w:t>
      </w:r>
      <w:r>
        <w:rPr>
          <w:rFonts w:hint="eastAsia" w:ascii="仿宋_GB2312" w:hAnsi="宋体" w:eastAsia="仿宋_GB2312" w:cs="Times New Roman"/>
          <w:color w:val="000000"/>
          <w:kern w:val="0"/>
          <w:sz w:val="32"/>
          <w:szCs w:val="32"/>
        </w:rPr>
        <w:t>指事业单位开展专业业务活动及辅助活动所取得的收入。</w:t>
      </w:r>
    </w:p>
    <w:p w14:paraId="384882D8">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（三）其他收入：</w:t>
      </w:r>
      <w:r>
        <w:rPr>
          <w:rFonts w:hint="eastAsia" w:ascii="仿宋_GB2312" w:hAnsi="宋体" w:eastAsia="仿宋_GB2312" w:cs="Times New Roman"/>
          <w:color w:val="000000"/>
          <w:kern w:val="0"/>
          <w:sz w:val="32"/>
          <w:szCs w:val="32"/>
        </w:rPr>
        <w:t>指除上述“财政拨款收入”“事业收入”“经营收入”等以外的收入。</w:t>
      </w:r>
    </w:p>
    <w:p w14:paraId="1268CE68">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（四）年初结转和结余：</w:t>
      </w:r>
      <w:r>
        <w:rPr>
          <w:rFonts w:hint="eastAsia" w:ascii="仿宋_GB2312" w:hAnsi="宋体" w:eastAsia="仿宋_GB2312" w:cs="Times New Roman"/>
          <w:color w:val="000000"/>
          <w:kern w:val="0"/>
          <w:sz w:val="32"/>
          <w:szCs w:val="32"/>
        </w:rPr>
        <w:t>指以前年度尚未完成、结转到本年仍按原规定用途继续使用的资金，或项目已完成等产生的结余资金。</w:t>
      </w:r>
    </w:p>
    <w:p w14:paraId="1C3B0E55">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（五）结余分配：</w:t>
      </w:r>
      <w:r>
        <w:rPr>
          <w:rFonts w:hint="eastAsia" w:ascii="仿宋_GB2312" w:hAnsi="宋体" w:eastAsia="仿宋_GB2312" w:cs="Times New Roman"/>
          <w:color w:val="000000"/>
          <w:kern w:val="0"/>
          <w:sz w:val="32"/>
          <w:szCs w:val="32"/>
        </w:rPr>
        <w:t>指事业单位按照事业单位会计制度的规定从非财政补助结余中分配的事业基金和职工福利基金等。</w:t>
      </w:r>
    </w:p>
    <w:p w14:paraId="0DD74E5A">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（六）年末结转和结余：</w:t>
      </w:r>
      <w:r>
        <w:rPr>
          <w:rFonts w:hint="eastAsia" w:ascii="仿宋_GB2312" w:hAnsi="宋体" w:eastAsia="仿宋_GB2312" w:cs="Times New Roman"/>
          <w:color w:val="000000"/>
          <w:kern w:val="0"/>
          <w:sz w:val="32"/>
          <w:szCs w:val="32"/>
        </w:rPr>
        <w:t>指单位按有关规定结转到下年或以后年度继续使用的资金，或项目已完成等产生的结余资金。</w:t>
      </w:r>
    </w:p>
    <w:p w14:paraId="5DA9A0A5">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（七）基本支出：</w:t>
      </w:r>
      <w:r>
        <w:rPr>
          <w:rFonts w:hint="eastAsia" w:ascii="仿宋_GB2312" w:hAnsi="宋体" w:eastAsia="仿宋_GB2312" w:cs="Times New Roman"/>
          <w:color w:val="000000"/>
          <w:kern w:val="0"/>
          <w:sz w:val="32"/>
          <w:szCs w:val="32"/>
        </w:rPr>
        <w:t>填列单位为保障机构正常运转、完成日常工作任务而发生的各项支出。</w:t>
      </w:r>
    </w:p>
    <w:p w14:paraId="047B32FE">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（八）项目支出：</w:t>
      </w:r>
      <w:r>
        <w:rPr>
          <w:rFonts w:hint="eastAsia" w:ascii="仿宋_GB2312" w:hAnsi="宋体" w:eastAsia="仿宋_GB2312" w:cs="Times New Roman"/>
          <w:color w:val="000000"/>
          <w:kern w:val="0"/>
          <w:sz w:val="32"/>
          <w:szCs w:val="32"/>
        </w:rPr>
        <w:t>填列单位为完成特定的行政工作任务或事业发展目标，在基本支出之外发生的各项支出</w:t>
      </w:r>
    </w:p>
    <w:p w14:paraId="4A827602">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（九）基本建设支出：</w:t>
      </w:r>
      <w:r>
        <w:rPr>
          <w:rFonts w:hint="eastAsia" w:ascii="仿宋_GB2312" w:hAnsi="宋体" w:eastAsia="仿宋_GB2312" w:cs="Times New Roman"/>
          <w:color w:val="000000"/>
          <w:kern w:val="0"/>
          <w:sz w:val="32"/>
          <w:szCs w:val="32"/>
        </w:rPr>
        <w:t>填列由本级发展与改革部门集中安排的用于购置固定资产、战略性和应急性储备、土地和无形资产，以及购建基础设施、大型修缮所发生的一般公共预算财政拨款支出和政府性基金预算财政拨款支出，不包括财政专户管理资金以及各类拼盘自筹资金等。</w:t>
      </w:r>
    </w:p>
    <w:p w14:paraId="7759FE9F">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（十）其他资本性支出：</w:t>
      </w:r>
      <w:r>
        <w:rPr>
          <w:rFonts w:hint="eastAsia" w:ascii="仿宋_GB2312" w:hAnsi="宋体" w:eastAsia="仿宋_GB2312" w:cs="Times New Roman"/>
          <w:color w:val="000000"/>
          <w:kern w:val="0"/>
          <w:sz w:val="32"/>
          <w:szCs w:val="32"/>
        </w:rPr>
        <w:t>填列由各级非发展与改革部门集中安排的用于购置固定资产、战备性和应急性储备、土地和无形资产，以及购建基础设施、大型修缮和财政支持企业更新改造所发生的支出。</w:t>
      </w:r>
    </w:p>
    <w:p w14:paraId="5F504AB4">
      <w:pPr>
        <w:snapToGrid w:val="0"/>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（十一）“三公”经费：</w:t>
      </w:r>
      <w:r>
        <w:rPr>
          <w:rFonts w:hint="eastAsia" w:ascii="仿宋_GB2312" w:hAnsi="宋体" w:eastAsia="仿宋_GB2312" w:cs="Times New Roman"/>
          <w:color w:val="000000"/>
          <w:kern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14:paraId="2928A6AE">
      <w:pPr>
        <w:snapToGrid w:val="0"/>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（十二）其他交通费用：</w:t>
      </w:r>
      <w:r>
        <w:rPr>
          <w:rFonts w:hint="eastAsia" w:ascii="仿宋_GB2312" w:hAnsi="宋体" w:eastAsia="仿宋_GB2312" w:cs="Times New Roman"/>
          <w:color w:val="000000"/>
          <w:kern w:val="0"/>
          <w:sz w:val="32"/>
          <w:szCs w:val="32"/>
        </w:rPr>
        <w:t>填列单位除公务用车运行维护费以外的其他交通费用。如公务交通补贴、租车费用、出租车费用，飞机、船舶等燃料费、维修费、保险费等。</w:t>
      </w:r>
    </w:p>
    <w:p w14:paraId="1D03E451">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（十三）公务用车购置：</w:t>
      </w:r>
      <w:r>
        <w:rPr>
          <w:rFonts w:hint="eastAsia" w:ascii="仿宋_GB2312" w:hAnsi="宋体" w:eastAsia="仿宋_GB2312" w:cs="Times New Roman"/>
          <w:color w:val="000000"/>
          <w:kern w:val="0"/>
          <w:sz w:val="32"/>
          <w:szCs w:val="32"/>
        </w:rPr>
        <w:t>填列单位公务用车车辆购置支出（含车辆购置税、牌照费）。</w:t>
      </w:r>
    </w:p>
    <w:p w14:paraId="3E5985AF">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（十四）其他交通工具购置：</w:t>
      </w:r>
      <w:r>
        <w:rPr>
          <w:rFonts w:hint="eastAsia" w:ascii="仿宋_GB2312" w:hAnsi="宋体" w:eastAsia="仿宋_GB2312" w:cs="Times New Roman"/>
          <w:color w:val="000000"/>
          <w:kern w:val="0"/>
          <w:sz w:val="32"/>
          <w:szCs w:val="32"/>
        </w:rPr>
        <w:t>填列单位除公务用车外的其他各类交通工具（如船舶、飞机等）购置支出（含车辆购置税、牌照费）。</w:t>
      </w:r>
    </w:p>
    <w:p w14:paraId="4B62F2BA">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（十五）机关运行经费：</w:t>
      </w:r>
      <w:r>
        <w:rPr>
          <w:rFonts w:hint="eastAsia" w:ascii="仿宋_GB2312" w:hAnsi="宋体" w:eastAsia="仿宋_GB2312" w:cs="Times New Roman"/>
          <w:color w:val="000000"/>
          <w:kern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14:paraId="5CB23B85">
      <w:pPr>
        <w:tabs>
          <w:tab w:val="left" w:pos="235"/>
        </w:tabs>
        <w:spacing w:line="600" w:lineRule="exact"/>
        <w:ind w:firstLine="643" w:firstLineChars="200"/>
        <w:jc w:val="left"/>
        <w:rPr>
          <w:rFonts w:ascii="仿宋_GB2312" w:hAnsi="Cambria" w:eastAsia="仿宋_GB2312" w:cs="Arial Black"/>
          <w:kern w:val="0"/>
          <w:sz w:val="32"/>
          <w:szCs w:val="32"/>
        </w:rPr>
      </w:pPr>
      <w:r>
        <w:rPr>
          <w:rFonts w:hint="eastAsia" w:ascii="仿宋_GB2312" w:hAnsi="宋体" w:eastAsia="仿宋_GB2312" w:cs="Times New Roman"/>
          <w:b/>
          <w:bCs/>
          <w:color w:val="000000"/>
          <w:kern w:val="0"/>
          <w:sz w:val="32"/>
          <w:szCs w:val="32"/>
        </w:rPr>
        <w:t>（十六）经费形式:</w:t>
      </w:r>
      <w:r>
        <w:rPr>
          <w:rFonts w:hint="eastAsia" w:ascii="仿宋_GB2312" w:hAnsi="宋体" w:eastAsia="仿宋_GB2312" w:cs="Times New Roman"/>
          <w:color w:val="000000"/>
          <w:kern w:val="0"/>
          <w:sz w:val="32"/>
          <w:szCs w:val="32"/>
        </w:rPr>
        <w:t>按照经费来源，</w:t>
      </w:r>
      <w:r>
        <w:rPr>
          <w:rFonts w:hint="eastAsia" w:ascii="仿宋_GB2312" w:hAnsi="Cambria" w:eastAsia="仿宋_GB2312" w:cs="Arial Black"/>
          <w:kern w:val="0"/>
          <w:sz w:val="32"/>
          <w:szCs w:val="32"/>
        </w:rPr>
        <w:t>可分为财政拨款、财政性资金基本保证、财政性资金定额或定项补助、财政性资金零补助四类。</w:t>
      </w:r>
    </w:p>
    <w:p w14:paraId="324A285E">
      <w:pPr>
        <w:tabs>
          <w:tab w:val="left" w:pos="235"/>
        </w:tabs>
        <w:spacing w:line="600" w:lineRule="exact"/>
        <w:ind w:firstLine="640" w:firstLineChars="200"/>
        <w:jc w:val="left"/>
        <w:rPr>
          <w:rFonts w:ascii="仿宋_GB2312" w:hAnsi="Cambria" w:eastAsia="仿宋_GB2312" w:cs="Arial Black"/>
          <w:kern w:val="0"/>
          <w:sz w:val="32"/>
          <w:szCs w:val="32"/>
        </w:rPr>
      </w:pPr>
    </w:p>
    <w:p w14:paraId="65AEADC4">
      <w:pPr>
        <w:tabs>
          <w:tab w:val="left" w:pos="235"/>
        </w:tabs>
        <w:spacing w:line="600" w:lineRule="exact"/>
        <w:ind w:firstLine="640" w:firstLineChars="200"/>
        <w:jc w:val="left"/>
        <w:rPr>
          <w:rFonts w:ascii="仿宋_GB2312" w:hAnsi="Cambria" w:eastAsia="仿宋_GB2312" w:cs="Arial Black"/>
          <w:kern w:val="0"/>
          <w:sz w:val="32"/>
          <w:szCs w:val="32"/>
        </w:rPr>
      </w:pPr>
    </w:p>
    <w:p w14:paraId="6D673F56">
      <w:pPr>
        <w:tabs>
          <w:tab w:val="left" w:pos="235"/>
        </w:tabs>
        <w:spacing w:line="600" w:lineRule="exact"/>
        <w:ind w:firstLine="640" w:firstLineChars="200"/>
        <w:jc w:val="left"/>
        <w:rPr>
          <w:rFonts w:ascii="仿宋_GB2312" w:hAnsi="Cambria" w:eastAsia="仿宋_GB2312" w:cs="Arial Black"/>
          <w:kern w:val="0"/>
          <w:sz w:val="32"/>
          <w:szCs w:val="32"/>
        </w:rPr>
      </w:pPr>
    </w:p>
    <w:p w14:paraId="167AA4A2">
      <w:pPr>
        <w:tabs>
          <w:tab w:val="left" w:pos="235"/>
        </w:tabs>
        <w:spacing w:line="600" w:lineRule="exact"/>
        <w:ind w:firstLine="640" w:firstLineChars="200"/>
        <w:jc w:val="left"/>
        <w:rPr>
          <w:rFonts w:ascii="仿宋_GB2312" w:hAnsi="Cambria" w:eastAsia="仿宋_GB2312" w:cs="Arial Black"/>
          <w:kern w:val="0"/>
          <w:sz w:val="32"/>
          <w:szCs w:val="32"/>
        </w:rPr>
      </w:pPr>
    </w:p>
    <w:p w14:paraId="299E29D9">
      <w:pPr>
        <w:tabs>
          <w:tab w:val="left" w:pos="235"/>
        </w:tabs>
        <w:spacing w:line="600" w:lineRule="exact"/>
        <w:ind w:firstLine="640" w:firstLineChars="200"/>
        <w:jc w:val="left"/>
        <w:rPr>
          <w:rFonts w:ascii="仿宋_GB2312" w:hAnsi="Cambria" w:eastAsia="仿宋_GB2312" w:cs="Arial Black"/>
          <w:kern w:val="0"/>
          <w:sz w:val="32"/>
          <w:szCs w:val="32"/>
        </w:rPr>
      </w:pPr>
    </w:p>
    <w:p w14:paraId="271855DD">
      <w:pPr>
        <w:tabs>
          <w:tab w:val="left" w:pos="235"/>
        </w:tabs>
        <w:spacing w:line="600" w:lineRule="exact"/>
        <w:ind w:firstLine="640" w:firstLineChars="200"/>
        <w:jc w:val="left"/>
        <w:rPr>
          <w:rFonts w:ascii="仿宋_GB2312" w:hAnsi="Cambria" w:eastAsia="仿宋_GB2312" w:cs="Arial Black"/>
          <w:kern w:val="0"/>
          <w:sz w:val="32"/>
          <w:szCs w:val="32"/>
        </w:rPr>
      </w:pPr>
    </w:p>
    <w:p w14:paraId="049F8D23">
      <w:pPr>
        <w:tabs>
          <w:tab w:val="left" w:pos="235"/>
        </w:tabs>
        <w:spacing w:line="600" w:lineRule="exact"/>
        <w:ind w:firstLine="640" w:firstLineChars="200"/>
        <w:jc w:val="left"/>
        <w:rPr>
          <w:rFonts w:ascii="仿宋_GB2312" w:hAnsi="Cambria" w:eastAsia="仿宋_GB2312" w:cs="Arial Black"/>
          <w:kern w:val="0"/>
          <w:sz w:val="32"/>
          <w:szCs w:val="32"/>
        </w:rPr>
      </w:pPr>
    </w:p>
    <w:p w14:paraId="087BDBD6">
      <w:pPr>
        <w:tabs>
          <w:tab w:val="left" w:pos="235"/>
        </w:tabs>
        <w:spacing w:line="600" w:lineRule="exact"/>
        <w:ind w:firstLine="640" w:firstLineChars="200"/>
        <w:jc w:val="left"/>
        <w:rPr>
          <w:rFonts w:ascii="仿宋_GB2312" w:hAnsi="Cambria" w:eastAsia="仿宋_GB2312" w:cs="Arial Black"/>
          <w:kern w:val="0"/>
          <w:sz w:val="32"/>
          <w:szCs w:val="32"/>
        </w:rPr>
      </w:pPr>
    </w:p>
    <w:p w14:paraId="1440790F">
      <w:pPr>
        <w:widowControl/>
        <w:spacing w:after="160" w:afterLines="0" w:line="580" w:lineRule="exact"/>
        <w:rPr>
          <w:rFonts w:ascii="Times New Roman" w:hAnsi="Times New Roman" w:eastAsia="黑体" w:cs="Times New Roman"/>
          <w:sz w:val="32"/>
          <w:szCs w:val="32"/>
        </w:rPr>
        <w:sectPr>
          <w:headerReference r:id="rId11" w:type="default"/>
          <w:pgSz w:w="11906" w:h="16838"/>
          <w:pgMar w:top="2098" w:right="1531" w:bottom="1984" w:left="1531" w:header="851" w:footer="992" w:gutter="0"/>
          <w:pgNumType w:fmt="numberInDash"/>
          <w:cols w:space="720" w:num="1"/>
          <w:titlePg/>
          <w:docGrid w:type="lines" w:linePitch="312" w:charSpace="0"/>
        </w:sectPr>
      </w:pPr>
    </w:p>
    <w:p w14:paraId="01E972A3">
      <w:r>
        <w:rPr>
          <w:sz w:val="72"/>
        </w:rPr>
        <mc:AlternateContent>
          <mc:Choice Requires="wps">
            <w:drawing>
              <wp:anchor distT="0" distB="0" distL="114300" distR="114300" simplePos="0" relativeHeight="251665408" behindDoc="0" locked="0" layoutInCell="1" allowOverlap="1">
                <wp:simplePos x="0" y="0"/>
                <wp:positionH relativeFrom="column">
                  <wp:posOffset>-986155</wp:posOffset>
                </wp:positionH>
                <wp:positionV relativeFrom="paragraph">
                  <wp:posOffset>871855</wp:posOffset>
                </wp:positionV>
                <wp:extent cx="7793355" cy="3341370"/>
                <wp:effectExtent l="6350" t="6350" r="10795" b="24130"/>
                <wp:wrapNone/>
                <wp:docPr id="16" name="文本框 1"/>
                <wp:cNvGraphicFramePr/>
                <a:graphic xmlns:a="http://schemas.openxmlformats.org/drawingml/2006/main">
                  <a:graphicData uri="http://schemas.microsoft.com/office/word/2010/wordprocessingShape">
                    <wps:wsp>
                      <wps:cNvSpPr/>
                      <wps:spPr>
                        <a:xfrm>
                          <a:off x="0" y="0"/>
                          <a:ext cx="7793355" cy="3341370"/>
                        </a:xfrm>
                        <a:prstGeom prst="rect">
                          <a:avLst/>
                        </a:prstGeom>
                        <a:pattFill prst="pct5">
                          <a:fgClr>
                            <a:srgbClr val="7F7F7F">
                              <a:alpha val="100000"/>
                            </a:srgbClr>
                          </a:fgClr>
                          <a:bgClr>
                            <a:srgbClr val="FFFFFF">
                              <a:alpha val="100000"/>
                            </a:srgbClr>
                          </a:bgClr>
                        </a:pattFill>
                        <a:ln w="12700" cap="flat" cmpd="sng">
                          <a:solidFill>
                            <a:srgbClr val="A5A5A5"/>
                          </a:solidFill>
                          <a:prstDash val="solid"/>
                          <a:miter/>
                          <a:headEnd type="none" w="med" len="med"/>
                          <a:tailEnd type="none" w="med" len="med"/>
                        </a:ln>
                      </wps:spPr>
                      <wps:txbx>
                        <w:txbxContent>
                          <w:p w14:paraId="1D17DD3D">
                            <w:pPr>
                              <w:widowControl/>
                              <w:jc w:val="center"/>
                              <w:rPr>
                                <w:rFonts w:ascii="黑体" w:hAnsi="黑体" w:eastAsia="黑体" w:cs="黑体"/>
                                <w:color w:val="000000"/>
                                <w:sz w:val="90"/>
                                <w:szCs w:val="90"/>
                              </w:rPr>
                            </w:pPr>
                            <w:r>
                              <w:rPr>
                                <w:rFonts w:hint="eastAsia" w:ascii="黑体" w:hAnsi="黑体" w:eastAsia="黑体" w:cs="黑体"/>
                                <w:color w:val="000000"/>
                                <w:sz w:val="90"/>
                                <w:szCs w:val="90"/>
                              </w:rPr>
                              <w:t xml:space="preserve">第四部分 </w:t>
                            </w:r>
                          </w:p>
                          <w:p w14:paraId="38B66A30">
                            <w:pPr>
                              <w:widowControl/>
                              <w:jc w:val="center"/>
                            </w:pPr>
                            <w:r>
                              <w:rPr>
                                <w:rFonts w:hint="eastAsia" w:ascii="黑体" w:hAnsi="黑体" w:eastAsia="黑体" w:cs="黑体"/>
                                <w:color w:val="000000"/>
                                <w:sz w:val="90"/>
                                <w:szCs w:val="90"/>
                              </w:rPr>
                              <w:t>2020年度部门决算报表</w:t>
                            </w:r>
                          </w:p>
                          <w:p w14:paraId="5D375DA4"/>
                        </w:txbxContent>
                      </wps:txbx>
                      <wps:bodyPr vert="horz" wrap="square" upright="0"/>
                    </wps:wsp>
                  </a:graphicData>
                </a:graphic>
              </wp:anchor>
            </w:drawing>
          </mc:Choice>
          <mc:Fallback>
            <w:pict>
              <v:rect id="文本框 1" o:spid="_x0000_s1026" o:spt="1" style="position:absolute;left:0pt;margin-left:-77.65pt;margin-top:68.65pt;height:263.1pt;width:613.65pt;z-index:251665408;mso-width-relative:page;mso-height-relative:page;" fillcolor="#7F7F7F" filled="t" stroked="t" coordsize="21600,21600" o:gfxdata="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">
                <v:fill type="pattern" on="t" color2="#FFFFFF" o:title="5%" focussize="0,0" r:id="rId14"/>
                <v:stroke weight="1pt" color="#A5A5A5" joinstyle="miter"/>
                <v:imagedata o:title=""/>
                <o:lock v:ext="edit" aspectratio="f"/>
                <v:textbox>
                  <w:txbxContent>
                    <w:p w14:paraId="1D17DD3D">
                      <w:pPr>
                        <w:widowControl/>
                        <w:jc w:val="center"/>
                        <w:rPr>
                          <w:rFonts w:ascii="黑体" w:hAnsi="黑体" w:eastAsia="黑体" w:cs="黑体"/>
                          <w:color w:val="000000"/>
                          <w:sz w:val="90"/>
                          <w:szCs w:val="90"/>
                        </w:rPr>
                      </w:pPr>
                      <w:r>
                        <w:rPr>
                          <w:rFonts w:hint="eastAsia" w:ascii="黑体" w:hAnsi="黑体" w:eastAsia="黑体" w:cs="黑体"/>
                          <w:color w:val="000000"/>
                          <w:sz w:val="90"/>
                          <w:szCs w:val="90"/>
                        </w:rPr>
                        <w:t xml:space="preserve">第四部分 </w:t>
                      </w:r>
                    </w:p>
                    <w:p w14:paraId="38B66A30">
                      <w:pPr>
                        <w:widowControl/>
                        <w:jc w:val="center"/>
                      </w:pPr>
                      <w:r>
                        <w:rPr>
                          <w:rFonts w:hint="eastAsia" w:ascii="黑体" w:hAnsi="黑体" w:eastAsia="黑体" w:cs="黑体"/>
                          <w:color w:val="000000"/>
                          <w:sz w:val="90"/>
                          <w:szCs w:val="90"/>
                        </w:rPr>
                        <w:t>2020年度部门决算报表</w:t>
                      </w:r>
                    </w:p>
                    <w:p w14:paraId="5D375DA4"/>
                  </w:txbxContent>
                </v:textbox>
              </v:rect>
            </w:pict>
          </mc:Fallback>
        </mc:AlternateContent>
      </w:r>
    </w:p>
    <w:p w14:paraId="3856F245">
      <w:pPr>
        <w:rPr>
          <w:rFonts w:ascii="黑体" w:hAnsi="黑体" w:eastAsia="黑体" w:cs="黑体"/>
          <w:sz w:val="56"/>
          <w:szCs w:val="72"/>
        </w:rPr>
      </w:pPr>
    </w:p>
    <w:p w14:paraId="739B4B24">
      <w:pPr>
        <w:rPr>
          <w:rFonts w:ascii="黑体" w:hAnsi="黑体" w:eastAsia="黑体" w:cs="黑体"/>
          <w:sz w:val="56"/>
          <w:szCs w:val="72"/>
        </w:rPr>
      </w:pPr>
    </w:p>
    <w:p w14:paraId="2DEB23CF">
      <w:pPr>
        <w:rPr>
          <w:rFonts w:ascii="黑体" w:hAnsi="黑体" w:eastAsia="黑体" w:cs="黑体"/>
          <w:sz w:val="56"/>
          <w:szCs w:val="72"/>
        </w:rPr>
      </w:pPr>
    </w:p>
    <w:p w14:paraId="5E7727E7">
      <w:pPr>
        <w:rPr>
          <w:rFonts w:ascii="黑体" w:hAnsi="黑体" w:eastAsia="黑体" w:cs="黑体"/>
          <w:sz w:val="56"/>
          <w:szCs w:val="72"/>
        </w:rPr>
      </w:pPr>
    </w:p>
    <w:p w14:paraId="65F045FD">
      <w:pPr>
        <w:rPr>
          <w:rFonts w:ascii="黑体" w:hAnsi="黑体" w:eastAsia="黑体" w:cs="黑体"/>
          <w:sz w:val="56"/>
          <w:szCs w:val="72"/>
        </w:rPr>
      </w:pPr>
    </w:p>
    <w:p w14:paraId="2E7A025B">
      <w:pPr>
        <w:rPr>
          <w:rFonts w:ascii="黑体" w:hAnsi="黑体" w:eastAsia="黑体" w:cs="黑体"/>
          <w:sz w:val="56"/>
          <w:szCs w:val="72"/>
        </w:rPr>
      </w:pPr>
    </w:p>
    <w:p w14:paraId="25A569E8">
      <w:pPr>
        <w:tabs>
          <w:tab w:val="left" w:pos="235"/>
        </w:tabs>
        <w:spacing w:line="600" w:lineRule="exact"/>
        <w:ind w:firstLine="640" w:firstLineChars="200"/>
        <w:jc w:val="left"/>
        <w:rPr>
          <w:rFonts w:ascii="仿宋_GB2312" w:hAnsi="Cambria" w:eastAsia="仿宋_GB2312" w:cs="Arial Black"/>
          <w:kern w:val="0"/>
          <w:sz w:val="32"/>
          <w:szCs w:val="32"/>
        </w:rPr>
      </w:pPr>
    </w:p>
    <w:p w14:paraId="40F18123">
      <w:pPr>
        <w:tabs>
          <w:tab w:val="left" w:pos="235"/>
        </w:tabs>
        <w:spacing w:line="600" w:lineRule="exact"/>
        <w:ind w:firstLine="640" w:firstLineChars="200"/>
        <w:jc w:val="left"/>
        <w:rPr>
          <w:rFonts w:ascii="仿宋_GB2312" w:hAnsi="Cambria" w:eastAsia="仿宋_GB2312" w:cs="Arial Black"/>
          <w:kern w:val="0"/>
          <w:sz w:val="32"/>
          <w:szCs w:val="32"/>
        </w:rPr>
      </w:pPr>
    </w:p>
    <w:p w14:paraId="72C744FF">
      <w:pPr>
        <w:tabs>
          <w:tab w:val="left" w:pos="235"/>
        </w:tabs>
        <w:spacing w:line="600" w:lineRule="exact"/>
        <w:ind w:firstLine="640" w:firstLineChars="200"/>
        <w:jc w:val="left"/>
        <w:rPr>
          <w:rFonts w:ascii="仿宋_GB2312" w:hAnsi="Cambria" w:eastAsia="仿宋_GB2312" w:cs="Arial Black"/>
          <w:kern w:val="0"/>
          <w:sz w:val="32"/>
          <w:szCs w:val="32"/>
        </w:rPr>
      </w:pPr>
    </w:p>
    <w:p w14:paraId="28153019">
      <w:pPr>
        <w:tabs>
          <w:tab w:val="left" w:pos="235"/>
        </w:tabs>
        <w:spacing w:line="600" w:lineRule="exact"/>
        <w:ind w:firstLine="640" w:firstLineChars="200"/>
        <w:jc w:val="left"/>
        <w:rPr>
          <w:rFonts w:ascii="仿宋_GB2312" w:hAnsi="Cambria" w:eastAsia="仿宋_GB2312" w:cs="Arial Black"/>
          <w:kern w:val="0"/>
          <w:sz w:val="32"/>
          <w:szCs w:val="32"/>
        </w:rPr>
      </w:pPr>
    </w:p>
    <w:p w14:paraId="7639EB19">
      <w:pPr>
        <w:tabs>
          <w:tab w:val="left" w:pos="235"/>
        </w:tabs>
        <w:spacing w:line="600" w:lineRule="exact"/>
        <w:ind w:firstLine="640" w:firstLineChars="200"/>
        <w:jc w:val="left"/>
        <w:rPr>
          <w:rFonts w:ascii="仿宋_GB2312" w:hAnsi="Cambria" w:eastAsia="仿宋_GB2312" w:cs="Arial Black"/>
          <w:kern w:val="0"/>
          <w:sz w:val="32"/>
          <w:szCs w:val="32"/>
        </w:rPr>
      </w:pPr>
    </w:p>
    <w:p w14:paraId="52197E4F">
      <w:pPr>
        <w:tabs>
          <w:tab w:val="left" w:pos="235"/>
        </w:tabs>
        <w:spacing w:line="600" w:lineRule="exact"/>
        <w:ind w:firstLine="640" w:firstLineChars="200"/>
        <w:jc w:val="left"/>
        <w:rPr>
          <w:rFonts w:ascii="仿宋_GB2312" w:hAnsi="Cambria" w:eastAsia="仿宋_GB2312" w:cs="Arial Black"/>
          <w:kern w:val="0"/>
          <w:sz w:val="32"/>
          <w:szCs w:val="32"/>
        </w:rPr>
      </w:pPr>
    </w:p>
    <w:p w14:paraId="0EDA24CB">
      <w:pPr>
        <w:tabs>
          <w:tab w:val="left" w:pos="235"/>
        </w:tabs>
        <w:spacing w:line="600" w:lineRule="exact"/>
        <w:ind w:firstLine="640" w:firstLineChars="200"/>
        <w:jc w:val="left"/>
        <w:rPr>
          <w:rFonts w:ascii="仿宋_GB2312" w:hAnsi="Cambria" w:eastAsia="仿宋_GB2312" w:cs="Arial Black"/>
          <w:kern w:val="0"/>
          <w:sz w:val="32"/>
          <w:szCs w:val="32"/>
        </w:rPr>
      </w:pPr>
    </w:p>
    <w:p w14:paraId="6C7D4B7F">
      <w:pPr>
        <w:tabs>
          <w:tab w:val="left" w:pos="235"/>
        </w:tabs>
        <w:spacing w:line="600" w:lineRule="exact"/>
        <w:ind w:firstLine="640" w:firstLineChars="200"/>
        <w:jc w:val="left"/>
        <w:rPr>
          <w:rFonts w:ascii="仿宋_GB2312" w:hAnsi="Cambria" w:eastAsia="仿宋_GB2312" w:cs="Arial Black"/>
          <w:kern w:val="0"/>
          <w:sz w:val="32"/>
          <w:szCs w:val="32"/>
        </w:rPr>
      </w:pPr>
    </w:p>
    <w:p w14:paraId="261DD349">
      <w:pPr>
        <w:tabs>
          <w:tab w:val="left" w:pos="235"/>
        </w:tabs>
        <w:spacing w:line="600" w:lineRule="exact"/>
        <w:ind w:firstLine="640" w:firstLineChars="200"/>
        <w:jc w:val="left"/>
        <w:rPr>
          <w:rFonts w:ascii="仿宋_GB2312" w:hAnsi="Cambria" w:eastAsia="仿宋_GB2312" w:cs="Arial Black"/>
          <w:kern w:val="0"/>
          <w:sz w:val="32"/>
          <w:szCs w:val="32"/>
        </w:rPr>
      </w:pPr>
    </w:p>
    <w:p w14:paraId="6766220E">
      <w:pPr>
        <w:tabs>
          <w:tab w:val="left" w:pos="235"/>
        </w:tabs>
        <w:spacing w:line="600" w:lineRule="exact"/>
        <w:ind w:firstLine="640" w:firstLineChars="200"/>
        <w:jc w:val="left"/>
        <w:rPr>
          <w:rFonts w:ascii="仿宋_GB2312" w:hAnsi="Cambria" w:eastAsia="仿宋_GB2312" w:cs="Arial Black"/>
          <w:kern w:val="0"/>
          <w:sz w:val="32"/>
          <w:szCs w:val="32"/>
        </w:rPr>
      </w:pPr>
    </w:p>
    <w:p w14:paraId="7C65A64B">
      <w:pPr>
        <w:tabs>
          <w:tab w:val="left" w:pos="235"/>
        </w:tabs>
        <w:spacing w:line="600" w:lineRule="exact"/>
        <w:ind w:firstLine="640" w:firstLineChars="200"/>
        <w:jc w:val="left"/>
        <w:rPr>
          <w:rFonts w:ascii="仿宋_GB2312" w:hAnsi="Cambria" w:eastAsia="仿宋_GB2312" w:cs="Arial Black"/>
          <w:kern w:val="0"/>
          <w:sz w:val="32"/>
          <w:szCs w:val="32"/>
        </w:rPr>
      </w:pPr>
    </w:p>
    <w:p w14:paraId="0DFDB0E5">
      <w:pPr>
        <w:tabs>
          <w:tab w:val="left" w:pos="235"/>
        </w:tabs>
        <w:spacing w:line="600" w:lineRule="exact"/>
        <w:jc w:val="left"/>
        <w:rPr>
          <w:rFonts w:hint="eastAsia" w:ascii="仿宋_GB2312" w:hAnsi="Cambria" w:eastAsia="仿宋_GB2312" w:cs="Arial Black"/>
          <w:kern w:val="0"/>
          <w:sz w:val="32"/>
          <w:szCs w:val="32"/>
          <w:lang w:val="en-US" w:eastAsia="zh-CN"/>
        </w:rPr>
        <w:sectPr>
          <w:type w:val="continuous"/>
          <w:pgSz w:w="11906" w:h="16838"/>
          <w:pgMar w:top="2098" w:right="1531" w:bottom="1984" w:left="1531" w:header="851" w:footer="992" w:gutter="0"/>
          <w:pgNumType w:fmt="numberInDash"/>
          <w:cols w:space="720" w:num="1"/>
          <w:titlePg/>
          <w:docGrid w:type="lines" w:linePitch="312" w:charSpace="0"/>
        </w:sectPr>
      </w:pPr>
      <w:r>
        <w:rPr>
          <w:rFonts w:hint="eastAsia" w:ascii="仿宋_GB2312" w:hAnsi="Cambria" w:eastAsia="仿宋_GB2312" w:cs="Arial Black"/>
          <w:kern w:val="0"/>
          <w:sz w:val="32"/>
          <w:szCs w:val="32"/>
          <w:lang w:val="en-US" w:eastAsia="zh-CN"/>
        </w:rPr>
        <w:t>详见附表</w:t>
      </w:r>
    </w:p>
    <w:p w14:paraId="3CF14EB2">
      <w:pPr>
        <w:tabs>
          <w:tab w:val="left" w:pos="235"/>
        </w:tabs>
        <w:spacing w:line="600" w:lineRule="exact"/>
        <w:ind w:firstLine="640" w:firstLineChars="200"/>
        <w:jc w:val="left"/>
        <w:rPr>
          <w:rFonts w:ascii="仿宋_GB2312" w:hAnsi="Cambria" w:eastAsia="仿宋_GB2312" w:cs="Arial Black"/>
          <w:kern w:val="0"/>
          <w:sz w:val="32"/>
          <w:szCs w:val="32"/>
        </w:rPr>
      </w:pPr>
      <w:r>
        <w:rPr>
          <w:sz w:val="32"/>
        </w:rPr>
        <mc:AlternateContent>
          <mc:Choice Requires="wps">
            <w:drawing>
              <wp:anchor distT="0" distB="0" distL="114300" distR="114300" simplePos="0" relativeHeight="251664384" behindDoc="0" locked="0" layoutInCell="1" allowOverlap="1">
                <wp:simplePos x="0" y="0"/>
                <wp:positionH relativeFrom="column">
                  <wp:posOffset>-993140</wp:posOffset>
                </wp:positionH>
                <wp:positionV relativeFrom="paragraph">
                  <wp:posOffset>-1353820</wp:posOffset>
                </wp:positionV>
                <wp:extent cx="7632700" cy="10695940"/>
                <wp:effectExtent l="0" t="0" r="6350" b="10160"/>
                <wp:wrapNone/>
                <wp:docPr id="15" name="矩形 3"/>
                <wp:cNvGraphicFramePr/>
                <a:graphic xmlns:a="http://schemas.openxmlformats.org/drawingml/2006/main">
                  <a:graphicData uri="http://schemas.microsoft.com/office/word/2010/wordprocessingShape">
                    <wps:wsp>
                      <wps:cNvSpPr/>
                      <wps:spPr>
                        <a:xfrm>
                          <a:off x="0" y="0"/>
                          <a:ext cx="7632700" cy="10695940"/>
                        </a:xfrm>
                        <a:prstGeom prst="rect">
                          <a:avLst/>
                        </a:prstGeom>
                        <a:solidFill>
                          <a:srgbClr val="BBD6EE">
                            <a:alpha val="100000"/>
                          </a:srgbClr>
                        </a:solidFill>
                        <a:ln>
                          <a:noFill/>
                        </a:ln>
                      </wps:spPr>
                      <wps:bodyPr vert="horz" wrap="square" upright="0"/>
                    </wps:wsp>
                  </a:graphicData>
                </a:graphic>
              </wp:anchor>
            </w:drawing>
          </mc:Choice>
          <mc:Fallback>
            <w:pict>
              <v:rect id="矩形 3" o:spid="_x0000_s1026" o:spt="1" style="position:absolute;left:0pt;margin-left:-78.2pt;margin-top:-106.6pt;height:842.2pt;width:601pt;z-index:251664384;mso-width-relative:page;mso-height-relative:page;" fillcolor="#BBD6EE" filled="t" stroked="f" coordsize="21600,21600" o:gfxdata="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">
                <v:fill on="t" focussize="0,0"/>
                <v:stroke on="f"/>
                <v:imagedata o:title=""/>
                <o:lock v:ext="edit" aspectratio="f"/>
              </v:rect>
            </w:pict>
          </mc:Fallback>
        </mc:AlternateContent>
      </w:r>
    </w:p>
    <w:sectPr>
      <w:pgSz w:w="11906" w:h="16838"/>
      <w:pgMar w:top="2098" w:right="1531" w:bottom="1984" w:left="1531"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Arial Unicode MS">
    <w:altName w:val="Arial"/>
    <w:panose1 w:val="00000000000000000000"/>
    <w:charset w:val="00"/>
    <w:family w:val="auto"/>
    <w:pitch w:val="default"/>
    <w:sig w:usb0="00000000" w:usb1="00000000" w:usb2="00000000" w:usb3="00000000" w:csb0="00000000" w:csb1="00000000"/>
  </w:font>
  <w:font w:name="楷体_GB2312">
    <w:altName w:val="楷体"/>
    <w:panose1 w:val="02010609030101010101"/>
    <w:charset w:val="86"/>
    <w:family w:val="auto"/>
    <w:pitch w:val="default"/>
    <w:sig w:usb0="00000000" w:usb1="00000000" w:usb2="00000000" w:usb3="00000000" w:csb0="00040000" w:csb1="00000000"/>
  </w:font>
  <w:font w:name="仿宋_GB2312">
    <w:altName w:val="仿宋"/>
    <w:panose1 w:val="02010609030101010101"/>
    <w:charset w:val="86"/>
    <w:family w:val="auto"/>
    <w:pitch w:val="default"/>
    <w:sig w:usb0="00000000" w:usb1="00000000" w:usb2="00000000" w:usb3="00000000" w:csb0="00040000" w:csb1="00000000"/>
  </w:font>
  <w:font w:name="Arial Black">
    <w:panose1 w:val="020B0A04020102020204"/>
    <w:charset w:val="00"/>
    <w:family w:val="auto"/>
    <w:pitch w:val="default"/>
    <w:sig w:usb0="A00002AF" w:usb1="400078FB" w:usb2="00000000" w:usb3="00000000" w:csb0="6000009F" w:csb1="DFD70000"/>
  </w:font>
  <w:font w:name="仿宋">
    <w:panose1 w:val="02010609060101010101"/>
    <w:charset w:val="86"/>
    <w:family w:val="auto"/>
    <w:pitch w:val="default"/>
    <w:sig w:usb0="800002BF" w:usb1="38CF7CFA" w:usb2="00000016" w:usb3="00000000" w:csb0="00040001" w:csb1="00000000"/>
  </w:font>
  <w:font w:name="Cambria">
    <w:panose1 w:val="02040503050406030204"/>
    <w:charset w:val="00"/>
    <w:family w:val="auto"/>
    <w:pitch w:val="default"/>
    <w:sig w:usb0="E00006FF" w:usb1="420024FF" w:usb2="02000000" w:usb3="00000000" w:csb0="2000019F" w:csb1="00000000"/>
  </w:font>
  <w:font w:name="Mongolian Baiti">
    <w:panose1 w:val="03000500000000000000"/>
    <w:charset w:val="00"/>
    <w:family w:val="auto"/>
    <w:pitch w:val="default"/>
    <w:sig w:usb0="80000023" w:usb1="00000000" w:usb2="00020000" w:usb3="00000000" w:csb0="00000001" w:csb1="00000000"/>
  </w:font>
  <w:font w:name="DengXian-Regular">
    <w:altName w:val="宋体"/>
    <w:panose1 w:val="00000000000000000000"/>
    <w:charset w:val="86"/>
    <w:family w:val="auto"/>
    <w:pitch w:val="default"/>
    <w:sig w:usb0="00000000" w:usb1="00000000" w:usb2="00000010" w:usb3="00000000" w:csb0="00040001" w:csb1="00000000"/>
  </w:font>
  <w:font w:name="方正小标宋_GBK">
    <w:altName w:val="微软雅黑"/>
    <w:panose1 w:val="03000509000000000000"/>
    <w:charset w:val="86"/>
    <w:family w:val="auto"/>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2C25FC5">
    <w:pPr>
      <w:pStyle w:val="4"/>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EB260EB">
    <w:pPr>
      <w:pStyle w:val="4"/>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ECF0E43">
    <w:pPr>
      <w:pStyle w:val="4"/>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5D19C95">
    <w:pPr>
      <w:pStyle w:val="5"/>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BC654FA">
    <w:pPr>
      <w:pStyle w:val="5"/>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24E72C8">
    <w:pPr>
      <w:pStyle w:val="5"/>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B933D3D">
    <w:pPr>
      <w:pStyle w:val="5"/>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3B02D53">
    <w:pPr>
      <w:pStyle w:val="5"/>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35981A7">
    <w:pPr>
      <w:pStyle w:val="5"/>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000000A"/>
    <w:multiLevelType w:val="singleLevel"/>
    <w:tmpl w:val="0000000A"/>
    <w:lvl w:ilvl="0" w:tentative="0">
      <w:start w:val="1"/>
      <w:numFmt w:val="decimal"/>
      <w:suff w:val="space"/>
      <w:lvlText w:val="%1."/>
      <w:lvlJc w:val="left"/>
    </w:lvl>
  </w:abstractNum>
  <w:abstractNum w:abstractNumId="1">
    <w:nsid w:val="0000000B"/>
    <w:multiLevelType w:val="singleLevel"/>
    <w:tmpl w:val="0000000B"/>
    <w:lvl w:ilvl="0" w:tentative="0">
      <w:start w:val="1"/>
      <w:numFmt w:val="decimal"/>
      <w:suff w:val="space"/>
      <w:lvlText w:val="%1."/>
      <w:lvlJc w:val="left"/>
    </w:lvl>
  </w:abstractNum>
  <w:abstractNum w:abstractNumId="2">
    <w:nsid w:val="0000000C"/>
    <w:multiLevelType w:val="singleLevel"/>
    <w:tmpl w:val="0000000C"/>
    <w:lvl w:ilvl="0" w:tentative="0">
      <w:start w:val="1"/>
      <w:numFmt w:val="decimal"/>
      <w:suff w:val="nothing"/>
      <w:lvlText w:val="（%1）"/>
      <w:lvlJc w:val="left"/>
    </w:lvl>
  </w:abstractNum>
  <w:abstractNum w:abstractNumId="3">
    <w:nsid w:val="0000000D"/>
    <w:multiLevelType w:val="singleLevel"/>
    <w:tmpl w:val="0000000D"/>
    <w:lvl w:ilvl="0" w:tentative="0">
      <w:start w:val="3"/>
      <w:numFmt w:val="chineseCounting"/>
      <w:suff w:val="nothing"/>
      <w:lvlText w:val="（%1）"/>
      <w:lvlJc w:val="left"/>
      <w:rPr>
        <w:rFonts w:hint="eastAsia"/>
      </w:rPr>
    </w:lvl>
  </w:abstractNum>
  <w:abstractNum w:abstractNumId="4">
    <w:nsid w:val="5F222FFA"/>
    <w:multiLevelType w:val="singleLevel"/>
    <w:tmpl w:val="5F222FFA"/>
    <w:lvl w:ilvl="0" w:tentative="0">
      <w:start w:val="1"/>
      <w:numFmt w:val="decimal"/>
      <w:suff w:val="nothing"/>
      <w:lvlText w:val="（%1）"/>
      <w:lvlJc w:val="left"/>
    </w:lvl>
  </w:abstractNum>
  <w:num w:numId="1">
    <w:abstractNumId w:val="0"/>
  </w:num>
  <w:num w:numId="2">
    <w:abstractNumId w:val="1"/>
  </w:num>
  <w:num w:numId="3">
    <w:abstractNumId w:val="3"/>
  </w:num>
  <w:num w:numId="4">
    <w:abstractNumId w:val="2"/>
  </w:num>
  <w:num w:numId="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isplayBackgroundShape w:val="1"/>
  <w:bordersDoNotSurroundHeader w:val="0"/>
  <w:bordersDoNotSurroundFooter w:val="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420"/>
  <w:hyphenationZone w:val="360"/>
  <w:drawingGridHorizontalSpacing w:val="105"/>
  <w:drawingGridVerticalSpacing w:val="156"/>
  <w:displayHorizontalDrawingGridEvery w:val="1"/>
  <w:displayVerticalDrawingGridEvery w:val="1"/>
  <w:noPunctuationKerning w:val="1"/>
  <w:characterSpacingControl w:val="compressPunctuation"/>
  <w:doNotValidateAgainstSchema/>
  <w:doNotDemarcateInvalidXml/>
  <w:compat>
    <w:spaceForUL/>
    <w:balanceSingleByteDoubleByteWidth/>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TgxNzVkZmJlMDJkZDY3NjEwNTlmMDRhYWVjYTUwM2YifQ=="/>
  </w:docVars>
  <w:rsids>
    <w:rsidRoot w:val="00172A27"/>
    <w:rsid w:val="00780A66"/>
    <w:rsid w:val="02046B6C"/>
    <w:rsid w:val="036723E6"/>
    <w:rsid w:val="041D3254"/>
    <w:rsid w:val="04AB244C"/>
    <w:rsid w:val="06BE7F29"/>
    <w:rsid w:val="07052EFF"/>
    <w:rsid w:val="076B6384"/>
    <w:rsid w:val="08796CA4"/>
    <w:rsid w:val="0FAE3E72"/>
    <w:rsid w:val="10365DFA"/>
    <w:rsid w:val="118170A9"/>
    <w:rsid w:val="126D3D58"/>
    <w:rsid w:val="1289009C"/>
    <w:rsid w:val="130B04AB"/>
    <w:rsid w:val="136B25DC"/>
    <w:rsid w:val="13C01FDC"/>
    <w:rsid w:val="194C6F72"/>
    <w:rsid w:val="1ABB2912"/>
    <w:rsid w:val="1CDD0725"/>
    <w:rsid w:val="1D44063F"/>
    <w:rsid w:val="1EA476F3"/>
    <w:rsid w:val="1FBF585D"/>
    <w:rsid w:val="201A461C"/>
    <w:rsid w:val="20BC79FE"/>
    <w:rsid w:val="233B1893"/>
    <w:rsid w:val="23A36654"/>
    <w:rsid w:val="247712B5"/>
    <w:rsid w:val="251C0E1C"/>
    <w:rsid w:val="2B0532C5"/>
    <w:rsid w:val="2C834431"/>
    <w:rsid w:val="2CF170E1"/>
    <w:rsid w:val="2D6D39A8"/>
    <w:rsid w:val="2E4C64C0"/>
    <w:rsid w:val="2FCD47F7"/>
    <w:rsid w:val="30BF1DE5"/>
    <w:rsid w:val="320475CE"/>
    <w:rsid w:val="34E3320A"/>
    <w:rsid w:val="35550494"/>
    <w:rsid w:val="35B82DB0"/>
    <w:rsid w:val="3916749F"/>
    <w:rsid w:val="39203A78"/>
    <w:rsid w:val="3B964F2E"/>
    <w:rsid w:val="3CEF1F5C"/>
    <w:rsid w:val="3E9E1AF9"/>
    <w:rsid w:val="3EAA4EAC"/>
    <w:rsid w:val="3F8A0231"/>
    <w:rsid w:val="42C97132"/>
    <w:rsid w:val="434B273F"/>
    <w:rsid w:val="43A54E64"/>
    <w:rsid w:val="45085208"/>
    <w:rsid w:val="45472EAB"/>
    <w:rsid w:val="4853747E"/>
    <w:rsid w:val="48B669DA"/>
    <w:rsid w:val="494F4157"/>
    <w:rsid w:val="4A0468D7"/>
    <w:rsid w:val="4C151AD4"/>
    <w:rsid w:val="4CDC6BF1"/>
    <w:rsid w:val="4CF022CB"/>
    <w:rsid w:val="4E994D45"/>
    <w:rsid w:val="4EDE0FAA"/>
    <w:rsid w:val="50731F67"/>
    <w:rsid w:val="50882C2C"/>
    <w:rsid w:val="51CF17E0"/>
    <w:rsid w:val="54390798"/>
    <w:rsid w:val="55480EBA"/>
    <w:rsid w:val="580A21EF"/>
    <w:rsid w:val="58934430"/>
    <w:rsid w:val="59656D04"/>
    <w:rsid w:val="5B547354"/>
    <w:rsid w:val="5B687D39"/>
    <w:rsid w:val="5F437EB5"/>
    <w:rsid w:val="603D548E"/>
    <w:rsid w:val="60D35F11"/>
    <w:rsid w:val="62053575"/>
    <w:rsid w:val="622B11C2"/>
    <w:rsid w:val="63676FDB"/>
    <w:rsid w:val="665B6CB8"/>
    <w:rsid w:val="66694540"/>
    <w:rsid w:val="666A6051"/>
    <w:rsid w:val="66FC1D28"/>
    <w:rsid w:val="67120C5B"/>
    <w:rsid w:val="689C3F11"/>
    <w:rsid w:val="68B911FB"/>
    <w:rsid w:val="6C3366F5"/>
    <w:rsid w:val="6C3373DB"/>
    <w:rsid w:val="71403610"/>
    <w:rsid w:val="75183D60"/>
    <w:rsid w:val="75CB770C"/>
    <w:rsid w:val="76C80E20"/>
    <w:rsid w:val="776D6358"/>
    <w:rsid w:val="78723DA4"/>
    <w:rsid w:val="7AE467DD"/>
    <w:rsid w:val="7B69280B"/>
    <w:rsid w:val="7C596E82"/>
    <w:rsid w:val="7CC6746C"/>
    <w:rsid w:val="7F5C3316"/>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qFormat="1"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黑体"/>
      <w:kern w:val="2"/>
      <w:sz w:val="21"/>
      <w:szCs w:val="24"/>
      <w:lang w:val="en-US" w:eastAsia="zh-CN"/>
    </w:rPr>
  </w:style>
  <w:style w:type="paragraph" w:styleId="2">
    <w:name w:val="heading 1"/>
    <w:basedOn w:val="1"/>
    <w:next w:val="1"/>
    <w:qFormat/>
    <w:uiPriority w:val="0"/>
    <w:pPr>
      <w:keepNext/>
      <w:keepLines/>
      <w:spacing w:before="340" w:beforeLines="0" w:after="330" w:afterLines="0" w:line="578" w:lineRule="auto"/>
      <w:outlineLvl w:val="0"/>
    </w:pPr>
    <w:rPr>
      <w:b/>
      <w:bCs/>
      <w:kern w:val="44"/>
      <w:sz w:val="44"/>
      <w:szCs w:val="44"/>
    </w:rPr>
  </w:style>
  <w:style w:type="character" w:default="1" w:styleId="7">
    <w:name w:val="Default Paragraph Font"/>
    <w:qFormat/>
    <w:uiPriority w:val="0"/>
  </w:style>
  <w:style w:type="table" w:default="1" w:styleId="6">
    <w:name w:val="Normal Table"/>
    <w:semiHidden/>
    <w:qFormat/>
    <w:uiPriority w:val="0"/>
    <w:tblPr>
      <w:tblCellMar>
        <w:top w:w="0" w:type="dxa"/>
        <w:left w:w="108" w:type="dxa"/>
        <w:bottom w:w="0" w:type="dxa"/>
        <w:right w:w="108" w:type="dxa"/>
      </w:tblCellMar>
    </w:tblPr>
  </w:style>
  <w:style w:type="paragraph" w:styleId="3">
    <w:name w:val="Balloon Text"/>
    <w:basedOn w:val="1"/>
    <w:link w:val="8"/>
    <w:qFormat/>
    <w:uiPriority w:val="0"/>
    <w:rPr>
      <w:rFonts w:ascii="Calibri" w:hAnsi="Calibri" w:eastAsia="宋体" w:cs="黑体"/>
      <w:kern w:val="2"/>
      <w:sz w:val="18"/>
      <w:szCs w:val="18"/>
    </w:rPr>
  </w:style>
  <w:style w:type="paragraph" w:styleId="4">
    <w:name w:val="footer"/>
    <w:basedOn w:val="1"/>
    <w:qFormat/>
    <w:uiPriority w:val="0"/>
    <w:pPr>
      <w:tabs>
        <w:tab w:val="center" w:pos="4153"/>
        <w:tab w:val="right" w:pos="8306"/>
      </w:tabs>
      <w:snapToGrid w:val="0"/>
      <w:jc w:val="left"/>
    </w:pPr>
    <w:rPr>
      <w:sz w:val="18"/>
      <w:szCs w:val="18"/>
    </w:rPr>
  </w:style>
  <w:style w:type="paragraph" w:styleId="5">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jc w:val="center"/>
    </w:pPr>
    <w:rPr>
      <w:sz w:val="18"/>
      <w:szCs w:val="18"/>
    </w:rPr>
  </w:style>
  <w:style w:type="character" w:customStyle="1" w:styleId="8">
    <w:name w:val="批注框文本 Char Char"/>
    <w:basedOn w:val="7"/>
    <w:link w:val="3"/>
    <w:qFormat/>
    <w:uiPriority w:val="0"/>
    <w:rPr>
      <w:rFonts w:ascii="Calibri" w:hAnsi="Calibri" w:eastAsia="宋体" w:cs="黑体"/>
      <w:kern w:val="2"/>
      <w:sz w:val="18"/>
      <w:szCs w:val="18"/>
    </w:rPr>
  </w:style>
  <w:style w:type="paragraph" w:customStyle="1" w:styleId="9">
    <w:name w:val="List Paragraph"/>
    <w:basedOn w:val="1"/>
    <w:qFormat/>
    <w:uiPriority w:val="0"/>
    <w:pPr>
      <w:ind w:firstLine="420" w:firstLineChars="200"/>
    </w:pPr>
  </w:style>
  <w:style w:type="character" w:customStyle="1" w:styleId="10">
    <w:name w:val="font31"/>
    <w:basedOn w:val="7"/>
    <w:qFormat/>
    <w:uiPriority w:val="0"/>
    <w:rPr>
      <w:rFonts w:hint="eastAsia" w:ascii="宋体" w:hAnsi="宋体" w:eastAsia="宋体" w:cs="宋体"/>
      <w:color w:val="000000"/>
      <w:sz w:val="16"/>
      <w:szCs w:val="16"/>
      <w:u w:val="none"/>
    </w:rPr>
  </w:style>
  <w:style w:type="character" w:customStyle="1" w:styleId="11">
    <w:name w:val="font51"/>
    <w:basedOn w:val="7"/>
    <w:qFormat/>
    <w:uiPriority w:val="0"/>
    <w:rPr>
      <w:rFonts w:ascii="Calibri" w:hAnsi="Calibri" w:cs="Calibri"/>
      <w:color w:val="000000"/>
      <w:sz w:val="16"/>
      <w:szCs w:val="16"/>
      <w:u w:val="none"/>
    </w:rPr>
  </w:style>
  <w:style w:type="character" w:customStyle="1" w:styleId="12">
    <w:name w:val="font01"/>
    <w:basedOn w:val="7"/>
    <w:qFormat/>
    <w:uiPriority w:val="0"/>
    <w:rPr>
      <w:rFonts w:ascii="Arial Unicode MS" w:hAnsi="Arial Unicode MS" w:eastAsia="Arial Unicode MS" w:cs="Arial Unicode MS"/>
      <w:color w:val="000000"/>
      <w:sz w:val="16"/>
      <w:szCs w:val="16"/>
      <w:u w:val="none"/>
    </w:rPr>
  </w:style>
  <w:style w:type="character" w:customStyle="1" w:styleId="13">
    <w:name w:val="font41"/>
    <w:basedOn w:val="7"/>
    <w:qFormat/>
    <w:uiPriority w:val="0"/>
    <w:rPr>
      <w:rFonts w:hint="eastAsia" w:ascii="宋体" w:hAnsi="宋体" w:eastAsia="宋体" w:cs="宋体"/>
      <w:color w:val="000000"/>
      <w:sz w:val="21"/>
      <w:szCs w:val="21"/>
      <w:u w:val="none"/>
    </w:rPr>
  </w:style>
  <w:style w:type="character" w:customStyle="1" w:styleId="14">
    <w:name w:val="font61"/>
    <w:basedOn w:val="7"/>
    <w:qFormat/>
    <w:uiPriority w:val="0"/>
    <w:rPr>
      <w:rFonts w:ascii="Calibri" w:hAnsi="Calibri" w:cs="Calibri"/>
      <w:color w:val="000000"/>
      <w:sz w:val="16"/>
      <w:szCs w:val="16"/>
      <w:u w:val="none"/>
    </w:rPr>
  </w:style>
  <w:style w:type="character" w:customStyle="1" w:styleId="15">
    <w:name w:val="font81"/>
    <w:basedOn w:val="7"/>
    <w:qFormat/>
    <w:uiPriority w:val="0"/>
    <w:rPr>
      <w:rFonts w:ascii="Arial Unicode MS" w:hAnsi="Arial Unicode MS" w:eastAsia="Arial Unicode MS" w:cs="Arial Unicode MS"/>
      <w:color w:val="000000"/>
      <w:sz w:val="16"/>
      <w:szCs w:val="16"/>
      <w:u w:val="none"/>
    </w:rPr>
  </w:style>
  <w:style w:type="character" w:customStyle="1" w:styleId="16">
    <w:name w:val="font71"/>
    <w:basedOn w:val="7"/>
    <w:qFormat/>
    <w:uiPriority w:val="0"/>
    <w:rPr>
      <w:rFonts w:hint="eastAsia" w:ascii="宋体" w:hAnsi="宋体" w:eastAsia="宋体" w:cs="宋体"/>
      <w:color w:val="000000"/>
      <w:sz w:val="21"/>
      <w:szCs w:val="21"/>
      <w:u w:val="none"/>
    </w:rPr>
  </w:style>
</w:styles>
</file>

<file path=word/_rels/document.xml.rels><?xml version="1.0" encoding="UTF-8" standalone="yes"?>
<Relationships xmlns="http://schemas.openxmlformats.org/package/2006/relationships"><Relationship Id="rId9" Type="http://schemas.openxmlformats.org/officeDocument/2006/relationships/footer" Target="footer3.xml"/><Relationship Id="rId8" Type="http://schemas.openxmlformats.org/officeDocument/2006/relationships/footer" Target="footer2.xml"/><Relationship Id="rId7" Type="http://schemas.openxmlformats.org/officeDocument/2006/relationships/header" Target="header4.xml"/><Relationship Id="rId6" Type="http://schemas.openxmlformats.org/officeDocument/2006/relationships/header" Target="header3.xml"/><Relationship Id="rId5" Type="http://schemas.openxmlformats.org/officeDocument/2006/relationships/footer" Target="footer1.xml"/><Relationship Id="rId4" Type="http://schemas.openxmlformats.org/officeDocument/2006/relationships/header" Target="header2.xml"/><Relationship Id="rId3" Type="http://schemas.openxmlformats.org/officeDocument/2006/relationships/header" Target="header1.xml"/><Relationship Id="rId21" Type="http://schemas.openxmlformats.org/officeDocument/2006/relationships/fontTable" Target="fontTable.xml"/><Relationship Id="rId20" Type="http://schemas.openxmlformats.org/officeDocument/2006/relationships/numbering" Target="numbering.xml"/><Relationship Id="rId2" Type="http://schemas.openxmlformats.org/officeDocument/2006/relationships/settings" Target="settings.xml"/><Relationship Id="rId19" Type="http://schemas.openxmlformats.org/officeDocument/2006/relationships/customXml" Target="../customXml/item1.xml"/><Relationship Id="rId18" Type="http://schemas.openxmlformats.org/officeDocument/2006/relationships/chart" Target="charts/chart4.xml"/><Relationship Id="rId17" Type="http://schemas.openxmlformats.org/officeDocument/2006/relationships/chart" Target="charts/chart3.xml"/><Relationship Id="rId16" Type="http://schemas.openxmlformats.org/officeDocument/2006/relationships/chart" Target="charts/chart2.xml"/><Relationship Id="rId15" Type="http://schemas.openxmlformats.org/officeDocument/2006/relationships/chart" Target="charts/chart1.xml"/><Relationship Id="rId14" Type="http://schemas.openxmlformats.org/officeDocument/2006/relationships/image" Target="media/image2.bmp"/><Relationship Id="rId13" Type="http://schemas.openxmlformats.org/officeDocument/2006/relationships/image" Target="media/image1.jpeg"/><Relationship Id="rId12" Type="http://schemas.openxmlformats.org/officeDocument/2006/relationships/theme" Target="theme/theme1.xml"/><Relationship Id="rId11" Type="http://schemas.openxmlformats.org/officeDocument/2006/relationships/header" Target="header6.xml"/><Relationship Id="rId10" Type="http://schemas.openxmlformats.org/officeDocument/2006/relationships/header" Target="header5.xml"/><Relationship Id="rId1" Type="http://schemas.openxmlformats.org/officeDocument/2006/relationships/styles" Target="styles.xml"/></Relationships>
</file>

<file path=word/charts/_rels/chart1.xml.rels><?xml version="1.0" encoding="UTF-8" standalone="yes"?>
<Relationships xmlns="http://schemas.openxmlformats.org/package/2006/relationships"><Relationship Id="rId3" Type="http://schemas.microsoft.com/office/2011/relationships/chartColorStyle" Target="colors2.xml"/><Relationship Id="rId2" Type="http://schemas.microsoft.com/office/2011/relationships/chartStyle" Target="style2.xml"/><Relationship Id="rId1" Type="http://schemas.openxmlformats.org/officeDocument/2006/relationships/package" Target="../embeddings/Workbook3.xlsx"/></Relationships>
</file>

<file path=word/charts/_rels/chart2.xml.rels><?xml version="1.0" encoding="UTF-8" standalone="yes"?>
<Relationships xmlns="http://schemas.openxmlformats.org/package/2006/relationships"><Relationship Id="rId1" Type="http://schemas.openxmlformats.org/officeDocument/2006/relationships/package" Target="../embeddings/Workbook2.xlsx"/></Relationships>
</file>

<file path=word/charts/_rels/chart3.xml.rels><?xml version="1.0" encoding="UTF-8" standalone="yes"?>
<Relationships xmlns="http://schemas.openxmlformats.org/package/2006/relationships"><Relationship Id="rId3" Type="http://schemas.microsoft.com/office/2011/relationships/chartColorStyle" Target="colors3.xml"/><Relationship Id="rId2" Type="http://schemas.microsoft.com/office/2011/relationships/chartStyle" Target="style3.xml"/><Relationship Id="rId1" Type="http://schemas.openxmlformats.org/officeDocument/2006/relationships/package" Target="../embeddings/Workbook4.xlsx"/></Relationships>
</file>

<file path=word/charts/_rels/chart4.xml.rels><?xml version="1.0" encoding="UTF-8" standalone="yes"?>
<Relationships xmlns="http://schemas.openxmlformats.org/package/2006/relationships"><Relationship Id="rId3" Type="http://schemas.microsoft.com/office/2011/relationships/chartColorStyle" Target="colors1.xml"/><Relationship Id="rId2" Type="http://schemas.microsoft.com/office/2011/relationships/chartStyle" Target="style1.xml"/><Relationship Id="rId1" Type="http://schemas.openxmlformats.org/officeDocument/2006/relationships/package" Target="../embeddings/Workbook1.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Sheet1!$B$1</c:f>
              <c:strCache>
                <c:ptCount val="1"/>
                <c:pt idx="0">
                  <c:v>年度收支</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Sheet1!$A$2:$A$3</c:f>
              <c:strCache>
                <c:ptCount val="2"/>
                <c:pt idx="0">
                  <c:v>2020年收支</c:v>
                </c:pt>
                <c:pt idx="1">
                  <c:v>2019年收支</c:v>
                </c:pt>
              </c:strCache>
            </c:strRef>
          </c:cat>
          <c:val>
            <c:numRef>
              <c:f>Sheet1!$B$2:$B$3</c:f>
              <c:numCache>
                <c:formatCode>General</c:formatCode>
                <c:ptCount val="2"/>
                <c:pt idx="0">
                  <c:v>913.78</c:v>
                </c:pt>
                <c:pt idx="1">
                  <c:v>2099.9</c:v>
                </c:pt>
              </c:numCache>
            </c:numRef>
          </c:val>
        </c:ser>
        <c:dLbls>
          <c:showLegendKey val="0"/>
          <c:showVal val="1"/>
          <c:showCatName val="0"/>
          <c:showSerName val="0"/>
          <c:showPercent val="0"/>
          <c:showBubbleSize val="0"/>
        </c:dLbls>
        <c:gapWidth val="219"/>
        <c:overlap val="-27"/>
        <c:axId val="509904701"/>
        <c:axId val="40474293"/>
      </c:barChart>
      <c:catAx>
        <c:axId val="509904701"/>
        <c:scaling>
          <c:orientation val="minMax"/>
        </c:scaling>
        <c:delete val="0"/>
        <c:axPos val="b"/>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40474293"/>
        <c:crosses val="autoZero"/>
        <c:auto val="1"/>
        <c:lblAlgn val="ctr"/>
        <c:lblOffset val="100"/>
        <c:noMultiLvlLbl val="0"/>
      </c:catAx>
      <c:valAx>
        <c:axId val="40474293"/>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509904701"/>
        <c:crosses val="autoZero"/>
        <c:crossBetween val="between"/>
      </c:valAx>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66b622c3-51f9-45d9-854b-f758c48233b2}"/>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layout>
        <c:manualLayout>
          <c:xMode val="edge"/>
          <c:yMode val="edge"/>
          <c:x val="0.352682278691247"/>
          <c:y val="0.885791610284168"/>
        </c:manualLayout>
      </c:layout>
      <c:overlay val="0"/>
      <c:spPr>
        <a:noFill/>
        <a:ln>
          <a:noFill/>
        </a:ln>
        <a:effectLst/>
      </c:spPr>
      <c:tx>
        <c:rich>
          <a:bodyPr/>
          <a:lstStyle/>
          <a:p>
            <a:pPr>
              <a:defRPr/>
            </a:pPr>
          </a:p>
        </c:rich>
      </c:tx>
    </c:title>
    <c:autoTitleDeleted val="0"/>
    <c:plotArea>
      <c:layout/>
      <c:pieChart>
        <c:varyColors val="1"/>
        <c:ser>
          <c:idx val="0"/>
          <c:order val="0"/>
          <c:tx>
            <c:strRef>
              <c:f>Sheet1!$B$1</c:f>
              <c:strCache>
                <c:ptCount val="1"/>
                <c:pt idx="0">
                  <c:v>支出决算情况</c:v>
                </c:pt>
              </c:strCache>
            </c:strRef>
          </c:tx>
          <c:explosion val="0"/>
          <c:dPt>
            <c:idx val="0"/>
            <c:bubble3D val="0"/>
            <c:spPr>
              <a:solidFill>
                <a:schemeClr val="accent1"/>
              </a:solidFill>
              <a:ln w="19050">
                <a:solidFill>
                  <a:schemeClr val="lt1"/>
                </a:solidFill>
              </a:ln>
              <a:effectLst/>
            </c:spPr>
          </c:dPt>
          <c:dPt>
            <c:idx val="1"/>
            <c:bubble3D val="0"/>
            <c:spPr>
              <a:solidFill>
                <a:schemeClr val="accent2"/>
              </a:solidFill>
              <a:ln w="19050">
                <a:solidFill>
                  <a:schemeClr val="lt1"/>
                </a:solidFill>
              </a:ln>
              <a:effectLst/>
            </c:spPr>
          </c:dPt>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p>
            </c:txPr>
            <c:dLblPos val="bestFit"/>
            <c:showLegendKey val="0"/>
            <c:showVal val="1"/>
            <c:showCatName val="0"/>
            <c:showSerName val="0"/>
            <c:showPercent val="0"/>
            <c:showBubbleSize val="0"/>
            <c:showLeaderLines val="1"/>
            <c:extLst>
              <c:ext xmlns:c15="http://schemas.microsoft.com/office/drawing/2012/chart" uri="{CE6537A1-D6FC-4f65-9D91-7224C49458BB}">
                <c15:layout/>
                <c15:showLeaderLines val="1"/>
                <c15:leaderLines/>
              </c:ext>
            </c:extLst>
          </c:dLbls>
          <c:cat>
            <c:strRef>
              <c:f>Sheet1!$A$2:$A$3</c:f>
              <c:strCache>
                <c:ptCount val="2"/>
                <c:pt idx="0">
                  <c:v>基本支出</c:v>
                </c:pt>
                <c:pt idx="1">
                  <c:v>项目支出</c:v>
                </c:pt>
              </c:strCache>
            </c:strRef>
          </c:cat>
          <c:val>
            <c:numRef>
              <c:f>Sheet1!$B$2:$B$3</c:f>
              <c:numCache>
                <c:formatCode>General</c:formatCode>
                <c:ptCount val="2"/>
                <c:pt idx="0">
                  <c:v>368.47</c:v>
                </c:pt>
                <c:pt idx="1">
                  <c:v>444.27</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b"/>
      <c:layout>
        <c:manualLayout>
          <c:xMode val="edge"/>
          <c:yMode val="edge"/>
          <c:x val="0.320603556545624"/>
          <c:y val="0.918991296585584"/>
        </c:manualLayout>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fb0952bb-f6bb-4e3c-8db9-8fa0eb377ac0}"/>
      </c:ext>
    </c:extLst>
  </c:chart>
  <c:spPr>
    <a:solidFill>
      <a:schemeClr val="bg1"/>
    </a:solidFill>
    <a:ln w="9525" cap="flat" cmpd="sng" algn="ctr">
      <a:solidFill>
        <a:schemeClr val="tx1">
          <a:lumMod val="15000"/>
          <a:lumOff val="85000"/>
        </a:schemeClr>
      </a:solidFill>
      <a:prstDash val="solid"/>
      <a:round/>
    </a:ln>
    <a:effectLst/>
  </c:spPr>
  <c:txPr>
    <a:bodyPr/>
    <a:lstStyle/>
    <a:p>
      <a:pPr>
        <a:defRPr lang="zh-CN"/>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0784044466241622"/>
          <c:y val="0.00761421319796954"/>
          <c:w val="0.861108386463953"/>
          <c:h val="0.56761421319797"/>
        </c:manualLayout>
      </c:layout>
      <c:barChart>
        <c:barDir val="col"/>
        <c:grouping val="clustered"/>
        <c:varyColors val="0"/>
        <c:ser>
          <c:idx val="0"/>
          <c:order val="0"/>
          <c:tx>
            <c:strRef>
              <c:f>Sheet1!$B$1</c:f>
              <c:strCache>
                <c:ptCount val="1"/>
                <c:pt idx="0">
                  <c:v>一般公共预算财政拨款</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Sheet1!$A$2:$A$5</c:f>
              <c:strCache>
                <c:ptCount val="4"/>
                <c:pt idx="0">
                  <c:v>2020年决算收入</c:v>
                </c:pt>
                <c:pt idx="1">
                  <c:v>2019年决算收入</c:v>
                </c:pt>
                <c:pt idx="2">
                  <c:v>2020年决算支出</c:v>
                </c:pt>
                <c:pt idx="3">
                  <c:v>2019年决算支出</c:v>
                </c:pt>
              </c:strCache>
            </c:strRef>
          </c:cat>
          <c:val>
            <c:numRef>
              <c:f>Sheet1!$B$2:$B$5</c:f>
              <c:numCache>
                <c:formatCode>General</c:formatCode>
                <c:ptCount val="4"/>
                <c:pt idx="0">
                  <c:v>911.18</c:v>
                </c:pt>
                <c:pt idx="1">
                  <c:v>2087.5</c:v>
                </c:pt>
                <c:pt idx="2">
                  <c:v>812.74</c:v>
                </c:pt>
                <c:pt idx="3">
                  <c:v>2076.53</c:v>
                </c:pt>
              </c:numCache>
            </c:numRef>
          </c:val>
        </c:ser>
        <c:ser>
          <c:idx val="1"/>
          <c:order val="1"/>
          <c:tx>
            <c:strRef>
              <c:f>Sheet1!$C$1</c:f>
              <c:strCache>
                <c:ptCount val="1"/>
                <c:pt idx="0">
                  <c:v>政府性基金</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Sheet1!$A$2:$A$5</c:f>
              <c:strCache>
                <c:ptCount val="4"/>
                <c:pt idx="0">
                  <c:v>2020年决算收入</c:v>
                </c:pt>
                <c:pt idx="1">
                  <c:v>2019年决算收入</c:v>
                </c:pt>
                <c:pt idx="2">
                  <c:v>2020年决算支出</c:v>
                </c:pt>
                <c:pt idx="3">
                  <c:v>2019年决算支出</c:v>
                </c:pt>
              </c:strCache>
            </c:strRef>
          </c:cat>
          <c:val>
            <c:numRef>
              <c:f>Sheet1!$C$2:$C$5</c:f>
              <c:numCache>
                <c:formatCode>General</c:formatCode>
                <c:ptCount val="4"/>
                <c:pt idx="0">
                  <c:v>0</c:v>
                </c:pt>
                <c:pt idx="1">
                  <c:v>2.59</c:v>
                </c:pt>
                <c:pt idx="2">
                  <c:v>2.59</c:v>
                </c:pt>
                <c:pt idx="3">
                  <c:v>0</c:v>
                </c:pt>
              </c:numCache>
            </c:numRef>
          </c:val>
        </c:ser>
        <c:dLbls>
          <c:showLegendKey val="0"/>
          <c:showVal val="1"/>
          <c:showCatName val="0"/>
          <c:showSerName val="0"/>
          <c:showPercent val="0"/>
          <c:showBubbleSize val="0"/>
        </c:dLbls>
        <c:gapWidth val="219"/>
        <c:overlap val="-27"/>
        <c:axId val="485454741"/>
        <c:axId val="840161822"/>
      </c:barChart>
      <c:catAx>
        <c:axId val="485454741"/>
        <c:scaling>
          <c:orientation val="minMax"/>
        </c:scaling>
        <c:delete val="0"/>
        <c:axPos val="b"/>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40161822"/>
        <c:crosses val="autoZero"/>
        <c:auto val="1"/>
        <c:lblAlgn val="ctr"/>
        <c:lblOffset val="100"/>
        <c:noMultiLvlLbl val="0"/>
      </c:catAx>
      <c:valAx>
        <c:axId val="84016182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485454741"/>
        <c:crosses val="autoZero"/>
        <c:crossBetween val="between"/>
      </c:valAx>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7c38f917-e0b7-4b11-82af-7cff93b39515}"/>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layout/>
      <c:overlay val="0"/>
      <c:spPr>
        <a:noFill/>
        <a:ln>
          <a:noFill/>
        </a:ln>
        <a:effectLst/>
      </c:spPr>
      <c:txPr>
        <a:bodyPr rot="0" spcFirstLastPara="0" vertOverflow="ellipsis" vert="horz" wrap="square" anchor="ctr" anchorCtr="1"/>
        <a:lstStyle/>
        <a:p>
          <a:pPr>
            <a:defRPr lang="zh-CN" sz="1400" b="0" i="0" u="none" strike="noStrike" kern="1200" spc="0" baseline="0">
              <a:solidFill>
                <a:schemeClr val="tx1">
                  <a:lumMod val="65000"/>
                  <a:lumOff val="35000"/>
                </a:schemeClr>
              </a:solidFill>
              <a:latin typeface="+mn-lt"/>
              <a:ea typeface="+mn-ea"/>
              <a:cs typeface="+mn-cs"/>
            </a:defRPr>
          </a:pPr>
        </a:p>
      </c:txPr>
    </c:title>
    <c:autoTitleDeleted val="0"/>
    <c:plotArea>
      <c:layout/>
      <c:pieChart>
        <c:varyColors val="1"/>
        <c:ser>
          <c:idx val="0"/>
          <c:order val="0"/>
          <c:tx>
            <c:strRef>
              <c:f>Sheet1!$B$1</c:f>
              <c:strCache>
                <c:ptCount val="1"/>
                <c:pt idx="0">
                  <c:v>财政拨款支出</c:v>
                </c:pt>
              </c:strCache>
            </c:strRef>
          </c:tx>
          <c:spPr/>
          <c:explosion val="0"/>
          <c:dPt>
            <c:idx val="0"/>
            <c:bubble3D val="0"/>
            <c:spPr>
              <a:solidFill>
                <a:schemeClr val="accent1"/>
              </a:solidFill>
              <a:ln w="19050">
                <a:solidFill>
                  <a:schemeClr val="lt1"/>
                </a:solidFill>
              </a:ln>
              <a:effectLst/>
            </c:spPr>
          </c:dPt>
          <c:dPt>
            <c:idx val="1"/>
            <c:bubble3D val="0"/>
            <c:spPr>
              <a:solidFill>
                <a:schemeClr val="accent2"/>
              </a:solidFill>
              <a:ln w="19050">
                <a:solidFill>
                  <a:schemeClr val="lt1"/>
                </a:solidFill>
              </a:ln>
              <a:effectLst/>
            </c:spPr>
          </c:dPt>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bestFit"/>
            <c:showLegendKey val="0"/>
            <c:showVal val="1"/>
            <c:showCatName val="0"/>
            <c:showSerName val="0"/>
            <c:showPercent val="0"/>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Sheet1!$A$2:$A$3</c:f>
              <c:strCache>
                <c:ptCount val="2"/>
                <c:pt idx="0">
                  <c:v>一般公共服务支出</c:v>
                </c:pt>
                <c:pt idx="1">
                  <c:v>文化旅游体育与传媒支出</c:v>
                </c:pt>
              </c:strCache>
            </c:strRef>
          </c:cat>
          <c:val>
            <c:numRef>
              <c:f>Sheet1!$B$2:$B$3</c:f>
              <c:numCache>
                <c:formatCode>General</c:formatCode>
                <c:ptCount val="2"/>
                <c:pt idx="0">
                  <c:v>517.47</c:v>
                </c:pt>
                <c:pt idx="1">
                  <c:v>292.67</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4b72fc31-de40-4b9c-b0e8-992d986aa1d0}"/>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神州网信技术有限公司</Company>
  <Pages>27</Pages>
  <Words>4869</Words>
  <Characters>5339</Characters>
  <Lines>83</Lines>
  <Paragraphs>23</Paragraphs>
  <TotalTime>19</TotalTime>
  <ScaleCrop>false</ScaleCrop>
  <LinksUpToDate>false</LinksUpToDate>
  <CharactersWithSpaces>5386</CharactersWithSpaces>
  <Application>WPS Office_12.1.0.20784_F1E327BC-269C-435d-A152-05C5408002CA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2021-07-27T05:10:00Z</dcterms:created>
  <dc:creator>王明新TIAD</dc:creator>
  <cp:lastModifiedBy>13323011735</cp:lastModifiedBy>
  <cp:lastPrinted>2021-08-26T06:52:00Z</cp:lastPrinted>
  <dcterms:modified xsi:type="dcterms:W3CDTF">2025-05-09T01:23:10Z</dcterms:modified>
  <dc:title>user</dc:title>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2052-12.1.0.20784</vt:lpwstr>
  </property>
  <property fmtid="{D5CDD505-2E9C-101B-9397-08002B2CF9AE}" pid="3" name="ICV">
    <vt:lpwstr>DFA355CBEC044FF7AAA3F61B9BE3BAB7</vt:lpwstr>
  </property>
  <property fmtid="{D5CDD505-2E9C-101B-9397-08002B2CF9AE}" pid="4" name="KSOTemplateDocerSaveRecord">
    <vt:lpwstr>eyJoZGlkIjoiMWNkMjJhZjg2MzEyYjE2NmU0OWE2ODk0M2JlNWY4MjkiLCJ1c2VySWQiOiIxNTUwMjQwMDk2In0=</vt:lpwstr>
  </property>
</Properties>
</file>