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F1E468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 w14:paraId="4B347C9A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 w14:paraId="06853D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共青团藁城区委</w:t>
      </w:r>
    </w:p>
    <w:p w14:paraId="1D25775E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2022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12ADDE34"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 w14:paraId="559BA2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</w:t>
      </w:r>
      <w:r>
        <w:rPr>
          <w:rFonts w:hint="eastAsia" w:ascii="仿宋" w:hAnsi="仿宋" w:eastAsia="仿宋" w:cs="仿宋_GB2312"/>
          <w:sz w:val="32"/>
          <w:szCs w:val="32"/>
        </w:rPr>
        <w:t>进一步推进我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_GB2312"/>
          <w:sz w:val="32"/>
          <w:szCs w:val="32"/>
        </w:rPr>
        <w:t>绩效预算管理工作，提高财政资金使用效益和财政管理科学化、精细化水平</w:t>
      </w:r>
      <w:r>
        <w:rPr>
          <w:rFonts w:hint="eastAsia" w:ascii="仿宋" w:hAnsi="仿宋" w:eastAsia="仿宋" w:cs="宋体"/>
          <w:sz w:val="32"/>
          <w:szCs w:val="32"/>
        </w:rPr>
        <w:t>，</w:t>
      </w:r>
      <w:r>
        <w:rPr>
          <w:rFonts w:hint="eastAsia" w:ascii="仿宋" w:hAnsi="仿宋" w:eastAsia="仿宋" w:cs="仿宋_GB2312"/>
          <w:sz w:val="32"/>
          <w:szCs w:val="32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要求</w:t>
      </w:r>
      <w:r>
        <w:rPr>
          <w:rFonts w:hint="eastAsia" w:ascii="仿宋" w:hAnsi="仿宋" w:eastAsia="仿宋"/>
          <w:sz w:val="32"/>
          <w:szCs w:val="32"/>
        </w:rPr>
        <w:t>，遵循“科学性、规范性、客观性和公正性”的原则，</w:t>
      </w:r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</w:rPr>
        <w:t>认真开展了202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年度预算绩效自评工作，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形成本评价报告。</w:t>
      </w:r>
    </w:p>
    <w:p w14:paraId="3E75FBBA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122C3A79">
      <w:pPr>
        <w:widowControl/>
        <w:spacing w:line="58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1．主要职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责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 w14:paraId="049111E4">
      <w:pPr>
        <w:widowControl/>
        <w:spacing w:line="580" w:lineRule="exact"/>
        <w:ind w:firstLine="640" w:firstLineChars="20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）</w:t>
      </w:r>
      <w:r>
        <w:rPr>
          <w:rFonts w:hint="eastAsia" w:ascii="仿宋_GB2312" w:eastAsia="仿宋_GB2312" w:cs="Arial Black"/>
          <w:kern w:val="0"/>
          <w:sz w:val="32"/>
          <w:szCs w:val="32"/>
        </w:rPr>
        <w:t>组织领导全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共青团工作。以党的基本路线、方针、政策为指导，按照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委和上级团委的要求，拟定全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共青团工作计划，指导协调全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团的工作，并带领基层团委开展好工作，切实加强团的自身建设。 </w:t>
      </w:r>
    </w:p>
    <w:p w14:paraId="16E6156D">
      <w:pPr>
        <w:widowControl/>
        <w:spacing w:line="580" w:lineRule="exact"/>
        <w:ind w:firstLine="640" w:firstLineChars="20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）</w:t>
      </w:r>
      <w:r>
        <w:rPr>
          <w:rFonts w:hint="eastAsia" w:ascii="仿宋_GB2312" w:eastAsia="仿宋_GB2312" w:cs="Arial Black"/>
          <w:kern w:val="0"/>
          <w:sz w:val="32"/>
          <w:szCs w:val="32"/>
        </w:rPr>
        <w:t>围绕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委的中心工作，团结和带领全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团员青年发扬“党有号召、团有行动”的光荣传统，积极投身经济建设，积极完成党组织交给的各项任务。 </w:t>
      </w:r>
    </w:p>
    <w:p w14:paraId="2CE753F5">
      <w:pPr>
        <w:widowControl/>
        <w:spacing w:line="580" w:lineRule="exact"/>
        <w:ind w:firstLine="640" w:firstLineChars="20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）</w:t>
      </w:r>
      <w:r>
        <w:rPr>
          <w:rFonts w:hint="eastAsia" w:ascii="仿宋_GB2312" w:eastAsia="仿宋_GB2312" w:cs="Arial Black"/>
          <w:kern w:val="0"/>
          <w:sz w:val="32"/>
          <w:szCs w:val="32"/>
        </w:rPr>
        <w:t>竭诚为青少年服务。充分发挥共青团引导青年、组织青年、服务青年、维护青少年合法权益以及“全团带队” 职能。当好党联系青少年的桥梁和纽带，根据青少年学习、工作、生活等方面的要求，组织构建社会化服务体系，协调处理与青少年利益相关的事务，为青少年的成长成才创造良好的环境。 </w:t>
      </w:r>
    </w:p>
    <w:p w14:paraId="5D64B5F5">
      <w:pPr>
        <w:widowControl/>
        <w:spacing w:line="580" w:lineRule="exact"/>
        <w:ind w:firstLine="640" w:firstLineChars="20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）</w:t>
      </w:r>
      <w:r>
        <w:rPr>
          <w:rFonts w:hint="eastAsia" w:ascii="仿宋_GB2312" w:eastAsia="仿宋_GB2312" w:cs="Arial Black"/>
          <w:kern w:val="0"/>
          <w:sz w:val="32"/>
          <w:szCs w:val="32"/>
        </w:rPr>
        <w:t>切实加强和改进青少年思想政治工作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。</w:t>
      </w:r>
      <w:r>
        <w:rPr>
          <w:rFonts w:hint="eastAsia" w:ascii="仿宋_GB2312" w:eastAsia="仿宋_GB2312" w:cs="Arial Black"/>
          <w:kern w:val="0"/>
          <w:sz w:val="32"/>
          <w:szCs w:val="32"/>
        </w:rPr>
        <w:t>组织开展适合青少年特点的各类爱国主义、集体主义和社会主义思想教育活动，着力提高广大青少年的思想道德素质。 </w:t>
      </w:r>
    </w:p>
    <w:p w14:paraId="208E03D5">
      <w:pPr>
        <w:widowControl/>
        <w:spacing w:line="580" w:lineRule="exact"/>
        <w:ind w:firstLine="640" w:firstLineChars="20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）</w:t>
      </w:r>
      <w:r>
        <w:rPr>
          <w:rFonts w:hint="eastAsia" w:ascii="仿宋_GB2312" w:eastAsia="仿宋_GB2312" w:cs="Arial Black"/>
          <w:kern w:val="0"/>
          <w:sz w:val="32"/>
          <w:szCs w:val="32"/>
        </w:rPr>
        <w:t>参与青少年政策的制定和实施。调查研究青少年思想动态和青少年工作情况，积极参与全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有关的青少年工作事务，参与民主管理和民主监督。协助、参与、处理社会上与青少年利益相关的工作。 </w:t>
      </w:r>
    </w:p>
    <w:p w14:paraId="0D3394DB">
      <w:pPr>
        <w:widowControl/>
        <w:spacing w:line="580" w:lineRule="exact"/>
        <w:ind w:firstLine="640" w:firstLineChars="20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）</w:t>
      </w:r>
      <w:r>
        <w:rPr>
          <w:rFonts w:hint="eastAsia" w:ascii="仿宋_GB2312" w:eastAsia="仿宋_GB2312" w:cs="Arial Black"/>
          <w:kern w:val="0"/>
          <w:sz w:val="32"/>
          <w:szCs w:val="32"/>
        </w:rPr>
        <w:t>在全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经济建设中，实施青年文明工程和青年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创新创业</w:t>
      </w:r>
      <w:r>
        <w:rPr>
          <w:rFonts w:hint="eastAsia" w:ascii="仿宋_GB2312" w:eastAsia="仿宋_GB2312" w:cs="Arial Black"/>
          <w:kern w:val="0"/>
          <w:sz w:val="32"/>
          <w:szCs w:val="32"/>
        </w:rPr>
        <w:t>工程，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结合青年中心建设，</w:t>
      </w:r>
      <w:r>
        <w:rPr>
          <w:rFonts w:hint="eastAsia" w:ascii="仿宋_GB2312" w:eastAsia="仿宋_GB2312" w:cs="Arial Black"/>
          <w:kern w:val="0"/>
          <w:sz w:val="32"/>
          <w:szCs w:val="32"/>
        </w:rPr>
        <w:t>大力扶持青年就业创业，积极开展农村劳动技能、职业技能培训，组织和带领团员青年发挥主力军突击队作用。 </w:t>
      </w:r>
    </w:p>
    <w:p w14:paraId="11AD1EF2">
      <w:pPr>
        <w:widowControl/>
        <w:spacing w:line="580" w:lineRule="exact"/>
        <w:ind w:firstLine="640" w:firstLineChars="20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）</w:t>
      </w:r>
      <w:r>
        <w:rPr>
          <w:rFonts w:hint="eastAsia" w:ascii="仿宋_GB2312" w:eastAsia="仿宋_GB2312" w:cs="Arial Black"/>
          <w:kern w:val="0"/>
          <w:sz w:val="32"/>
          <w:szCs w:val="32"/>
        </w:rPr>
        <w:t>掌握全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志愿者的思想动态和工作状况，做好全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志愿者活动和管理工作。 </w:t>
      </w:r>
    </w:p>
    <w:p w14:paraId="5F304A74">
      <w:pPr>
        <w:pStyle w:val="10"/>
        <w:numPr>
          <w:ilvl w:val="0"/>
          <w:numId w:val="0"/>
        </w:numPr>
        <w:ind w:firstLine="640" w:firstLineChars="200"/>
        <w:rPr>
          <w:rFonts w:hint="eastAsia" w:ascii="仿宋_GB2312" w:eastAsia="仿宋_GB2312" w:cs="Arial Black"/>
          <w:kern w:val="0"/>
          <w:sz w:val="32"/>
          <w:szCs w:val="32"/>
        </w:rPr>
      </w:pP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（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 w:cs="Arial Black"/>
          <w:kern w:val="0"/>
          <w:sz w:val="32"/>
          <w:szCs w:val="32"/>
          <w:lang w:eastAsia="zh-CN"/>
        </w:rPr>
        <w:t>）</w:t>
      </w:r>
      <w:r>
        <w:rPr>
          <w:rFonts w:hint="eastAsia" w:ascii="仿宋_GB2312" w:eastAsia="仿宋_GB2312" w:cs="Arial Black"/>
          <w:kern w:val="0"/>
          <w:sz w:val="32"/>
          <w:szCs w:val="32"/>
        </w:rPr>
        <w:t>承办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委、</w:t>
      </w:r>
      <w:r>
        <w:rPr>
          <w:rFonts w:hint="eastAsia" w:ascii="仿宋_GB2312" w:eastAsia="仿宋_GB2312" w:cs="Arial Black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eastAsia="仿宋_GB2312" w:cs="Arial Black"/>
          <w:kern w:val="0"/>
          <w:sz w:val="32"/>
          <w:szCs w:val="32"/>
        </w:rPr>
        <w:t>政府、团市委交办的事项。</w:t>
      </w:r>
    </w:p>
    <w:p w14:paraId="1CA4EEDC">
      <w:pPr>
        <w:pStyle w:val="10"/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2、部门组织机构情况</w:t>
      </w:r>
    </w:p>
    <w:p w14:paraId="7D49F8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共青团藁城区委规格为正科级，1个团区委本级单位，一级预算单位，无下属单位。领导职数1正2副，核定全额事业编制8名。设内设机构综合办公室，核定股级领导职数1名。单位性质为群众团体，资金保障形式为财政拨款。年末总人数8人，全部是全额事业编制。</w:t>
      </w:r>
    </w:p>
    <w:p w14:paraId="38A478C9">
      <w:pPr>
        <w:pStyle w:val="10"/>
        <w:numPr>
          <w:ilvl w:val="0"/>
          <w:numId w:val="0"/>
        </w:numPr>
        <w:ind w:leftChars="300"/>
        <w:rPr>
          <w:rFonts w:hint="default" w:ascii="仿宋_GB2312" w:hAnsi="宋体" w:eastAsia="仿宋_GB2312" w:cs="宋体"/>
          <w:kern w:val="0"/>
          <w:sz w:val="32"/>
          <w:szCs w:val="32"/>
          <w:lang w:val="en-US" w:eastAsia="zh-CN" w:bidi="ar-SA"/>
        </w:rPr>
      </w:pPr>
      <w:r>
        <w:rPr>
          <w:rFonts w:hint="eastAsia" w:hAnsi="宋体" w:cs="宋体"/>
          <w:kern w:val="0"/>
          <w:sz w:val="32"/>
          <w:szCs w:val="32"/>
          <w:lang w:val="en-US" w:eastAsia="zh-CN" w:bidi="ar-SA"/>
        </w:rPr>
        <w:t>3、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部门收支预决算情况</w:t>
      </w:r>
    </w:p>
    <w:p w14:paraId="77C6EB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2022年预算收入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144.44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万元，其中：一般公共预算收入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144.44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万元，基金预算收入0万元，财政专户核拨收入0万元，其他来源收入0万元。2022年部门支出预算为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144.44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万元，其中基本支出134.44万元，包括人员经费122.21万元和日常公用经费12.23万元；项目支出10万元，主要为党建带团建工作经费10万元。团区委办公经费支出2.4万元，其他支出0万元。2022年度决算收入合计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144.44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万元，其中：财政拨款收入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144.44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元，占100%；事业收入0万元，占0%；经营收入0万元，占0%；其他收入0万元，占0%。2022年度决算支出合计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144.44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万元，其中：基本支出122.21万元，占93%；项目支出10万元，占7%；经营支出0万元，占0%。</w:t>
      </w:r>
    </w:p>
    <w:p w14:paraId="3BEB488A">
      <w:pPr>
        <w:pStyle w:val="2"/>
        <w:ind w:firstLine="640" w:firstLineChars="200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2022年收入</w:t>
      </w:r>
      <w:r>
        <w:rPr>
          <w:rFonts w:hint="eastAsia" w:hAnsi="仿宋"/>
          <w:sz w:val="32"/>
          <w:szCs w:val="32"/>
          <w:lang w:val="en-US" w:eastAsia="zh-CN"/>
        </w:rPr>
        <w:t>144.44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万元，支出</w:t>
      </w:r>
      <w:r>
        <w:rPr>
          <w:rFonts w:hint="eastAsia" w:hAnsi="仿宋"/>
          <w:sz w:val="32"/>
          <w:szCs w:val="32"/>
          <w:lang w:val="en-US" w:eastAsia="zh-CN"/>
        </w:rPr>
        <w:t>144.44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万元。上年度收入</w:t>
      </w:r>
      <w:r>
        <w:rPr>
          <w:rFonts w:hint="eastAsia" w:hAnsi="仿宋"/>
          <w:sz w:val="32"/>
          <w:szCs w:val="32"/>
          <w:lang w:val="en-US" w:eastAsia="zh-CN"/>
        </w:rPr>
        <w:t>133.35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万元，支出</w:t>
      </w:r>
      <w:r>
        <w:rPr>
          <w:rFonts w:hint="eastAsia" w:hAnsi="仿宋"/>
          <w:sz w:val="32"/>
          <w:szCs w:val="32"/>
          <w:lang w:val="en-US" w:eastAsia="zh-CN"/>
        </w:rPr>
        <w:t>133.35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万元。</w:t>
      </w:r>
    </w:p>
    <w:p w14:paraId="377D1331">
      <w:pPr>
        <w:pStyle w:val="10"/>
        <w:numPr>
          <w:ilvl w:val="0"/>
          <w:numId w:val="0"/>
        </w:numPr>
        <w:ind w:leftChars="300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</w:pPr>
      <w:r>
        <w:rPr>
          <w:rFonts w:hint="eastAsia" w:hAnsi="仿宋"/>
          <w:sz w:val="32"/>
          <w:szCs w:val="32"/>
          <w:lang w:val="en-US" w:eastAsia="zh-CN"/>
        </w:rPr>
        <w:t>4、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部门整体支出绩效目标指标情况</w:t>
      </w:r>
    </w:p>
    <w:p w14:paraId="6D6D6518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认真落实中央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、省、市委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关于共青团改革的一系列要求部署，认真履行共青团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藁城区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委被赋予的领导全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共青团工作、指导全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少先队工作的职</w:t>
      </w:r>
      <w:r>
        <w:rPr>
          <w:rFonts w:hint="eastAsia" w:ascii="仿宋_GB2312" w:hAnsi="仿宋_GB2312" w:eastAsia="仿宋_GB2312" w:cs="仿宋_GB2312"/>
          <w:sz w:val="32"/>
          <w:szCs w:val="32"/>
        </w:rPr>
        <w:t>能，对全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青年社团组织进行指导和管理，持续深化青年大学习行动，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加强对全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青年的宣传教育；深化青少年社会主义核心价值观培育工作；积极投身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巩固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脱贫攻坚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成果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深化“乡村振兴·团青建功”行动；推动《河北省中长期青年发展规划（2018-2025）》10大领域发展目标实现。坚持“高举伟大旗帜、聚焦主责主业、继续改革攻坚、全面从严治团”，切实增强政治性、先进性、群众性，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坚持稳中求进工作总基调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3708200E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、绩效自评工作开展情况</w:t>
      </w:r>
    </w:p>
    <w:p w14:paraId="1AF4B800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照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Times New Roman"/>
          <w:sz w:val="32"/>
          <w:szCs w:val="32"/>
        </w:rPr>
        <w:t>部署要求，我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各相关部门召开会议，认真组织研究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Times New Roman"/>
          <w:sz w:val="32"/>
          <w:szCs w:val="32"/>
        </w:rPr>
        <w:t>年年度预算项目支出绩效评价工作。此次自评工作，我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成立了绩效自评工作组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</w:rPr>
        <w:t>自评工作中，每位自评组成员严格按照年初设立的项目绩效目标和指标，对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党建带团建工作</w:t>
      </w:r>
      <w:r>
        <w:rPr>
          <w:rFonts w:hint="eastAsia" w:ascii="仿宋" w:hAnsi="仿宋" w:eastAsia="仿宋" w:cs="Times New Roman"/>
          <w:sz w:val="32"/>
          <w:szCs w:val="32"/>
        </w:rPr>
        <w:t>年初预算项目指标进行分析研究，得出此次自评结果。并按照通知要求，对我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重点考核项目“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党建带团建工作项目经费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Times New Roman"/>
          <w:sz w:val="32"/>
          <w:szCs w:val="32"/>
        </w:rPr>
        <w:t>金额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Times New Roman"/>
          <w:sz w:val="32"/>
          <w:szCs w:val="32"/>
        </w:rPr>
        <w:t>万元)”进行重点核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查</w:t>
      </w:r>
      <w:bookmarkStart w:id="0" w:name="_GoBack"/>
      <w:bookmarkEnd w:id="0"/>
      <w:r>
        <w:rPr>
          <w:rFonts w:hint="eastAsia" w:ascii="仿宋" w:hAnsi="仿宋" w:eastAsia="仿宋" w:cs="Times New Roman"/>
          <w:sz w:val="32"/>
          <w:szCs w:val="32"/>
        </w:rPr>
        <w:t>，并撰写自评报告。</w:t>
      </w:r>
    </w:p>
    <w:p w14:paraId="7B4A26EA"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 w14:paraId="2FA20D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</w:rPr>
        <w:t>从整体看，我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各部门项目工作开展情况良好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保障了我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32"/>
        </w:rPr>
        <w:t>各项工作的正常开展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很好地完成了年初设定的工作目标。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具体绩效目标完成情况如下：</w:t>
      </w:r>
    </w:p>
    <w:p w14:paraId="29495736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党建带团建工作</w:t>
      </w:r>
    </w:p>
    <w:p w14:paraId="1A460E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Times New Roman"/>
          <w:sz w:val="32"/>
          <w:szCs w:val="32"/>
        </w:rPr>
        <w:t>预算执行情况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。该项目年初预算经费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10万元，执行数10万元，完成率100%。项目完成情况良好，达到年初设立的目标。</w:t>
      </w:r>
    </w:p>
    <w:p w14:paraId="3AC5B8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Times New Roman"/>
          <w:sz w:val="32"/>
          <w:szCs w:val="32"/>
        </w:rPr>
        <w:t>项目产出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。本年度计划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规范化组织建设或平台阵地建设5个，开展青少年思想引领活动参与青少年人数10000人，开展法制宣传教育活动参与人数5000人，完成率100%。各项活动都在规定的时间内完成，完成及时率100%。各项活动均高质量完成，达标率100%。</w:t>
      </w:r>
    </w:p>
    <w:p w14:paraId="3E1837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Times New Roman"/>
          <w:sz w:val="32"/>
          <w:szCs w:val="32"/>
        </w:rPr>
        <w:t>项目效益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</w:rPr>
        <w:t>团组织的覆盖面扩大、工作能力进一步增强，团组织的引领作用、青少年思想道德建设、法制观念进一步增强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完成率100%。</w:t>
      </w:r>
    </w:p>
    <w:p w14:paraId="5D0ABE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Times New Roman"/>
          <w:sz w:val="32"/>
          <w:szCs w:val="32"/>
        </w:rPr>
        <w:t>满意度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群众满意度90%，评价结果为优。</w:t>
      </w:r>
    </w:p>
    <w:p w14:paraId="1E21F9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党建带团建</w:t>
      </w:r>
      <w:r>
        <w:rPr>
          <w:rFonts w:hint="eastAsia" w:ascii="仿宋" w:hAnsi="仿宋" w:eastAsia="仿宋" w:cs="Times New Roman"/>
          <w:sz w:val="32"/>
          <w:szCs w:val="32"/>
        </w:rPr>
        <w:t>项目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绩效评价得分为96分</w:t>
      </w:r>
      <w:r>
        <w:rPr>
          <w:rFonts w:hint="eastAsia" w:ascii="仿宋" w:hAnsi="仿宋" w:eastAsia="仿宋"/>
          <w:sz w:val="32"/>
          <w:szCs w:val="32"/>
        </w:rPr>
        <w:t>，综合评价结论和项目综合绩效评价等级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为优秀。</w:t>
      </w:r>
    </w:p>
    <w:p w14:paraId="48EA3023"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tbl>
      <w:tblPr>
        <w:tblStyle w:val="5"/>
        <w:tblpPr w:leftFromText="180" w:rightFromText="180" w:vertAnchor="text" w:horzAnchor="page" w:tblpX="1950" w:tblpY="27"/>
        <w:tblOverlap w:val="never"/>
        <w:tblW w:w="934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5"/>
        <w:gridCol w:w="1395"/>
        <w:gridCol w:w="1335"/>
        <w:gridCol w:w="1560"/>
        <w:gridCol w:w="1485"/>
        <w:gridCol w:w="900"/>
      </w:tblGrid>
      <w:tr w14:paraId="374613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65" w:type="dxa"/>
          </w:tcPr>
          <w:p w14:paraId="04B3D2DC">
            <w:pPr>
              <w:snapToGrid w:val="0"/>
              <w:spacing w:line="360" w:lineRule="auto"/>
              <w:ind w:firstLine="720" w:firstLineChars="300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项目名称</w:t>
            </w:r>
          </w:p>
        </w:tc>
        <w:tc>
          <w:tcPr>
            <w:tcW w:w="1395" w:type="dxa"/>
          </w:tcPr>
          <w:p w14:paraId="3F9D8046"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产出</w:t>
            </w:r>
            <w:r>
              <w:rPr>
                <w:rFonts w:hint="eastAsia" w:ascii="仿宋" w:hAnsi="仿宋" w:eastAsia="仿宋" w:cs="黑体"/>
                <w:sz w:val="24"/>
                <w:highlight w:val="none"/>
              </w:rPr>
              <w:t>指标</w:t>
            </w: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完成得分情况</w:t>
            </w:r>
          </w:p>
        </w:tc>
        <w:tc>
          <w:tcPr>
            <w:tcW w:w="1335" w:type="dxa"/>
          </w:tcPr>
          <w:p w14:paraId="4770BFD7"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预算执行率指标完成得分情况</w:t>
            </w:r>
          </w:p>
        </w:tc>
        <w:tc>
          <w:tcPr>
            <w:tcW w:w="1560" w:type="dxa"/>
          </w:tcPr>
          <w:p w14:paraId="31776C97">
            <w:pPr>
              <w:snapToGrid w:val="0"/>
              <w:spacing w:line="360" w:lineRule="auto"/>
              <w:rPr>
                <w:rFonts w:ascii="仿宋" w:hAnsi="仿宋" w:eastAsia="仿宋" w:cs="黑体"/>
                <w:sz w:val="24"/>
                <w:highlight w:val="none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效益指标完成得分情况</w:t>
            </w:r>
          </w:p>
        </w:tc>
        <w:tc>
          <w:tcPr>
            <w:tcW w:w="1485" w:type="dxa"/>
          </w:tcPr>
          <w:p w14:paraId="1B74CEE3"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满意度指标完成得分情况</w:t>
            </w:r>
          </w:p>
        </w:tc>
        <w:tc>
          <w:tcPr>
            <w:tcW w:w="900" w:type="dxa"/>
          </w:tcPr>
          <w:p w14:paraId="36E139AA">
            <w:pPr>
              <w:snapToGrid w:val="0"/>
              <w:spacing w:line="360" w:lineRule="auto"/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eastAsia="zh-CN"/>
              </w:rPr>
              <w:t>自评得分</w:t>
            </w:r>
          </w:p>
        </w:tc>
      </w:tr>
      <w:tr w14:paraId="2A5C0C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65" w:type="dxa"/>
            <w:vAlign w:val="center"/>
          </w:tcPr>
          <w:p w14:paraId="64D3B47B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党建带团建</w:t>
            </w:r>
          </w:p>
        </w:tc>
        <w:tc>
          <w:tcPr>
            <w:tcW w:w="1395" w:type="dxa"/>
            <w:vAlign w:val="center"/>
          </w:tcPr>
          <w:p w14:paraId="7338E6AF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39</w:t>
            </w:r>
          </w:p>
        </w:tc>
        <w:tc>
          <w:tcPr>
            <w:tcW w:w="1335" w:type="dxa"/>
            <w:vAlign w:val="center"/>
          </w:tcPr>
          <w:p w14:paraId="1DC64F51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10</w:t>
            </w:r>
          </w:p>
        </w:tc>
        <w:tc>
          <w:tcPr>
            <w:tcW w:w="1560" w:type="dxa"/>
            <w:vAlign w:val="center"/>
          </w:tcPr>
          <w:p w14:paraId="77602655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38</w:t>
            </w:r>
          </w:p>
        </w:tc>
        <w:tc>
          <w:tcPr>
            <w:tcW w:w="1485" w:type="dxa"/>
            <w:vAlign w:val="center"/>
          </w:tcPr>
          <w:p w14:paraId="616357A1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9</w:t>
            </w:r>
          </w:p>
        </w:tc>
        <w:tc>
          <w:tcPr>
            <w:tcW w:w="900" w:type="dxa"/>
            <w:vAlign w:val="center"/>
          </w:tcPr>
          <w:p w14:paraId="478AA655">
            <w:pPr>
              <w:snapToGrid w:val="0"/>
              <w:spacing w:line="360" w:lineRule="auto"/>
              <w:jc w:val="center"/>
              <w:rPr>
                <w:rFonts w:hint="default" w:ascii="仿宋" w:hAnsi="仿宋" w:eastAsia="仿宋" w:cs="黑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黑体"/>
                <w:sz w:val="24"/>
                <w:highlight w:val="none"/>
                <w:lang w:val="en-US" w:eastAsia="zh-CN"/>
              </w:rPr>
              <w:t>96</w:t>
            </w:r>
          </w:p>
        </w:tc>
      </w:tr>
    </w:tbl>
    <w:p w14:paraId="03A9AFAC"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textAlignment w:val="auto"/>
        <w:outlineLvl w:val="9"/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</w:t>
      </w:r>
      <w:r>
        <w:rPr>
          <w:rFonts w:hint="eastAsia" w:ascii="仿宋" w:hAnsi="仿宋" w:eastAsia="仿宋"/>
          <w:sz w:val="32"/>
          <w:szCs w:val="32"/>
          <w:lang w:eastAsia="zh-CN"/>
        </w:rPr>
        <w:t>，并</w:t>
      </w:r>
      <w:r>
        <w:rPr>
          <w:rFonts w:hint="eastAsia" w:ascii="仿宋" w:hAnsi="仿宋" w:eastAsia="仿宋"/>
          <w:sz w:val="32"/>
          <w:szCs w:val="32"/>
        </w:rPr>
        <w:t>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我部门整体支出</w:t>
      </w:r>
      <w:r>
        <w:rPr>
          <w:rFonts w:hint="eastAsia" w:ascii="仿宋" w:hAnsi="仿宋" w:eastAsia="仿宋"/>
          <w:sz w:val="32"/>
          <w:szCs w:val="32"/>
        </w:rPr>
        <w:t>综合绩效评价</w:t>
      </w:r>
      <w:r>
        <w:rPr>
          <w:rFonts w:hint="eastAsia" w:ascii="仿宋" w:hAnsi="仿宋" w:eastAsia="仿宋"/>
          <w:sz w:val="32"/>
          <w:szCs w:val="32"/>
          <w:lang w:eastAsia="zh-CN"/>
        </w:rPr>
        <w:t>平均得分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96分，</w:t>
      </w:r>
      <w:r>
        <w:rPr>
          <w:rFonts w:hint="eastAsia" w:ascii="仿宋" w:hAnsi="仿宋" w:eastAsia="仿宋"/>
          <w:sz w:val="32"/>
          <w:szCs w:val="32"/>
        </w:rPr>
        <w:t>绩效评价等级</w:t>
      </w:r>
      <w:r>
        <w:rPr>
          <w:rFonts w:hint="eastAsia" w:ascii="仿宋" w:hAnsi="仿宋" w:eastAsia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优秀。</w:t>
      </w:r>
    </w:p>
    <w:p w14:paraId="5913EEB5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、整改措施及结果应用</w:t>
      </w:r>
    </w:p>
    <w:p w14:paraId="064C4D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 w14:paraId="31BCAA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共青团工作涉及的面广、点多，受经费数额的限制不能完全满足团员青年的需求。</w:t>
      </w:r>
    </w:p>
    <w:p w14:paraId="6ADA5E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Times New Roman"/>
          <w:sz w:val="32"/>
          <w:szCs w:val="32"/>
        </w:rPr>
      </w:pPr>
      <w:r>
        <w:rPr>
          <w:rFonts w:hint="eastAsia" w:ascii="楷体_GB2312" w:hAnsi="楷体_GB2312" w:eastAsia="楷体_GB2312" w:cs="Times New Roman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Times New Roman"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Times New Roman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Times New Roman"/>
          <w:sz w:val="32"/>
          <w:szCs w:val="32"/>
        </w:rPr>
        <w:t>改进措施</w:t>
      </w:r>
    </w:p>
    <w:p w14:paraId="0D0CA3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我单位</w:t>
      </w:r>
      <w:r>
        <w:rPr>
          <w:rFonts w:hint="eastAsia" w:ascii="仿宋_GB2312" w:eastAsia="仿宋_GB2312"/>
          <w:sz w:val="32"/>
          <w:szCs w:val="32"/>
          <w:highlight w:val="none"/>
        </w:rPr>
        <w:t>将尽量做到科学、合理的分配资金，在财政资金按时到位的情况下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highlight w:val="none"/>
        </w:rPr>
        <w:t>有序进行各项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工作</w:t>
      </w:r>
      <w:r>
        <w:rPr>
          <w:rFonts w:hint="eastAsia" w:ascii="仿宋_GB2312" w:eastAsia="仿宋_GB2312"/>
          <w:sz w:val="32"/>
          <w:szCs w:val="32"/>
          <w:highlight w:val="none"/>
        </w:rPr>
        <w:t>，以确保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各项工作</w:t>
      </w:r>
      <w:r>
        <w:rPr>
          <w:rFonts w:hint="eastAsia" w:ascii="仿宋_GB2312" w:eastAsia="仿宋_GB2312"/>
          <w:sz w:val="32"/>
          <w:szCs w:val="32"/>
          <w:highlight w:val="none"/>
        </w:rPr>
        <w:t>保质完成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。</w:t>
      </w:r>
    </w:p>
    <w:p w14:paraId="7829FE7C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_GB2312" w:hAnsi="楷体_GB2312" w:eastAsia="楷体_GB2312" w:cs="Times New Roman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Times New Roman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Times New Roman"/>
          <w:sz w:val="32"/>
          <w:szCs w:val="32"/>
          <w:lang w:eastAsia="zh-CN"/>
        </w:rPr>
        <w:t>）结果应用</w:t>
      </w:r>
      <w:r>
        <w:rPr>
          <w:rFonts w:hint="eastAsia" w:ascii="楷体_GB2312" w:hAnsi="楷体_GB2312" w:eastAsia="楷体_GB2312" w:cs="Times New Roman"/>
          <w:sz w:val="32"/>
          <w:szCs w:val="32"/>
          <w:lang w:eastAsia="zh-CN"/>
        </w:rPr>
        <w:br w:type="textWrapping"/>
      </w:r>
      <w:r>
        <w:rPr>
          <w:rFonts w:hint="eastAsia" w:ascii="楷体" w:hAnsi="楷体" w:eastAsia="楷体" w:cs="楷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通过本次绩效自评工作，我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单位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财务科室及相关业务科室深入学习研究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的要求，针对绩效自评中存在的问题，及时改进本部门以后年度项预算绩效目标、绩效指标、绩效标准的设立方法，务必做到目标合理，指标设立精准，标准设立明确。完善项目管理办法，切实提高项目管理水平、资金使用效益和部门工作效率。认真落实整改意见不断提高预算绩效管理水平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</w:p>
    <w:p w14:paraId="7C8934AB">
      <w:pPr>
        <w:widowControl w:val="0"/>
        <w:wordWrap/>
        <w:adjustRightInd w:val="0"/>
        <w:snapToGrid w:val="0"/>
        <w:spacing w:line="560" w:lineRule="exact"/>
        <w:ind w:left="0" w:leftChars="0" w:right="0" w:firstLine="42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pPr w:leftFromText="180" w:rightFromText="180" w:vertAnchor="text" w:tblpXSpec="center" w:tblpY="195"/>
        <w:tblOverlap w:val="never"/>
        <w:tblW w:w="81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1"/>
        <w:gridCol w:w="1365"/>
        <w:gridCol w:w="2160"/>
        <w:gridCol w:w="1810"/>
        <w:gridCol w:w="1788"/>
      </w:tblGrid>
      <w:tr w14:paraId="2687E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71" w:type="dxa"/>
            <w:noWrap w:val="0"/>
            <w:vAlign w:val="center"/>
          </w:tcPr>
          <w:p w14:paraId="70D75FDF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序号</w:t>
            </w:r>
          </w:p>
        </w:tc>
        <w:tc>
          <w:tcPr>
            <w:tcW w:w="1365" w:type="dxa"/>
            <w:noWrap w:val="0"/>
            <w:vAlign w:val="center"/>
          </w:tcPr>
          <w:p w14:paraId="54D5FDA0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姓名</w:t>
            </w:r>
          </w:p>
        </w:tc>
        <w:tc>
          <w:tcPr>
            <w:tcW w:w="2160" w:type="dxa"/>
            <w:noWrap w:val="0"/>
            <w:vAlign w:val="center"/>
          </w:tcPr>
          <w:p w14:paraId="00287281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工作单位</w:t>
            </w:r>
          </w:p>
        </w:tc>
        <w:tc>
          <w:tcPr>
            <w:tcW w:w="1810" w:type="dxa"/>
            <w:noWrap w:val="0"/>
            <w:vAlign w:val="center"/>
          </w:tcPr>
          <w:p w14:paraId="0F17E034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职务</w:t>
            </w:r>
          </w:p>
        </w:tc>
        <w:tc>
          <w:tcPr>
            <w:tcW w:w="1788" w:type="dxa"/>
            <w:noWrap w:val="0"/>
            <w:vAlign w:val="center"/>
          </w:tcPr>
          <w:p w14:paraId="2D819C9B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eastAsia="zh-CN"/>
              </w:rPr>
              <w:t>签字</w:t>
            </w:r>
          </w:p>
        </w:tc>
      </w:tr>
      <w:tr w14:paraId="603E4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71" w:type="dxa"/>
            <w:noWrap w:val="0"/>
            <w:vAlign w:val="center"/>
          </w:tcPr>
          <w:p w14:paraId="662ECD6A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365" w:type="dxa"/>
            <w:noWrap w:val="0"/>
            <w:vAlign w:val="center"/>
          </w:tcPr>
          <w:p w14:paraId="4C76474E"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李莎</w:t>
            </w:r>
          </w:p>
        </w:tc>
        <w:tc>
          <w:tcPr>
            <w:tcW w:w="2160" w:type="dxa"/>
            <w:noWrap w:val="0"/>
            <w:vAlign w:val="center"/>
          </w:tcPr>
          <w:p w14:paraId="7E664439"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共青团藁城区委</w:t>
            </w:r>
          </w:p>
        </w:tc>
        <w:tc>
          <w:tcPr>
            <w:tcW w:w="1810" w:type="dxa"/>
            <w:noWrap w:val="0"/>
            <w:vAlign w:val="center"/>
          </w:tcPr>
          <w:p w14:paraId="3A707257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书记</w:t>
            </w:r>
          </w:p>
        </w:tc>
        <w:tc>
          <w:tcPr>
            <w:tcW w:w="1788" w:type="dxa"/>
            <w:noWrap w:val="0"/>
            <w:vAlign w:val="center"/>
          </w:tcPr>
          <w:p w14:paraId="7631066B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64BB8A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071" w:type="dxa"/>
            <w:noWrap w:val="0"/>
            <w:vAlign w:val="center"/>
          </w:tcPr>
          <w:p w14:paraId="69805787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365" w:type="dxa"/>
            <w:noWrap w:val="0"/>
            <w:vAlign w:val="center"/>
          </w:tcPr>
          <w:p w14:paraId="7EF90F32"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陈亚楠</w:t>
            </w:r>
          </w:p>
        </w:tc>
        <w:tc>
          <w:tcPr>
            <w:tcW w:w="2160" w:type="dxa"/>
            <w:noWrap w:val="0"/>
            <w:vAlign w:val="center"/>
          </w:tcPr>
          <w:p w14:paraId="57FA1784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共青团藁城区委</w:t>
            </w:r>
          </w:p>
        </w:tc>
        <w:tc>
          <w:tcPr>
            <w:tcW w:w="1810" w:type="dxa"/>
            <w:noWrap w:val="0"/>
            <w:vAlign w:val="center"/>
          </w:tcPr>
          <w:p w14:paraId="324EB8B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副书记</w:t>
            </w:r>
          </w:p>
        </w:tc>
        <w:tc>
          <w:tcPr>
            <w:tcW w:w="1788" w:type="dxa"/>
            <w:noWrap w:val="0"/>
            <w:vAlign w:val="center"/>
          </w:tcPr>
          <w:p w14:paraId="510E5ECA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4AB4E0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071" w:type="dxa"/>
            <w:noWrap w:val="0"/>
            <w:vAlign w:val="center"/>
          </w:tcPr>
          <w:p w14:paraId="09922F40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365" w:type="dxa"/>
            <w:noWrap w:val="0"/>
            <w:vAlign w:val="center"/>
          </w:tcPr>
          <w:p w14:paraId="33033C6C">
            <w:pPr>
              <w:ind w:firstLine="240" w:firstLineChars="100"/>
              <w:jc w:val="both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陆新娇</w:t>
            </w:r>
          </w:p>
        </w:tc>
        <w:tc>
          <w:tcPr>
            <w:tcW w:w="2160" w:type="dxa"/>
            <w:noWrap w:val="0"/>
            <w:vAlign w:val="center"/>
          </w:tcPr>
          <w:p w14:paraId="6685FB74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共青团藁城区委</w:t>
            </w:r>
          </w:p>
        </w:tc>
        <w:tc>
          <w:tcPr>
            <w:tcW w:w="1810" w:type="dxa"/>
            <w:noWrap w:val="0"/>
            <w:vAlign w:val="center"/>
          </w:tcPr>
          <w:p w14:paraId="1CEB9FDF"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一级科员</w:t>
            </w:r>
          </w:p>
        </w:tc>
        <w:tc>
          <w:tcPr>
            <w:tcW w:w="1788" w:type="dxa"/>
            <w:noWrap w:val="0"/>
            <w:vAlign w:val="center"/>
          </w:tcPr>
          <w:p w14:paraId="50379BBD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</w:tr>
      <w:tr w14:paraId="5439D4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071" w:type="dxa"/>
            <w:noWrap w:val="0"/>
            <w:vAlign w:val="center"/>
          </w:tcPr>
          <w:p w14:paraId="07511150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65" w:type="dxa"/>
            <w:noWrap w:val="0"/>
            <w:vAlign w:val="center"/>
          </w:tcPr>
          <w:p w14:paraId="5C3475A3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2160" w:type="dxa"/>
            <w:noWrap w:val="0"/>
            <w:vAlign w:val="center"/>
          </w:tcPr>
          <w:p w14:paraId="4B155A43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810" w:type="dxa"/>
            <w:noWrap w:val="0"/>
            <w:vAlign w:val="center"/>
          </w:tcPr>
          <w:p w14:paraId="67570FD1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788" w:type="dxa"/>
            <w:noWrap w:val="0"/>
            <w:vAlign w:val="center"/>
          </w:tcPr>
          <w:p w14:paraId="1A8432B9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eastAsia="zh-CN"/>
              </w:rPr>
            </w:pPr>
          </w:p>
        </w:tc>
      </w:tr>
    </w:tbl>
    <w:p w14:paraId="11361A00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</w:p>
    <w:p w14:paraId="3508B456">
      <w:pPr>
        <w:pStyle w:val="2"/>
        <w:numPr>
          <w:ilvl w:val="0"/>
          <w:numId w:val="0"/>
        </w:numPr>
        <w:ind w:leftChars="200"/>
        <w:rPr>
          <w:rFonts w:hint="default" w:eastAsia="仿宋_GB231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1DFDBE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49B524D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28BAF9">
    <w:pPr>
      <w:pStyle w:val="4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abstractNum w:abstractNumId="1">
    <w:nsid w:val="FF2AB04F"/>
    <w:multiLevelType w:val="singleLevel"/>
    <w:tmpl w:val="FF2AB04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8500C8A"/>
    <w:rsid w:val="13B61930"/>
    <w:rsid w:val="20276775"/>
    <w:rsid w:val="2220032C"/>
    <w:rsid w:val="2D7C7A95"/>
    <w:rsid w:val="397A712E"/>
    <w:rsid w:val="3AEF6FE7"/>
    <w:rsid w:val="493B718D"/>
    <w:rsid w:val="53A42ADD"/>
    <w:rsid w:val="5D487A1F"/>
    <w:rsid w:val="5E4A03A6"/>
    <w:rsid w:val="661D3074"/>
    <w:rsid w:val="7DC819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_GB2312" w:hAnsi="仿宋_GB2312" w:eastAsia="仿宋_GB2312" w:cs="仿宋_GB2312"/>
      <w:sz w:val="32"/>
      <w:szCs w:val="32"/>
      <w:lang w:val="zh-CN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[Normal]"/>
    <w:qFormat/>
    <w:uiPriority w:val="0"/>
    <w:rPr>
      <w:rFonts w:ascii="宋体" w:hAnsi="宋体" w:eastAsia="宋体" w:cs="Times New Roman"/>
      <w:sz w:val="24"/>
      <w:szCs w:val="22"/>
      <w:lang w:val="en-US" w:eastAsia="en-US" w:bidi="ar-SA"/>
    </w:rPr>
  </w:style>
  <w:style w:type="paragraph" w:customStyle="1" w:styleId="10">
    <w:name w:val="Normal Indent1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2603</Words>
  <Characters>2769</Characters>
  <Lines>3</Lines>
  <Paragraphs>1</Paragraphs>
  <TotalTime>4</TotalTime>
  <ScaleCrop>false</ScaleCrop>
  <LinksUpToDate>false</LinksUpToDate>
  <CharactersWithSpaces>2787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13323011735</cp:lastModifiedBy>
  <cp:lastPrinted>2023-05-04T02:06:00Z</cp:lastPrinted>
  <dcterms:modified xsi:type="dcterms:W3CDTF">2025-05-15T08:34:42Z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eyJoZGlkIjoiYTRkZjYwODQyN2QxOTU4Mzc5MDkyZjcyNTA5NjE4M2QiLCJ1c2VySWQiOiIxNTUwMjQwMDk2In0=</vt:lpwstr>
  </property>
  <property fmtid="{D5CDD505-2E9C-101B-9397-08002B2CF9AE}" pid="4" name="ICV">
    <vt:lpwstr>B58F5B6951D54A58BC86E5D0F9CCE295_12</vt:lpwstr>
  </property>
</Properties>
</file>