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508703">
      <w:pPr>
        <w:snapToGrid w:val="0"/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2021年度部门整体支出绩效评价报告</w:t>
      </w:r>
    </w:p>
    <w:p w14:paraId="0D9E921A">
      <w:pPr>
        <w:snapToGrid w:val="0"/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2B8892A7"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为</w:t>
      </w:r>
      <w:r>
        <w:rPr>
          <w:rFonts w:hint="eastAsia" w:ascii="仿宋" w:hAnsi="仿宋" w:eastAsia="仿宋" w:cs="仿宋_GB2312"/>
          <w:sz w:val="32"/>
          <w:szCs w:val="32"/>
        </w:rPr>
        <w:t>进一步推进我区绩效预算管理工作，提高财政资金使用效益和财政管理科学化、精细化水平</w:t>
      </w:r>
      <w:r>
        <w:rPr>
          <w:rFonts w:hint="eastAsia" w:ascii="仿宋" w:hAnsi="仿宋" w:eastAsia="仿宋" w:cs="宋体"/>
          <w:sz w:val="32"/>
          <w:szCs w:val="32"/>
        </w:rPr>
        <w:t>，</w:t>
      </w:r>
      <w:r>
        <w:rPr>
          <w:rFonts w:hint="eastAsia" w:ascii="仿宋" w:hAnsi="仿宋" w:eastAsia="仿宋" w:cs="仿宋_GB2312"/>
          <w:sz w:val="32"/>
          <w:szCs w:val="32"/>
        </w:rPr>
        <w:t>根据</w:t>
      </w:r>
      <w:r>
        <w:rPr>
          <w:rFonts w:hint="eastAsia" w:ascii="仿宋" w:hAnsi="仿宋" w:eastAsia="仿宋" w:cs="宋体"/>
          <w:sz w:val="32"/>
          <w:szCs w:val="32"/>
        </w:rPr>
        <w:t>《石家庄市藁城区区级部门预算项目绩效自评管理办法》（藁财字</w:t>
      </w:r>
      <w:r>
        <w:rPr>
          <w:rFonts w:hint="eastAsia" w:ascii="仿宋" w:hAnsi="仿宋" w:eastAsia="仿宋" w:cs="仿宋"/>
          <w:sz w:val="32"/>
          <w:szCs w:val="32"/>
        </w:rPr>
        <w:t>〔2020〕23号</w:t>
      </w:r>
      <w:r>
        <w:rPr>
          <w:rFonts w:hint="eastAsia" w:ascii="仿宋" w:hAnsi="仿宋" w:eastAsia="仿宋" w:cs="宋体"/>
          <w:sz w:val="32"/>
          <w:szCs w:val="32"/>
        </w:rPr>
        <w:t>）要求</w:t>
      </w:r>
      <w:r>
        <w:rPr>
          <w:rFonts w:hint="eastAsia" w:ascii="仿宋" w:hAnsi="仿宋" w:eastAsia="仿宋"/>
          <w:sz w:val="32"/>
          <w:szCs w:val="32"/>
        </w:rPr>
        <w:t>，遵循“科学性、规范性、客观性和公正性”的原则，</w:t>
      </w:r>
      <w:r>
        <w:rPr>
          <w:rFonts w:hint="eastAsia" w:ascii="仿宋" w:hAnsi="仿宋" w:eastAsia="仿宋" w:cs="仿宋"/>
          <w:sz w:val="32"/>
          <w:szCs w:val="32"/>
        </w:rPr>
        <w:t>我局认真开展了2021年度预算绩效自评工作，现将有关情况报告如下：</w:t>
      </w:r>
    </w:p>
    <w:p w14:paraId="01B99D4B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一、部门基本情况及职责职能</w:t>
      </w:r>
    </w:p>
    <w:p w14:paraId="3A74AE72">
      <w:pPr>
        <w:spacing w:line="62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医保局是2019年区政府设立的工作部门，机构规格正科级，内设办公室、监督检查科、综合管理科行政编制9人。主要职责是：</w:t>
      </w:r>
    </w:p>
    <w:p w14:paraId="57BFA6E2">
      <w:pPr>
        <w:spacing w:line="62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/>
          <w:sz w:val="32"/>
          <w:szCs w:val="32"/>
        </w:rPr>
        <w:t>(一)</w:t>
      </w:r>
      <w:r>
        <w:rPr>
          <w:rFonts w:hint="eastAsia" w:ascii="仿宋" w:hAnsi="仿宋" w:eastAsia="仿宋" w:cs="仿宋"/>
          <w:sz w:val="32"/>
          <w:szCs w:val="32"/>
        </w:rPr>
        <w:t>贯彻落实省市城镇职工和城乡居民医疗保险、生育保险、长期护理保险、医疗救助等医疗保障法规、政府规章以及政策、制度、规划和标准。</w:t>
      </w:r>
    </w:p>
    <w:p w14:paraId="0358B4D9">
      <w:pPr>
        <w:spacing w:line="620" w:lineRule="exact"/>
        <w:ind w:firstLine="640" w:firstLineChars="200"/>
        <w:rPr>
          <w:sz w:val="32"/>
          <w:szCs w:val="32"/>
        </w:rPr>
      </w:pPr>
      <w:r>
        <w:rPr>
          <w:rFonts w:hint="eastAsia"/>
          <w:sz w:val="32"/>
          <w:szCs w:val="32"/>
        </w:rPr>
        <w:t>(二)</w:t>
      </w:r>
      <w:r>
        <w:rPr>
          <w:rFonts w:hint="eastAsia" w:ascii="仿宋" w:hAnsi="仿宋" w:eastAsia="仿宋" w:cs="仿宋"/>
          <w:sz w:val="32"/>
          <w:szCs w:val="32"/>
        </w:rPr>
        <w:t>贯彻落实省市医疗保障基金监督管理办法、医疗保障基金安全防控机制，做好医疗保障基金支付方式改革。</w:t>
      </w:r>
    </w:p>
    <w:p w14:paraId="2F0DA50C">
      <w:pPr>
        <w:spacing w:line="62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/>
          <w:sz w:val="32"/>
          <w:szCs w:val="32"/>
        </w:rPr>
        <w:t>(三)</w:t>
      </w:r>
      <w:r>
        <w:rPr>
          <w:rFonts w:hint="eastAsia" w:ascii="仿宋" w:hAnsi="仿宋" w:eastAsia="仿宋" w:cs="仿宋"/>
          <w:sz w:val="32"/>
          <w:szCs w:val="32"/>
        </w:rPr>
        <w:t>贯彻执行省市城镇职工、城乡居民参保筹资和保障待遇政策，执行好城乡医疗保障政策标准。</w:t>
      </w:r>
    </w:p>
    <w:p w14:paraId="7E8DF556">
      <w:pPr>
        <w:spacing w:line="62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/>
          <w:sz w:val="32"/>
          <w:szCs w:val="32"/>
        </w:rPr>
        <w:t>(四)</w:t>
      </w:r>
      <w:r>
        <w:rPr>
          <w:rFonts w:hint="eastAsia" w:ascii="仿宋" w:hAnsi="仿宋" w:eastAsia="仿宋" w:cs="仿宋"/>
          <w:sz w:val="32"/>
          <w:szCs w:val="32"/>
        </w:rPr>
        <w:t>贯彻执行城乡统一的药品、医用药材、医疗服务项目、医疗服务设施等医保支付标准。</w:t>
      </w:r>
    </w:p>
    <w:p w14:paraId="3A160FE4">
      <w:pPr>
        <w:spacing w:line="62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/>
          <w:sz w:val="32"/>
          <w:szCs w:val="32"/>
        </w:rPr>
        <w:t>(五)</w:t>
      </w:r>
      <w:r>
        <w:rPr>
          <w:rFonts w:hint="eastAsia" w:ascii="仿宋" w:hAnsi="仿宋" w:eastAsia="仿宋" w:cs="仿宋"/>
          <w:sz w:val="32"/>
          <w:szCs w:val="32"/>
        </w:rPr>
        <w:t>贯彻执行药品、医用耗材价格和医疗服务项目、医疗服务设施收费等政策。依法管理药品、医用耗材、医疗服务价格政策执行情况。</w:t>
      </w:r>
    </w:p>
    <w:p w14:paraId="1DF6E57C">
      <w:pPr>
        <w:spacing w:line="62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/>
          <w:sz w:val="32"/>
          <w:szCs w:val="32"/>
        </w:rPr>
        <w:t>(六)</w:t>
      </w:r>
      <w:r>
        <w:rPr>
          <w:rFonts w:hint="eastAsia" w:ascii="仿宋" w:hAnsi="仿宋" w:eastAsia="仿宋" w:cs="仿宋"/>
          <w:sz w:val="32"/>
          <w:szCs w:val="32"/>
        </w:rPr>
        <w:t>贯彻执行定点医药机构协议和支付管理办法。执行好医疗保障信用评价体系和信息披露制度，监督管理定点医药机构的医疗服务行为、医疗费用和医药价格，依法查处医疗保障领域违法违规行为。</w:t>
      </w:r>
    </w:p>
    <w:p w14:paraId="2CA107BE">
      <w:pPr>
        <w:spacing w:line="62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/>
          <w:sz w:val="32"/>
          <w:szCs w:val="32"/>
        </w:rPr>
        <w:t>(七)</w:t>
      </w:r>
      <w:r>
        <w:rPr>
          <w:rFonts w:hint="eastAsia" w:ascii="仿宋" w:hAnsi="仿宋" w:eastAsia="仿宋" w:cs="仿宋"/>
          <w:sz w:val="32"/>
          <w:szCs w:val="32"/>
        </w:rPr>
        <w:t>负责医疗保障经办管理、公共服务体系和信息化建设。执行好异地就医管理、费用结算政策和医疗保障关系转移接续制度。</w:t>
      </w:r>
    </w:p>
    <w:p w14:paraId="06805E2F">
      <w:pPr>
        <w:spacing w:line="620" w:lineRule="exact"/>
        <w:ind w:firstLine="640" w:firstLineChars="200"/>
        <w:rPr>
          <w:sz w:val="32"/>
          <w:szCs w:val="32"/>
        </w:rPr>
      </w:pPr>
      <w:r>
        <w:rPr>
          <w:rFonts w:hint="eastAsia"/>
          <w:sz w:val="32"/>
          <w:szCs w:val="32"/>
        </w:rPr>
        <w:t>(八)</w:t>
      </w:r>
      <w:r>
        <w:rPr>
          <w:rFonts w:hint="eastAsia" w:ascii="仿宋" w:hAnsi="仿宋" w:eastAsia="仿宋" w:cs="仿宋"/>
          <w:sz w:val="32"/>
          <w:szCs w:val="32"/>
        </w:rPr>
        <w:t>完成区委、区政府交办的其他任务</w:t>
      </w:r>
      <w:r>
        <w:rPr>
          <w:rFonts w:hint="eastAsia"/>
          <w:sz w:val="32"/>
          <w:szCs w:val="32"/>
        </w:rPr>
        <w:t>。</w:t>
      </w:r>
    </w:p>
    <w:p w14:paraId="5D05BD4E">
      <w:pPr>
        <w:adjustRightInd w:val="0"/>
        <w:snapToGrid w:val="0"/>
        <w:spacing w:line="560" w:lineRule="exact"/>
        <w:ind w:firstLine="643" w:firstLineChars="20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（一）部门整体支出概况</w:t>
      </w:r>
    </w:p>
    <w:p w14:paraId="095C4700">
      <w:pPr>
        <w:snapToGrid w:val="0"/>
        <w:spacing w:line="560" w:lineRule="exact"/>
        <w:ind w:firstLine="640" w:firstLineChars="200"/>
      </w:pPr>
      <w:r>
        <w:rPr>
          <w:rFonts w:hint="eastAsia" w:ascii="仿宋" w:hAnsi="仿宋" w:eastAsia="仿宋" w:cs="仿宋"/>
          <w:sz w:val="32"/>
          <w:szCs w:val="32"/>
        </w:rPr>
        <w:t>2021年部门决算收支完成情况如下：</w:t>
      </w:r>
    </w:p>
    <w:p w14:paraId="6C712B3C"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 全年收入为</w:t>
      </w:r>
      <w:r>
        <w:rPr>
          <w:rFonts w:hint="eastAsia" w:eastAsia="仿宋"/>
          <w:sz w:val="32"/>
          <w:szCs w:val="32"/>
        </w:rPr>
        <w:t>102165673.15</w:t>
      </w:r>
      <w:r>
        <w:rPr>
          <w:rFonts w:hint="eastAsia" w:ascii="仿宋" w:hAnsi="仿宋" w:eastAsia="仿宋" w:cs="仿宋"/>
          <w:sz w:val="32"/>
          <w:szCs w:val="32"/>
        </w:rPr>
        <w:t>元，其中：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财政拨款</w:t>
      </w:r>
      <w:r>
        <w:rPr>
          <w:rFonts w:hint="eastAsia" w:ascii="仿宋" w:hAnsi="仿宋" w:eastAsia="仿宋" w:cs="仿宋"/>
          <w:sz w:val="32"/>
          <w:szCs w:val="32"/>
        </w:rPr>
        <w:t>收入</w:t>
      </w:r>
      <w:r>
        <w:rPr>
          <w:rFonts w:hint="eastAsia" w:eastAsia="仿宋"/>
          <w:sz w:val="32"/>
          <w:szCs w:val="32"/>
        </w:rPr>
        <w:t>102165673.15</w:t>
      </w:r>
      <w:r>
        <w:rPr>
          <w:rFonts w:hint="eastAsia" w:ascii="仿宋" w:hAnsi="仿宋" w:eastAsia="仿宋" w:cs="仿宋"/>
          <w:sz w:val="32"/>
          <w:szCs w:val="32"/>
        </w:rPr>
        <w:t>元，非财政补助收入</w:t>
      </w:r>
      <w:r>
        <w:rPr>
          <w:rFonts w:hint="eastAsia" w:ascii="仿宋" w:hAnsi="仿宋" w:eastAsia="仿宋"/>
          <w:sz w:val="32"/>
          <w:szCs w:val="32"/>
        </w:rPr>
        <w:t>0</w:t>
      </w:r>
      <w:r>
        <w:rPr>
          <w:rFonts w:hint="eastAsia" w:ascii="仿宋" w:hAnsi="仿宋" w:eastAsia="仿宋" w:cs="仿宋"/>
          <w:sz w:val="32"/>
          <w:szCs w:val="32"/>
        </w:rPr>
        <w:t>元。</w:t>
      </w:r>
    </w:p>
    <w:p w14:paraId="60F33D85"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2.全年支出为</w:t>
      </w:r>
      <w:r>
        <w:rPr>
          <w:rFonts w:hint="eastAsia" w:eastAsia="仿宋"/>
          <w:sz w:val="32"/>
          <w:szCs w:val="32"/>
        </w:rPr>
        <w:t>102165673.15元</w:t>
      </w:r>
      <w:r>
        <w:rPr>
          <w:rFonts w:hint="eastAsia" w:ascii="仿宋" w:hAnsi="仿宋" w:eastAsia="仿宋"/>
          <w:sz w:val="32"/>
          <w:szCs w:val="32"/>
        </w:rPr>
        <w:t>。其中：行政支出：5170223.95元，项目支出96995449.2元。</w:t>
      </w:r>
    </w:p>
    <w:p w14:paraId="231CC207"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3、资金结存情况：财政拨款结转结余</w:t>
      </w:r>
      <w:r>
        <w:rPr>
          <w:rFonts w:hint="eastAsia" w:ascii="仿宋" w:hAnsi="仿宋" w:eastAsia="仿宋"/>
          <w:sz w:val="32"/>
          <w:szCs w:val="32"/>
        </w:rPr>
        <w:t>0</w:t>
      </w:r>
      <w:r>
        <w:rPr>
          <w:rFonts w:hint="eastAsia" w:ascii="仿宋" w:hAnsi="仿宋" w:eastAsia="仿宋" w:cs="仿宋"/>
          <w:sz w:val="32"/>
          <w:szCs w:val="32"/>
        </w:rPr>
        <w:t>元，其中财政拨款结转（项目结转）</w:t>
      </w:r>
      <w:r>
        <w:rPr>
          <w:rFonts w:hint="eastAsia" w:ascii="仿宋" w:hAnsi="仿宋" w:eastAsia="仿宋"/>
          <w:sz w:val="32"/>
          <w:szCs w:val="32"/>
        </w:rPr>
        <w:t>0</w:t>
      </w:r>
      <w:r>
        <w:rPr>
          <w:rFonts w:hint="eastAsia" w:ascii="仿宋" w:hAnsi="仿宋" w:eastAsia="仿宋" w:cs="仿宋"/>
          <w:sz w:val="32"/>
          <w:szCs w:val="32"/>
        </w:rPr>
        <w:t>元，财政结余</w:t>
      </w:r>
      <w:r>
        <w:rPr>
          <w:rFonts w:hint="eastAsia" w:ascii="仿宋" w:hAnsi="仿宋" w:eastAsia="仿宋"/>
          <w:sz w:val="32"/>
          <w:szCs w:val="32"/>
        </w:rPr>
        <w:t>0</w:t>
      </w:r>
      <w:r>
        <w:rPr>
          <w:rFonts w:hint="eastAsia" w:ascii="仿宋" w:hAnsi="仿宋" w:eastAsia="仿宋" w:cs="仿宋"/>
          <w:sz w:val="32"/>
          <w:szCs w:val="32"/>
        </w:rPr>
        <w:t>元，非财政拨款收入</w:t>
      </w:r>
      <w:r>
        <w:rPr>
          <w:rFonts w:hint="eastAsia" w:ascii="仿宋" w:hAnsi="仿宋" w:eastAsia="仿宋"/>
          <w:sz w:val="32"/>
          <w:szCs w:val="32"/>
        </w:rPr>
        <w:t>0</w:t>
      </w:r>
      <w:r>
        <w:rPr>
          <w:rFonts w:hint="eastAsia" w:ascii="仿宋" w:hAnsi="仿宋" w:eastAsia="仿宋" w:cs="仿宋"/>
          <w:sz w:val="32"/>
          <w:szCs w:val="32"/>
        </w:rPr>
        <w:t>元。</w:t>
      </w:r>
    </w:p>
    <w:p w14:paraId="3F769E4D">
      <w:pPr>
        <w:adjustRightInd w:val="0"/>
        <w:snapToGrid w:val="0"/>
        <w:spacing w:line="560" w:lineRule="exact"/>
        <w:ind w:firstLine="643" w:firstLineChars="20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（二）整体支出绩效目标</w:t>
      </w:r>
    </w:p>
    <w:p w14:paraId="239CA5FA">
      <w:pPr>
        <w:spacing w:line="560" w:lineRule="exact"/>
        <w:ind w:firstLine="640" w:firstLineChars="200"/>
        <w:rPr>
          <w:rFonts w:ascii="仿宋" w:hAnsi="仿宋" w:eastAsia="仿宋" w:cs="仿宋"/>
          <w:color w:val="000000" w:themeColor="text1"/>
          <w:sz w:val="32"/>
          <w:szCs w:val="32"/>
        </w:rPr>
      </w:pPr>
      <w:r>
        <w:rPr>
          <w:rFonts w:hint="eastAsia" w:ascii="仿宋" w:hAnsi="仿宋" w:eastAsia="仿宋" w:cs="黑体"/>
          <w:sz w:val="32"/>
          <w:szCs w:val="32"/>
        </w:rPr>
        <w:t>1、部门总目标：</w:t>
      </w:r>
      <w:r>
        <w:rPr>
          <w:rFonts w:hint="eastAsia" w:ascii="仿宋" w:hAnsi="仿宋" w:eastAsia="仿宋" w:cs="仿宋"/>
          <w:sz w:val="32"/>
          <w:szCs w:val="32"/>
        </w:rPr>
        <w:t>贯彻落实党中央和省、市以及区委关于医疗保障工作的方针政策和决策部署，坚持和加强党对医疗保障工作的集中统一领导。执行城镇职工医保的筹资和待遇动态调整机制。执行统一的城乡居民基本医疗保险制度和大病保险制度，对符合条件参保人员开展医疗救助工作，做好覆盖城乡的多层次医疗保障体系；对185家“两定点”医药机构采取全覆盖、专项检查、“飞检”等多种方式开展监督检查工作，严厉打击欺诈骗保行为，确保医保资金稳定可持续、合理使用、安全可控；落实好医疗、医保、医药、医价“四医联动”改革，落实57种药品带量采购，</w:t>
      </w:r>
      <w:r>
        <w:rPr>
          <w:rFonts w:hint="eastAsia" w:ascii="仿宋" w:hAnsi="仿宋" w:eastAsia="仿宋" w:cs="仿宋_GB2312"/>
          <w:sz w:val="32"/>
          <w:szCs w:val="32"/>
        </w:rPr>
        <w:t>取消耗材加成、降低部分检验费用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</w:rPr>
        <w:t>更好保障人民群众就医需求、减轻医药费用负担。</w:t>
      </w:r>
    </w:p>
    <w:p w14:paraId="6D192F07">
      <w:pPr>
        <w:snapToGrid w:val="0"/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2、预决算公开：部门预决算均按财政局要求在区政府网站财政预决算公开专栏公开。</w:t>
      </w:r>
    </w:p>
    <w:p w14:paraId="7222ACD1">
      <w:pPr>
        <w:snapToGrid w:val="0"/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3、资产管理：资产管理按照藁城区行政事业单位国有资产配置、处置、划转管理办法执行。新增资产配置按照计划和标准经财政局国资科审批同意后才能新增，新增后在国资系统录入增加。处置资产必须达到报废年限，先向财政局国资科申请后第三方核实拉走资产，履行完成手续后方减少国资系统固定资产。单位账目中的固定资产按月计提折旧。</w:t>
      </w:r>
    </w:p>
    <w:p w14:paraId="06C75398">
      <w:pPr>
        <w:snapToGrid w:val="0"/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4、三公经费控制情况：单位公车运行经费必须控制在2.2万元预算以内。按公车管理要求做好用车管理，爱护车辆定期保养。按时向财政局报送三公经费支出表。</w:t>
      </w:r>
    </w:p>
    <w:p w14:paraId="1E753C86">
      <w:pPr>
        <w:snapToGrid w:val="0"/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5、内部管理制度建设：医保局内设立内控管理科，按照医保基金内控、财政部门内控要求开展内部审计工作。</w:t>
      </w:r>
    </w:p>
    <w:p w14:paraId="0FC73E76">
      <w:pPr>
        <w:snapToGrid w:val="0"/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6、项目绩效总目标完成情况：</w:t>
      </w:r>
      <w:r>
        <w:rPr>
          <w:rFonts w:hint="eastAsia" w:ascii="仿宋" w:hAnsi="仿宋" w:eastAsia="仿宋"/>
          <w:sz w:val="32"/>
          <w:szCs w:val="32"/>
        </w:rPr>
        <w:t>概述部门工作开展情况及主要事业成效。</w:t>
      </w:r>
    </w:p>
    <w:p w14:paraId="674212F6">
      <w:pPr>
        <w:overflowPunct w:val="0"/>
        <w:spacing w:line="560" w:lineRule="exact"/>
        <w:ind w:firstLine="640" w:firstLineChars="200"/>
        <w:rPr>
          <w:rFonts w:ascii="仿宋" w:hAnsi="仿宋" w:eastAsia="仿宋" w:cs="仿宋_GB2312"/>
          <w:color w:val="222222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楷体_GB2312"/>
          <w:color w:val="222222"/>
          <w:sz w:val="32"/>
          <w:szCs w:val="32"/>
          <w:shd w:val="clear" w:color="auto" w:fill="FFFFFF"/>
        </w:rPr>
        <w:t>1.疫情防控工作：</w:t>
      </w:r>
      <w:r>
        <w:rPr>
          <w:rFonts w:hint="eastAsia" w:ascii="仿宋" w:hAnsi="仿宋" w:eastAsia="仿宋" w:cs="仿宋_GB2312"/>
          <w:color w:val="222222"/>
          <w:sz w:val="32"/>
          <w:szCs w:val="32"/>
          <w:shd w:val="clear" w:color="auto" w:fill="FFFFFF"/>
        </w:rPr>
        <w:t>今年年初，我区发生新冠肺炎疫情后，医保局按照区委、区政府安排先后组织14名党员干部奔赴抗疫一线，平山隔离点，信工学院隔离点参加抗疫工作，驻守在抗疫一线两个多月。干部职工冒着严寒24小时在分包小区值班值守，实现了封闭管理，医保局全体干部职工无怨无悔参加没有硝烟的疫情保卫战。</w:t>
      </w:r>
    </w:p>
    <w:p w14:paraId="32B2B296">
      <w:pPr>
        <w:overflowPunct w:val="0"/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楷体_GB2312"/>
          <w:sz w:val="32"/>
          <w:szCs w:val="32"/>
        </w:rPr>
        <w:t>2.全民参保方面：</w:t>
      </w:r>
      <w:r>
        <w:rPr>
          <w:rFonts w:hint="eastAsia" w:ascii="仿宋" w:hAnsi="仿宋" w:eastAsia="仿宋" w:cs="仿宋_GB2312"/>
          <w:sz w:val="32"/>
          <w:szCs w:val="32"/>
        </w:rPr>
        <w:t>实施全民参保，实现全民覆盖，是增进医疗保障制度公平性、解决发展不平衡不充分矛盾的必然要求。我区居民参保人数为685442人，职工50900人，根据本次人口普查的741068人计算我区参保率为99.36%，在石家庄市主城区及组团县区名列第一。</w:t>
      </w:r>
    </w:p>
    <w:p w14:paraId="26F05790">
      <w:pPr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楷体_GB2312"/>
          <w:sz w:val="32"/>
          <w:szCs w:val="32"/>
        </w:rPr>
        <w:t>3.打击欺诈骗保工作：</w:t>
      </w:r>
      <w:r>
        <w:rPr>
          <w:rFonts w:hint="eastAsia" w:ascii="仿宋" w:hAnsi="仿宋" w:eastAsia="仿宋" w:cs="仿宋_GB2312"/>
          <w:sz w:val="32"/>
          <w:szCs w:val="32"/>
        </w:rPr>
        <w:t>医保基金是人民的“保命钱”按照习近平总书记“勿使医保基金成为'唐僧肉'的批示要求”，我局医保监管队伍依托“四大系统”、聘请第三方等检查方式，对“两定点”医药机构开展全覆盖监督检查，积极开展“三假”专项整治。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截至目前</w:t>
      </w:r>
      <w:r>
        <w:rPr>
          <w:rFonts w:hint="eastAsia" w:ascii="仿宋" w:hAnsi="仿宋" w:eastAsia="仿宋" w:cs="仿宋_GB2312"/>
          <w:sz w:val="32"/>
          <w:szCs w:val="32"/>
        </w:rPr>
        <w:t>，共检查定点医药机构187家，查处70家，暂停医保服务28家，解除协议21家，挽回医保基金46.2万元，逐步在我区形成不敢骗、不能骗、不想骗的高压态势。</w:t>
      </w:r>
    </w:p>
    <w:p w14:paraId="78753C11">
      <w:pPr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楷体_GB2312"/>
          <w:sz w:val="32"/>
          <w:szCs w:val="32"/>
        </w:rPr>
        <w:t>4.药品集中带量采购工作：</w:t>
      </w:r>
      <w:r>
        <w:rPr>
          <w:rFonts w:hint="eastAsia" w:ascii="仿宋" w:hAnsi="仿宋" w:eastAsia="仿宋" w:cs="仿宋_GB2312"/>
          <w:sz w:val="32"/>
          <w:szCs w:val="32"/>
        </w:rPr>
        <w:t>为减轻群众就医用药负担，我局积极推进落实国家药品带量采购工作。我区已落实5批次218种国家药品集中带量采购药品，药品平均降幅达53%以上。例如常用降血脂药物阿托伐他汀片由原来的23.24元降至3.87元，高值耗材冠脉支架进口的由原来13000左右降至776.31元，治疗肝炎常用抗病毒药物恩替卡韦片自295.45元降至17.36元。大幅度的降价，极大地缓解了参</w:t>
      </w:r>
      <w:bookmarkStart w:id="0" w:name="_GoBack"/>
      <w:bookmarkEnd w:id="0"/>
      <w:r>
        <w:rPr>
          <w:rFonts w:hint="eastAsia" w:ascii="仿宋" w:hAnsi="仿宋" w:eastAsia="仿宋" w:cs="仿宋_GB2312"/>
          <w:sz w:val="32"/>
          <w:szCs w:val="32"/>
        </w:rPr>
        <w:t>保群众看病贵的问题。</w:t>
      </w:r>
    </w:p>
    <w:p w14:paraId="059638E6">
      <w:pPr>
        <w:widowControl/>
        <w:overflowPunct w:val="0"/>
        <w:spacing w:line="560" w:lineRule="exact"/>
        <w:ind w:firstLine="640" w:firstLineChars="200"/>
        <w:rPr>
          <w:rFonts w:ascii="仿宋" w:hAnsi="仿宋" w:eastAsia="仿宋" w:cs="仿宋_GB2312"/>
          <w:color w:val="0000FF"/>
          <w:sz w:val="32"/>
          <w:szCs w:val="32"/>
        </w:rPr>
      </w:pPr>
      <w:r>
        <w:rPr>
          <w:rFonts w:hint="eastAsia" w:ascii="仿宋" w:hAnsi="仿宋" w:eastAsia="仿宋" w:cs="楷体_GB2312"/>
          <w:sz w:val="32"/>
          <w:szCs w:val="32"/>
        </w:rPr>
        <w:t>5.积极推进异地就医工作：</w:t>
      </w:r>
      <w:r>
        <w:rPr>
          <w:rFonts w:hint="eastAsia" w:ascii="仿宋" w:hAnsi="仿宋" w:eastAsia="仿宋" w:cs="仿宋_GB2312"/>
          <w:sz w:val="32"/>
          <w:szCs w:val="32"/>
          <w:shd w:val="clear" w:color="auto" w:fill="FFFFFF"/>
        </w:rPr>
        <w:t>我区参保人员异地就医取消转诊转院证明，可在手机直接备案实现异地就医，截至目前，我区开通跨省异地24328家，开通省内异地就医1099家。同时我区将</w:t>
      </w:r>
      <w:r>
        <w:rPr>
          <w:rFonts w:hint="eastAsia" w:ascii="仿宋" w:hAnsi="仿宋" w:eastAsia="仿宋" w:cs="仿宋_GB2312"/>
          <w:sz w:val="32"/>
          <w:szCs w:val="32"/>
        </w:rPr>
        <w:t>天津市泰达国际心血管医院、天津市肿瘤医院等15家医院，北京儿童医院、北京积水潭医院等15家医疗机构列入医保定点机构，患者可以直接备案就医，享受省属三级医疗机构住院待遇报。直接备案率达99%，年度平均异地就医备案人数月3400人，解决了参保人员异地就医“跑腿、垫支”的问题。</w:t>
      </w:r>
    </w:p>
    <w:p w14:paraId="5310EA1C">
      <w:pPr>
        <w:spacing w:line="560" w:lineRule="exact"/>
        <w:ind w:firstLine="640" w:firstLineChars="200"/>
        <w:rPr>
          <w:rStyle w:val="6"/>
          <w:rFonts w:ascii="仿宋" w:hAnsi="仿宋" w:eastAsia="仿宋" w:cs="楷体_GB2312"/>
          <w:b w:val="0"/>
          <w:bCs/>
          <w:sz w:val="32"/>
          <w:szCs w:val="32"/>
        </w:rPr>
      </w:pPr>
      <w:r>
        <w:rPr>
          <w:rStyle w:val="6"/>
          <w:rFonts w:hint="eastAsia" w:ascii="仿宋" w:hAnsi="仿宋" w:eastAsia="仿宋" w:cs="楷体_GB2312"/>
          <w:b w:val="0"/>
          <w:bCs/>
          <w:color w:val="000000" w:themeColor="text1"/>
          <w:sz w:val="32"/>
          <w:szCs w:val="32"/>
        </w:rPr>
        <w:t>6.开展贫困人员医疗救助“一站式”直接结算：</w:t>
      </w:r>
      <w:r>
        <w:rPr>
          <w:rFonts w:hint="eastAsia" w:ascii="仿宋" w:hAnsi="仿宋" w:eastAsia="仿宋" w:cs="仿宋_GB2312"/>
          <w:sz w:val="32"/>
          <w:szCs w:val="32"/>
        </w:rPr>
        <w:t>我区将建档立卡人员、五保、低保等贫困人员1.3万余人就诊纳入“基本医保+大病保险+医疗救助”的一站式直接结算，切实减少贫困人员跑办时间，减轻了困难群众的经济压力，不用患者来回跑办</w:t>
      </w:r>
      <w:r>
        <w:rPr>
          <w:rStyle w:val="6"/>
          <w:rFonts w:hint="eastAsia" w:ascii="仿宋" w:hAnsi="仿宋" w:eastAsia="仿宋" w:cs="楷体_GB2312"/>
          <w:bCs/>
          <w:sz w:val="32"/>
          <w:szCs w:val="32"/>
        </w:rPr>
        <w:t>。</w:t>
      </w:r>
    </w:p>
    <w:p w14:paraId="33F13E19">
      <w:pPr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楷体_GB2312"/>
          <w:sz w:val="32"/>
          <w:szCs w:val="32"/>
        </w:rPr>
        <w:t>7.开展慢性病网上认定工作：</w:t>
      </w:r>
      <w:r>
        <w:rPr>
          <w:rFonts w:hint="eastAsia" w:ascii="仿宋" w:hAnsi="仿宋" w:eastAsia="仿宋" w:cs="仿宋_GB2312"/>
          <w:sz w:val="32"/>
          <w:szCs w:val="32"/>
        </w:rPr>
        <w:t>为进一步方便参保群众慢性病认定和就医，规范慢性病管理，深入贯彻落实“我为群众办实事”实践活动要求，在今年3月实行网上自主申报、定点医疗机构认定的模式，每月均可申报，提高了慢性病患者待遇享受，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截至目前</w:t>
      </w:r>
      <w:r>
        <w:rPr>
          <w:rFonts w:hint="eastAsia" w:ascii="仿宋" w:hAnsi="仿宋" w:eastAsia="仿宋" w:cs="仿宋_GB2312"/>
          <w:sz w:val="32"/>
          <w:szCs w:val="32"/>
        </w:rPr>
        <w:t>，我区慢病网上申报人数3428人，通过认定人数1956人。</w:t>
      </w:r>
    </w:p>
    <w:p w14:paraId="654B70B3">
      <w:pPr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楷体_GB2312"/>
          <w:sz w:val="32"/>
          <w:szCs w:val="32"/>
        </w:rPr>
        <w:t>8.落实门诊费用跨省直接结算：</w:t>
      </w:r>
      <w:r>
        <w:rPr>
          <w:rFonts w:hint="eastAsia" w:ascii="仿宋" w:hAnsi="仿宋" w:eastAsia="仿宋" w:cs="仿宋_GB2312"/>
          <w:sz w:val="32"/>
          <w:szCs w:val="32"/>
        </w:rPr>
        <w:t>按照李克强总理在两会报告中提出的建立长期异地门诊直报要求，我局按照市局要求的时间节点，积极申报推进此项工作，已完成藁城人民医院、中西医结合医院开通普通门诊费用跨省直接结算。此项业务的开通，将减少在藁长期异地居住人员报销医疗费的奔波劳顿，进一步方便在藁长期异地居住人员就医用药。</w:t>
      </w:r>
    </w:p>
    <w:p w14:paraId="2A85075E">
      <w:pPr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Style w:val="6"/>
          <w:rFonts w:hint="eastAsia" w:ascii="仿宋" w:hAnsi="仿宋" w:eastAsia="仿宋" w:cs="楷体_GB2312"/>
          <w:b w:val="0"/>
          <w:bCs/>
          <w:sz w:val="32"/>
          <w:szCs w:val="32"/>
        </w:rPr>
        <w:t>9.两病”认定工作：</w:t>
      </w:r>
      <w:r>
        <w:rPr>
          <w:rFonts w:hint="eastAsia" w:ascii="仿宋" w:hAnsi="仿宋" w:eastAsia="仿宋" w:cs="仿宋_GB2312"/>
          <w:sz w:val="32"/>
          <w:szCs w:val="32"/>
        </w:rPr>
        <w:t>进一步减轻城乡居民高血压、糖尿病（以下简称“两病”）患者的医疗费用负担，贯彻落实好国家、省、市医保部门完善城乡居民“两病”门诊用药保障制度，我局组织实施“两病”认证工作，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截至目前</w:t>
      </w:r>
      <w:r>
        <w:rPr>
          <w:rFonts w:hint="eastAsia" w:ascii="仿宋" w:hAnsi="仿宋" w:eastAsia="仿宋" w:cs="仿宋_GB2312"/>
          <w:sz w:val="32"/>
          <w:szCs w:val="32"/>
        </w:rPr>
        <w:t>已认证10万余人，认定工作突出，受到市局表扬。</w:t>
      </w:r>
    </w:p>
    <w:p w14:paraId="4C4750AC">
      <w:pPr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楷体_GB2312"/>
          <w:sz w:val="32"/>
          <w:szCs w:val="32"/>
        </w:rPr>
        <w:t>10.电子医保卡工作：</w:t>
      </w:r>
      <w:r>
        <w:rPr>
          <w:rFonts w:hint="eastAsia" w:ascii="仿宋" w:hAnsi="仿宋" w:eastAsia="仿宋" w:cs="仿宋_GB2312"/>
          <w:sz w:val="32"/>
          <w:szCs w:val="32"/>
        </w:rPr>
        <w:t>本着方便参保人就医购药，有效提升就医体验的原则，我局组织开展了两次大规模的宣传、推广使用医保电子凭证活动，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截至目前</w:t>
      </w:r>
      <w:r>
        <w:rPr>
          <w:rFonts w:hint="eastAsia" w:ascii="仿宋" w:hAnsi="仿宋" w:eastAsia="仿宋" w:cs="仿宋_GB2312"/>
          <w:sz w:val="32"/>
          <w:szCs w:val="32"/>
        </w:rPr>
        <w:t>，我区医保电子凭证激活人数369846人，按照市局下达的720643人的任务，我区激活率51.32 %，已提前完成全年50%的工作目标。</w:t>
      </w:r>
    </w:p>
    <w:p w14:paraId="29A1EAE1">
      <w:pPr>
        <w:adjustRightInd w:val="0"/>
        <w:snapToGrid w:val="0"/>
        <w:spacing w:line="560" w:lineRule="exact"/>
        <w:ind w:firstLine="643" w:firstLineChars="20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（三）部门整体支出情况分析</w:t>
      </w:r>
    </w:p>
    <w:p w14:paraId="6B62F0E0">
      <w:pPr>
        <w:snapToGrid w:val="0"/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从整体情况来看，</w:t>
      </w:r>
      <w:r>
        <w:rPr>
          <w:rFonts w:hint="eastAsia" w:ascii="仿宋" w:hAnsi="仿宋" w:eastAsia="仿宋"/>
          <w:sz w:val="32"/>
          <w:szCs w:val="32"/>
        </w:rPr>
        <w:t>2021年财政拨款支出为10216.57万元，其中基本支出517.02万元，占总支出的5.06%，5个项目支出为9699.55万元，占总支出的94.94%。其中城乡居民医疗保险区级配套支出7950.184万元，占总支出77.82%，城乡医疗救助支出1035万元，占总支出10.13%，职工及城乡居民医疗保险管理支出24.98万元，占总支出0.24%，离休及伤残军人医疗费支出678.8万元，占总支出的6.64%，医疗保障能力提升支出10.584万元，占总支出的0.11%。</w:t>
      </w:r>
    </w:p>
    <w:p w14:paraId="57832F68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二、绩效评价工作情况</w:t>
      </w:r>
    </w:p>
    <w:p w14:paraId="3C7D80E9">
      <w:pPr>
        <w:adjustRightInd w:val="0"/>
        <w:snapToGrid w:val="0"/>
        <w:spacing w:line="560" w:lineRule="exact"/>
        <w:ind w:firstLine="643" w:firstLineChars="20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（一）绩效评价目的</w:t>
      </w:r>
    </w:p>
    <w:p w14:paraId="4069957A">
      <w:pPr>
        <w:snapToGrid w:val="0"/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贯彻落实《预算法》，严格执行省、市、区绩效管理工作有关规定，进一步规范财政资金管理，强化财政支出绩效理念，提升部门责任意识，提高资金使用效益，促进</w:t>
      </w:r>
      <w:r>
        <w:rPr>
          <w:rFonts w:hint="eastAsia" w:ascii="仿宋" w:hAnsi="仿宋" w:eastAsia="仿宋"/>
          <w:sz w:val="32"/>
          <w:szCs w:val="32"/>
          <w:lang w:eastAsia="zh-CN"/>
        </w:rPr>
        <w:t>医保事业</w:t>
      </w:r>
      <w:r>
        <w:rPr>
          <w:rFonts w:hint="eastAsia" w:ascii="仿宋" w:hAnsi="仿宋" w:eastAsia="仿宋" w:cs="仿宋_GB2312"/>
          <w:sz w:val="32"/>
          <w:szCs w:val="32"/>
        </w:rPr>
        <w:t>发展。</w:t>
      </w:r>
    </w:p>
    <w:p w14:paraId="4D0A70E6">
      <w:pPr>
        <w:adjustRightInd w:val="0"/>
        <w:snapToGrid w:val="0"/>
        <w:spacing w:line="560" w:lineRule="exact"/>
        <w:ind w:firstLine="643" w:firstLineChars="20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（二）绩效评价的主要过程</w:t>
      </w:r>
    </w:p>
    <w:p w14:paraId="222F38CC">
      <w:pPr>
        <w:snapToGrid w:val="0"/>
        <w:spacing w:line="560" w:lineRule="exact"/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根据绩效评价的要求，成立了自评工作领导小组，对照自评方案进行研究布署，党组成员及各股室全程参与，按照自评方案的要求，对照各实施项目的内容逐条逐项自评，及时发现问题，查找原因，纠正偏差，为下一步工作夯实基础。</w:t>
      </w:r>
    </w:p>
    <w:p w14:paraId="265D2128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三、主要绩效及评价结论</w:t>
      </w:r>
    </w:p>
    <w:p w14:paraId="320F4CF2">
      <w:pPr>
        <w:widowControl/>
        <w:overflowPunct w:val="0"/>
        <w:spacing w:line="560" w:lineRule="exact"/>
        <w:ind w:firstLine="640" w:firstLineChars="200"/>
        <w:rPr>
          <w:rFonts w:ascii="仿宋" w:hAnsi="仿宋" w:eastAsia="仿宋" w:cs="仿宋_GB2312"/>
          <w:color w:val="0000FF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2021年我单位较高效率地使用了各专项资金，基本完成了各项目的绩效目标。1、圆满完成了城乡居民区级配套资金足额上缴，</w:t>
      </w:r>
      <w:r>
        <w:rPr>
          <w:rFonts w:hint="eastAsia" w:ascii="仿宋" w:hAnsi="仿宋" w:eastAsia="仿宋" w:cs="仿宋_GB2312"/>
          <w:sz w:val="32"/>
          <w:szCs w:val="32"/>
        </w:rPr>
        <w:t>我区居民参保人数为685442人，职工50900人，根据本次人口普查的741068人计算我区参保率为99.36%，在石家庄市主城区及组团县区名列第一。2、</w:t>
      </w:r>
      <w:r>
        <w:rPr>
          <w:rFonts w:hint="eastAsia" w:ascii="仿宋" w:hAnsi="仿宋" w:eastAsia="仿宋" w:cs="仿宋"/>
          <w:sz w:val="32"/>
          <w:szCs w:val="32"/>
        </w:rPr>
        <w:t>医疗救助资金</w:t>
      </w:r>
      <w:r>
        <w:rPr>
          <w:rFonts w:hint="eastAsia" w:ascii="仿宋" w:hAnsi="仿宋" w:eastAsia="仿宋" w:cs="仿宋_GB2312"/>
          <w:sz w:val="32"/>
          <w:szCs w:val="32"/>
        </w:rPr>
        <w:t>我区将建档立卡人员、五保、低保等贫困人员1.3万余人就诊纳入“基本医保+大病保险+医疗救助”的一站式直接结算，切实减少贫困人员跑办时间，减轻了困难群众的经济压力，不用患者来回跑办</w:t>
      </w:r>
      <w:r>
        <w:rPr>
          <w:rStyle w:val="6"/>
          <w:rFonts w:hint="eastAsia" w:ascii="仿宋" w:hAnsi="仿宋" w:eastAsia="仿宋" w:cs="楷体_GB2312"/>
          <w:bCs/>
          <w:sz w:val="32"/>
          <w:szCs w:val="32"/>
        </w:rPr>
        <w:t>。3、</w:t>
      </w:r>
      <w:r>
        <w:rPr>
          <w:rFonts w:hint="eastAsia" w:ascii="仿宋" w:hAnsi="仿宋" w:eastAsia="仿宋" w:cs="仿宋"/>
          <w:sz w:val="32"/>
          <w:szCs w:val="32"/>
        </w:rPr>
        <w:t>审计专项资金我局医保监管队伍依托“四大系统”、聘请第三方等检查方式，对“两定点”医药机构开展全覆盖监督检查，积极开展“三假”专项整治。4、离休、建国前老工人、1-6级伤残军人医疗费专项资金，积极落实离退休干部职工待遇标准。5、中央财政医疗服务与保障能力提升直达资金，</w:t>
      </w:r>
      <w:r>
        <w:rPr>
          <w:rFonts w:hint="eastAsia" w:ascii="仿宋" w:hAnsi="仿宋" w:eastAsia="仿宋" w:cs="仿宋_GB2312"/>
          <w:sz w:val="32"/>
          <w:szCs w:val="32"/>
        </w:rPr>
        <w:t>我局按照市局要求的时间节点，积极申报推进此项工作，已完成藁城人民医院、中西医结合医院开通普通门诊费用跨省直接结算。此项业务的开通，将减少在藁长期异地居住人员报销医疗费的奔波劳顿，进一步方便在藁长期异地居住人员就医用药。6、</w:t>
      </w:r>
      <w:r>
        <w:rPr>
          <w:rFonts w:hint="eastAsia" w:ascii="仿宋" w:hAnsi="仿宋" w:eastAsia="仿宋" w:cs="仿宋"/>
          <w:sz w:val="32"/>
          <w:szCs w:val="32"/>
        </w:rPr>
        <w:t>职工及城乡居民医疗管理经费，我</w:t>
      </w:r>
      <w:r>
        <w:rPr>
          <w:rFonts w:hint="eastAsia" w:ascii="仿宋" w:hAnsi="仿宋" w:eastAsia="仿宋" w:cs="仿宋_GB2312"/>
          <w:sz w:val="32"/>
          <w:szCs w:val="32"/>
          <w:shd w:val="clear" w:color="auto" w:fill="FFFFFF"/>
        </w:rPr>
        <w:t>区开通跨省异地24328家，开通省内异地就医1099家。</w:t>
      </w:r>
      <w:r>
        <w:rPr>
          <w:rFonts w:hint="eastAsia" w:ascii="仿宋" w:hAnsi="仿宋" w:eastAsia="仿宋" w:cs="仿宋_GB2312"/>
          <w:sz w:val="32"/>
          <w:szCs w:val="32"/>
        </w:rPr>
        <w:t>直接备案率达99%，年度平均异地就医备案人数月3400人，解决了参保人员异地就医“跑腿、垫支”的问题。2021年共检查定点医药机构187家，查处70家，暂停医保服务28家，解除协议21家，挽回医保基金46.2万元，逐步在我区形成不敢骗、不能骗、不想骗的高压态势。</w:t>
      </w:r>
      <w:r>
        <w:rPr>
          <w:rFonts w:hint="eastAsia" w:ascii="仿宋" w:hAnsi="仿宋" w:eastAsia="仿宋" w:cs="仿宋"/>
          <w:sz w:val="32"/>
          <w:szCs w:val="32"/>
        </w:rPr>
        <w:t>项目综合评价为优秀。</w:t>
      </w:r>
    </w:p>
    <w:p w14:paraId="2378250D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四、存在问题</w:t>
      </w:r>
    </w:p>
    <w:p w14:paraId="1F548C52"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在实施离休、建国前老工人、1-6级伤残军人医疗费项目时，支出进度缓慢，年底缴回财政额度121.20169万元；</w:t>
      </w:r>
      <w:r>
        <w:rPr>
          <w:rFonts w:ascii="仿宋" w:hAnsi="仿宋" w:eastAsia="仿宋" w:cs="仿宋"/>
          <w:sz w:val="32"/>
          <w:szCs w:val="32"/>
        </w:rPr>
        <w:t xml:space="preserve"> </w:t>
      </w:r>
    </w:p>
    <w:p w14:paraId="67086BB2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五、改进措施</w:t>
      </w:r>
    </w:p>
    <w:p w14:paraId="0D0B817D"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2021年，我单位严格按照预算项目绩效自评管理办法，及时开展项目落实，为全年工作的开展提供了保障，但还是存在绩效管理质量不高、年初预算偏差过大的问题，以后将从以下几个方面加强绩效管理：</w:t>
      </w:r>
    </w:p>
    <w:p w14:paraId="5956696F"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一是完善绩效管理和评价制度，加强预算编制的前瞻性。</w:t>
      </w:r>
    </w:p>
    <w:p w14:paraId="5DDDEE29"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二是强化绩效目标管理。</w:t>
      </w:r>
    </w:p>
    <w:p w14:paraId="5F51BAC3"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三是加强绩效运行监管。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ZWFiZDA5ODMyMjczYmM0MDUyYjk1NDhmMzg4ZjdmODkifQ=="/>
  </w:docVars>
  <w:rsids>
    <w:rsidRoot w:val="28036C09"/>
    <w:rsid w:val="00123B93"/>
    <w:rsid w:val="001D0625"/>
    <w:rsid w:val="0029311D"/>
    <w:rsid w:val="003C75A7"/>
    <w:rsid w:val="003F70DD"/>
    <w:rsid w:val="004C7440"/>
    <w:rsid w:val="004E0646"/>
    <w:rsid w:val="004F709E"/>
    <w:rsid w:val="005C4A00"/>
    <w:rsid w:val="006D4675"/>
    <w:rsid w:val="006E5788"/>
    <w:rsid w:val="00802341"/>
    <w:rsid w:val="00827FAF"/>
    <w:rsid w:val="0087550E"/>
    <w:rsid w:val="0090595C"/>
    <w:rsid w:val="009D65E3"/>
    <w:rsid w:val="009F68A2"/>
    <w:rsid w:val="00A42384"/>
    <w:rsid w:val="00BE1480"/>
    <w:rsid w:val="00D00FF3"/>
    <w:rsid w:val="00E61E99"/>
    <w:rsid w:val="02072A78"/>
    <w:rsid w:val="19266AB6"/>
    <w:rsid w:val="1CAE0268"/>
    <w:rsid w:val="1E4B2437"/>
    <w:rsid w:val="22AC3903"/>
    <w:rsid w:val="23256DAA"/>
    <w:rsid w:val="28036C09"/>
    <w:rsid w:val="322446DF"/>
    <w:rsid w:val="3663183C"/>
    <w:rsid w:val="427C68CE"/>
    <w:rsid w:val="4455188C"/>
    <w:rsid w:val="44E81CBA"/>
    <w:rsid w:val="473D6B48"/>
    <w:rsid w:val="539C2AB2"/>
    <w:rsid w:val="53A97137"/>
    <w:rsid w:val="57390153"/>
    <w:rsid w:val="6D3A1942"/>
    <w:rsid w:val="70315121"/>
    <w:rsid w:val="711C11A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Strong"/>
    <w:basedOn w:val="5"/>
    <w:qFormat/>
    <w:uiPriority w:val="0"/>
    <w:rPr>
      <w:b/>
    </w:rPr>
  </w:style>
  <w:style w:type="character" w:customStyle="1" w:styleId="7">
    <w:name w:val="页脚 Char"/>
    <w:basedOn w:val="5"/>
    <w:link w:val="2"/>
    <w:uiPriority w:val="0"/>
    <w:rPr>
      <w:rFonts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8</Pages>
  <Words>4088</Words>
  <Characters>4407</Characters>
  <Lines>31</Lines>
  <Paragraphs>8</Paragraphs>
  <TotalTime>92</TotalTime>
  <ScaleCrop>false</ScaleCrop>
  <LinksUpToDate>false</LinksUpToDate>
  <CharactersWithSpaces>4410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2022-04-20T02:44:00Z</dcterms:created>
  <dc:creator>z</dc:creator>
  <cp:lastModifiedBy> </cp:lastModifiedBy>
  <dcterms:modified xsi:type="dcterms:W3CDTF">2024-08-22T00:52:54Z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FF808D66ACF94C9CACA5A8E7BD874414</vt:lpwstr>
  </property>
</Properties>
</file>