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1"/>
        <w:ind w:left="360" w:firstLine="0" w:firstLineChars="0"/>
        <w:rPr>
          <w:rFonts w:hint="eastAsia"/>
          <w:b/>
          <w:sz w:val="72"/>
          <w:szCs w:val="72"/>
        </w:rPr>
      </w:pPr>
    </w:p>
    <w:p>
      <w:pPr>
        <w:pStyle w:val="21"/>
        <w:ind w:left="360" w:firstLine="0" w:firstLineChars="0"/>
        <w:rPr>
          <w:rFonts w:hint="eastAsia"/>
          <w:b/>
          <w:sz w:val="72"/>
          <w:szCs w:val="72"/>
        </w:rPr>
      </w:pPr>
    </w:p>
    <w:p>
      <w:pPr>
        <w:pStyle w:val="21"/>
        <w:ind w:left="360" w:firstLine="0" w:firstLineChars="0"/>
        <w:rPr>
          <w:rFonts w:hint="eastAsia"/>
          <w:b/>
          <w:sz w:val="72"/>
          <w:szCs w:val="72"/>
        </w:rPr>
      </w:pPr>
    </w:p>
    <w:p>
      <w:pPr>
        <w:pStyle w:val="21"/>
        <w:ind w:left="360" w:firstLine="0" w:firstLineChars="0"/>
        <w:rPr>
          <w:rFonts w:hint="eastAsia"/>
          <w:b/>
          <w:sz w:val="72"/>
          <w:szCs w:val="72"/>
        </w:rPr>
      </w:pPr>
      <w:r>
        <w:rPr>
          <w:rFonts w:hint="eastAsia"/>
          <w:b/>
          <w:sz w:val="72"/>
          <w:szCs w:val="72"/>
        </w:rPr>
        <w:t>2017年度部门决算公开</w:t>
      </w:r>
    </w:p>
    <w:p>
      <w:pPr>
        <w:pStyle w:val="21"/>
        <w:ind w:left="360" w:firstLine="0" w:firstLineChars="0"/>
        <w:rPr>
          <w:rFonts w:hint="eastAsia"/>
          <w:b/>
          <w:sz w:val="72"/>
          <w:szCs w:val="72"/>
        </w:rPr>
      </w:pPr>
    </w:p>
    <w:p>
      <w:pPr>
        <w:pStyle w:val="21"/>
        <w:ind w:left="360" w:firstLine="0" w:firstLineChars="0"/>
        <w:rPr>
          <w:rFonts w:hint="eastAsia"/>
          <w:sz w:val="72"/>
          <w:szCs w:val="72"/>
        </w:rPr>
      </w:pPr>
    </w:p>
    <w:p>
      <w:pPr>
        <w:rPr>
          <w:rFonts w:hint="eastAsia"/>
          <w:sz w:val="72"/>
          <w:szCs w:val="72"/>
        </w:rPr>
      </w:pPr>
    </w:p>
    <w:p>
      <w:pPr>
        <w:rPr>
          <w:rFonts w:hint="eastAsia"/>
          <w:sz w:val="72"/>
          <w:szCs w:val="72"/>
        </w:rPr>
      </w:pPr>
    </w:p>
    <w:p>
      <w:pPr>
        <w:rPr>
          <w:rFonts w:hint="eastAsia"/>
          <w:sz w:val="72"/>
          <w:szCs w:val="72"/>
        </w:rPr>
      </w:pPr>
    </w:p>
    <w:p>
      <w:pPr>
        <w:pStyle w:val="21"/>
        <w:ind w:left="360" w:firstLine="0" w:firstLineChars="0"/>
        <w:jc w:val="center"/>
        <w:rPr>
          <w:rFonts w:hint="eastAsia" w:eastAsiaTheme="minorEastAsia"/>
          <w:b/>
          <w:sz w:val="44"/>
          <w:szCs w:val="44"/>
          <w:lang w:eastAsia="zh-CN"/>
        </w:rPr>
      </w:pPr>
      <w:r>
        <w:rPr>
          <w:rFonts w:hint="eastAsia"/>
          <w:b/>
          <w:sz w:val="44"/>
          <w:szCs w:val="44"/>
        </w:rPr>
        <w:t>藁城区</w:t>
      </w:r>
      <w:r>
        <w:rPr>
          <w:rFonts w:hint="eastAsia"/>
          <w:b/>
          <w:sz w:val="44"/>
          <w:szCs w:val="44"/>
          <w:lang w:eastAsia="zh-CN"/>
        </w:rPr>
        <w:t>机构编制委员会办公室</w:t>
      </w:r>
    </w:p>
    <w:p>
      <w:pPr>
        <w:pStyle w:val="21"/>
        <w:ind w:left="360" w:firstLine="0" w:firstLineChars="0"/>
        <w:jc w:val="center"/>
        <w:rPr>
          <w:b/>
          <w:sz w:val="44"/>
          <w:szCs w:val="44"/>
        </w:rPr>
      </w:pPr>
      <w:r>
        <w:rPr>
          <w:rFonts w:hint="eastAsia"/>
          <w:b/>
          <w:sz w:val="44"/>
          <w:szCs w:val="44"/>
        </w:rPr>
        <w:t>2018年10月</w:t>
      </w:r>
      <w:r>
        <w:rPr>
          <w:rFonts w:hint="eastAsia"/>
          <w:b/>
          <w:sz w:val="44"/>
          <w:szCs w:val="44"/>
          <w:lang w:val="en-US" w:eastAsia="zh-CN"/>
        </w:rPr>
        <w:t>12</w:t>
      </w:r>
      <w:r>
        <w:rPr>
          <w:rFonts w:hint="eastAsia"/>
          <w:b/>
          <w:sz w:val="44"/>
          <w:szCs w:val="44"/>
        </w:rPr>
        <w:t>日</w:t>
      </w:r>
    </w:p>
    <w:p>
      <w:pPr>
        <w:spacing w:beforeLines="100" w:afterLines="100" w:line="360" w:lineRule="auto"/>
        <w:jc w:val="center"/>
        <w:rPr>
          <w:rFonts w:hint="eastAsia" w:cs="仿宋" w:asciiTheme="minorEastAsia" w:hAnsiTheme="minorEastAsia"/>
          <w:sz w:val="48"/>
          <w:szCs w:val="48"/>
        </w:rPr>
        <w:sectPr>
          <w:pgSz w:w="11906" w:h="16838"/>
          <w:pgMar w:top="1440" w:right="1800" w:bottom="1440" w:left="1800" w:header="851" w:footer="992" w:gutter="0"/>
          <w:cols w:space="425" w:num="1"/>
          <w:docGrid w:type="lines" w:linePitch="312" w:charSpace="0"/>
        </w:sectPr>
      </w:pPr>
    </w:p>
    <w:p>
      <w:pPr>
        <w:spacing w:beforeLines="100" w:afterLines="100" w:line="360" w:lineRule="auto"/>
        <w:jc w:val="center"/>
        <w:rPr>
          <w:rFonts w:asciiTheme="minorEastAsia" w:hAnsiTheme="minorEastAsia"/>
          <w:b/>
          <w:sz w:val="48"/>
          <w:szCs w:val="48"/>
        </w:rPr>
      </w:pPr>
      <w:r>
        <w:rPr>
          <w:rFonts w:hint="eastAsia" w:cs="仿宋" w:asciiTheme="minorEastAsia" w:hAnsiTheme="minorEastAsia"/>
          <w:sz w:val="48"/>
          <w:szCs w:val="48"/>
        </w:rPr>
        <w:t>石家庄市藁城区机构编制委员会办公室2017年部门决算公开信息</w:t>
      </w:r>
    </w:p>
    <w:p>
      <w:pPr>
        <w:pStyle w:val="2"/>
        <w:jc w:val="center"/>
        <w:rPr>
          <w:rFonts w:asciiTheme="minorEastAsia" w:hAnsiTheme="minorEastAsia"/>
        </w:rPr>
      </w:pPr>
      <w:r>
        <w:rPr>
          <w:rFonts w:hint="eastAsia" w:asciiTheme="minorEastAsia" w:hAnsiTheme="minorEastAsia"/>
        </w:rPr>
        <w:t>部门决算公开目录</w:t>
      </w:r>
    </w:p>
    <w:p>
      <w:pPr>
        <w:rPr>
          <w:rFonts w:asciiTheme="minorEastAsia" w:hAnsiTheme="minorEastAsia"/>
          <w:b/>
          <w:sz w:val="36"/>
          <w:szCs w:val="36"/>
        </w:rPr>
      </w:pPr>
      <w:r>
        <w:rPr>
          <w:rFonts w:hint="eastAsia" w:asciiTheme="minorEastAsia" w:hAnsiTheme="minorEastAsia"/>
          <w:b/>
          <w:sz w:val="36"/>
          <w:szCs w:val="36"/>
        </w:rPr>
        <w:t>第一部分 部门概况</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一、主要职责</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二、部门预算单位构成</w:t>
      </w:r>
    </w:p>
    <w:p>
      <w:pPr>
        <w:rPr>
          <w:rFonts w:asciiTheme="minorEastAsia" w:hAnsiTheme="minorEastAsia"/>
          <w:b/>
          <w:sz w:val="36"/>
          <w:szCs w:val="36"/>
        </w:rPr>
      </w:pPr>
      <w:r>
        <w:rPr>
          <w:rFonts w:hint="eastAsia" w:asciiTheme="minorEastAsia" w:hAnsiTheme="minorEastAsia"/>
          <w:b/>
          <w:sz w:val="36"/>
          <w:szCs w:val="36"/>
        </w:rPr>
        <w:t>第二部分 2017年度部门决算报表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一、收入支出决算总表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二、收入决算表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三、支出决算表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四、财政拨款收入支出决算总表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五、一般公共预算财政拨款收入支出决算表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六、一般公共预算财政拨款基本支出决算经济分类表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 政府性基金预算财政拨款收入支出决算表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 国有资本经营预算财政拨款收入支出决算表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 三公” 经费等相关信息统计表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十、政府采购情况表</w:t>
      </w:r>
    </w:p>
    <w:p>
      <w:pPr>
        <w:rPr>
          <w:rFonts w:asciiTheme="minorEastAsia" w:hAnsiTheme="minorEastAsia"/>
          <w:b/>
          <w:sz w:val="36"/>
          <w:szCs w:val="36"/>
        </w:rPr>
      </w:pPr>
      <w:r>
        <w:rPr>
          <w:rFonts w:hint="eastAsia" w:asciiTheme="minorEastAsia" w:hAnsiTheme="minorEastAsia"/>
          <w:b/>
          <w:sz w:val="36"/>
          <w:szCs w:val="36"/>
        </w:rPr>
        <w:t>第三部分 2017年度部门决算情况说明</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一、收入支出决算总体情况说明</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二、收入决算情况说明</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三、支出决算情况说明</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四、财政拨款收入支出决算总体情况说明</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 三公” 经费支出决算情况说明</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六、预算绩效管理工作开展情况说明</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七、其他重要事项的情况说明</w:t>
      </w:r>
    </w:p>
    <w:p>
      <w:pPr>
        <w:spacing w:line="360" w:lineRule="auto"/>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1、机关运行经费情况</w:t>
      </w:r>
    </w:p>
    <w:p>
      <w:pPr>
        <w:spacing w:line="360" w:lineRule="auto"/>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2、政府采购情况</w:t>
      </w:r>
    </w:p>
    <w:p>
      <w:pPr>
        <w:spacing w:line="360" w:lineRule="auto"/>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3、国有资产占用情况</w:t>
      </w:r>
    </w:p>
    <w:p>
      <w:pPr>
        <w:rPr>
          <w:rFonts w:asciiTheme="minorEastAsia" w:hAnsiTheme="minorEastAsia"/>
          <w:b/>
          <w:sz w:val="36"/>
          <w:szCs w:val="36"/>
        </w:rPr>
      </w:pPr>
      <w:r>
        <w:rPr>
          <w:rFonts w:hint="eastAsia" w:asciiTheme="minorEastAsia" w:hAnsiTheme="minorEastAsia"/>
          <w:b/>
          <w:sz w:val="36"/>
          <w:szCs w:val="36"/>
        </w:rPr>
        <w:t>第四部分 名词解释</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 财政拨款收入</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 事业收入</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 其他收入</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 用事业基金弥补收支差额</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 年初结转和结余</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 结余分配</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 年末结转和结余</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 基本支出</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 项目支出</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 基本建设支出</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 其他资本性支出</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 “ 三公” 经费</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 其他交通费用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十四、 公务用车购置</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十五、 其他交通工具购置</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十六、 机关运行经费</w:t>
      </w:r>
    </w:p>
    <w:p>
      <w:pPr>
        <w:spacing w:beforeLines="100" w:afterLines="100" w:line="360" w:lineRule="auto"/>
        <w:jc w:val="center"/>
        <w:rPr>
          <w:rFonts w:asciiTheme="minorEastAsia" w:hAnsiTheme="minorEastAsia"/>
          <w:b/>
          <w:sz w:val="44"/>
          <w:szCs w:val="44"/>
        </w:rPr>
      </w:pPr>
      <w:r>
        <w:rPr>
          <w:rFonts w:hint="eastAsia" w:asciiTheme="minorEastAsia" w:hAnsiTheme="minorEastAsia"/>
          <w:b/>
          <w:sz w:val="44"/>
          <w:szCs w:val="44"/>
        </w:rPr>
        <w:t>第一部分 部门概况</w:t>
      </w:r>
    </w:p>
    <w:p>
      <w:pPr>
        <w:rPr>
          <w:rFonts w:asciiTheme="minorEastAsia" w:hAnsiTheme="minorEastAsia"/>
          <w:b/>
          <w:sz w:val="36"/>
          <w:szCs w:val="36"/>
        </w:rPr>
      </w:pPr>
      <w:r>
        <w:rPr>
          <w:rFonts w:hint="eastAsia" w:asciiTheme="minorEastAsia" w:hAnsiTheme="minorEastAsia"/>
          <w:b/>
          <w:sz w:val="36"/>
          <w:szCs w:val="36"/>
        </w:rPr>
        <w:t>一、 部门职责</w:t>
      </w:r>
    </w:p>
    <w:p>
      <w:pPr>
        <w:ind w:firstLine="6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贯彻执行上级机构编制管理和机构改革的方针、政策和法规，研究拟订全区机构编制管理的规定和办法；管理和指导全区党政机构、人大、政协、法院、检察院、群众团体机关的机构编制工作；管理和指导全区事业单位管理体制改革和机构编制管理工作。</w:t>
      </w:r>
    </w:p>
    <w:p>
      <w:pPr>
        <w:ind w:firstLine="6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2、研究拟订区、乡镇区机构改革方案，按程序报批，并组织实施。</w:t>
      </w:r>
    </w:p>
    <w:p>
      <w:pPr>
        <w:ind w:firstLine="6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3、协调区直各部门的职能配置及其调整，协调区直各部门与乡镇区的职责分工。</w:t>
      </w:r>
    </w:p>
    <w:p>
      <w:pPr>
        <w:ind w:firstLine="6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4、审核全区行政机关和直属事业机构的主要职责、机构设置、人员编制和领导职数，审批其内设机构的调整和更名；审核或审批全区事业单位机构编制事宜。</w:t>
      </w:r>
    </w:p>
    <w:p>
      <w:pPr>
        <w:ind w:firstLine="6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负责机构编制日常管理；负责全区机构编制的总量控制、动态管理和机构编制标准化工作；负责机构编制实名制管理，负责编制使用核准工作；建立健全机构编制部门与组织、人社、财政等有关部门的配合制约机制；负责机构编制业务指导培训和统计工作。</w:t>
      </w:r>
    </w:p>
    <w:p>
      <w:pPr>
        <w:ind w:firstLine="6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6、负责全区机构编制信息管理系统、电子政务和机构编制网站的建设和管理；指导全区党政群机关、事业单位政务和公益中文域名注册管理工作。</w:t>
      </w:r>
    </w:p>
    <w:p>
      <w:pPr>
        <w:ind w:firstLine="6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7、负责对全区机关事业单位机构编制执行情况的跟踪评估和监督检查；受理违反机构编制法规、纪律的事项。</w:t>
      </w:r>
    </w:p>
    <w:p>
      <w:pPr>
        <w:ind w:firstLine="6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8、负责全区事业单位法人登记管理和监督检查工作。</w:t>
      </w:r>
    </w:p>
    <w:p>
      <w:pPr>
        <w:ind w:firstLine="6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9、承办区委、区政府和区机构编制委员会交办的其他事项。</w:t>
      </w:r>
    </w:p>
    <w:p>
      <w:pPr>
        <w:rPr>
          <w:rFonts w:asciiTheme="minorEastAsia" w:hAnsiTheme="minorEastAsia"/>
          <w:b/>
          <w:sz w:val="36"/>
          <w:szCs w:val="36"/>
        </w:rPr>
      </w:pPr>
      <w:r>
        <w:rPr>
          <w:rFonts w:hint="eastAsia" w:asciiTheme="minorEastAsia" w:hAnsiTheme="minorEastAsia"/>
          <w:b/>
          <w:sz w:val="36"/>
          <w:szCs w:val="36"/>
        </w:rPr>
        <w:t>二、部门决算单位构成</w:t>
      </w:r>
    </w:p>
    <w:tbl>
      <w:tblPr>
        <w:tblStyle w:val="11"/>
        <w:tblW w:w="90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38"/>
        <w:gridCol w:w="1610"/>
        <w:gridCol w:w="1540"/>
        <w:gridCol w:w="30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38" w:type="dxa"/>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单位名称</w:t>
            </w:r>
          </w:p>
        </w:tc>
        <w:tc>
          <w:tcPr>
            <w:tcW w:w="1610" w:type="dxa"/>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单位性质</w:t>
            </w:r>
          </w:p>
        </w:tc>
        <w:tc>
          <w:tcPr>
            <w:tcW w:w="1540" w:type="dxa"/>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单位规格</w:t>
            </w:r>
          </w:p>
        </w:tc>
        <w:tc>
          <w:tcPr>
            <w:tcW w:w="3000" w:type="dxa"/>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38" w:type="dxa"/>
            <w:vAlign w:val="center"/>
          </w:tcPr>
          <w:p>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石家庄市藁城区机构编制委员会办公室</w:t>
            </w:r>
          </w:p>
        </w:tc>
        <w:tc>
          <w:tcPr>
            <w:tcW w:w="1610" w:type="dxa"/>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行政</w:t>
            </w:r>
          </w:p>
        </w:tc>
        <w:tc>
          <w:tcPr>
            <w:tcW w:w="1540" w:type="dxa"/>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正科级</w:t>
            </w:r>
          </w:p>
        </w:tc>
        <w:tc>
          <w:tcPr>
            <w:tcW w:w="3000" w:type="dxa"/>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38" w:type="dxa"/>
            <w:vAlign w:val="center"/>
          </w:tcPr>
          <w:p>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石家庄市藁城区机构编制电子政务中心</w:t>
            </w:r>
          </w:p>
        </w:tc>
        <w:tc>
          <w:tcPr>
            <w:tcW w:w="1610" w:type="dxa"/>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事业</w:t>
            </w:r>
          </w:p>
        </w:tc>
        <w:tc>
          <w:tcPr>
            <w:tcW w:w="1540" w:type="dxa"/>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副科级</w:t>
            </w:r>
          </w:p>
        </w:tc>
        <w:tc>
          <w:tcPr>
            <w:tcW w:w="3000" w:type="dxa"/>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财政性基金基本保证</w:t>
            </w:r>
          </w:p>
        </w:tc>
      </w:tr>
    </w:tbl>
    <w:p>
      <w:pPr>
        <w:spacing w:beforeLines="100" w:afterLines="100" w:line="360" w:lineRule="auto"/>
        <w:jc w:val="center"/>
        <w:rPr>
          <w:rFonts w:asciiTheme="minorEastAsia" w:hAnsiTheme="minorEastAsia"/>
          <w:b/>
          <w:sz w:val="44"/>
          <w:szCs w:val="44"/>
        </w:rPr>
      </w:pPr>
      <w:r>
        <w:rPr>
          <w:rFonts w:hint="eastAsia" w:asciiTheme="minorEastAsia" w:hAnsiTheme="minorEastAsia"/>
          <w:b/>
          <w:sz w:val="44"/>
          <w:szCs w:val="44"/>
        </w:rPr>
        <w:t>第二部分 2017年度部门决算报表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一、收入支出决算总表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二、收入决算表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三、支出决算表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四、财政拨款收入支出决算总表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五、一般公共预算财政拨款收入支出决算表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六、一般公共预算财政拨款基本支出决算经济分类表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 政府性基金预算财政拨款收入支出决算表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 国有资本经营预算财政拨款收入支出决算表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 “ 三公” 经费等相关信息统计表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十、政府采购情况表</w:t>
      </w:r>
    </w:p>
    <w:p>
      <w:pPr>
        <w:spacing w:line="360" w:lineRule="auto"/>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（详见附表）</w:t>
      </w:r>
    </w:p>
    <w:p>
      <w:pPr>
        <w:spacing w:beforeLines="100" w:afterLines="100" w:line="360" w:lineRule="auto"/>
        <w:jc w:val="center"/>
        <w:rPr>
          <w:rFonts w:asciiTheme="minorEastAsia" w:hAnsiTheme="minorEastAsia"/>
          <w:b/>
          <w:sz w:val="44"/>
          <w:szCs w:val="44"/>
        </w:rPr>
      </w:pPr>
      <w:r>
        <w:rPr>
          <w:rFonts w:hint="eastAsia" w:asciiTheme="minorEastAsia" w:hAnsiTheme="minorEastAsia"/>
          <w:b/>
          <w:sz w:val="44"/>
          <w:szCs w:val="44"/>
        </w:rPr>
        <w:t>第三部分 2017年度部门决算情况说明</w:t>
      </w:r>
    </w:p>
    <w:p>
      <w:pPr>
        <w:rPr>
          <w:rFonts w:asciiTheme="minorEastAsia" w:hAnsiTheme="minorEastAsia"/>
          <w:b/>
          <w:sz w:val="36"/>
          <w:szCs w:val="36"/>
        </w:rPr>
      </w:pPr>
      <w:r>
        <w:rPr>
          <w:rFonts w:hint="eastAsia" w:asciiTheme="minorEastAsia" w:hAnsiTheme="minorEastAsia"/>
          <w:b/>
          <w:sz w:val="36"/>
          <w:szCs w:val="36"/>
        </w:rPr>
        <w:t>一、收入支出决算总体情况说明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2017年度年初结转和结余0万元，本年收入216.77 万元，本年支出 215.59 万元，用事业基金弥补收支差额0万元，结余分配 0 万元，年末结转和结余 1.18万元。与 2016 年度决算相比，本年收入增加101.09 万元， 增加87.38 %；本年支出增加99.91 万元，增加86.37%。收支增加的主要原因是人员增加。</w:t>
      </w:r>
    </w:p>
    <w:p>
      <w:pPr>
        <w:rPr>
          <w:rFonts w:asciiTheme="minorEastAsia" w:hAnsiTheme="minorEastAsia"/>
          <w:b/>
          <w:sz w:val="36"/>
          <w:szCs w:val="36"/>
        </w:rPr>
      </w:pPr>
      <w:r>
        <w:rPr>
          <w:rFonts w:hint="eastAsia" w:asciiTheme="minorEastAsia" w:hAnsiTheme="minorEastAsia"/>
          <w:b/>
          <w:sz w:val="36"/>
          <w:szCs w:val="36"/>
        </w:rPr>
        <w:t>二、收入决算情况说明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2017 年度收入合计 216.77 万元， 其中： 财政拨款收入216.77 万元，占 100%；事业收入 0 万元，占 0%；其他收入 0 万元，占 0%。与 2016 年度相比，收入增加101.09 万元，其中财政拨款收入增加101.09 万元，事业收入增加0 万元， 其他收入增加 0 万元。</w:t>
      </w:r>
    </w:p>
    <w:p>
      <w:pPr>
        <w:ind w:firstLine="640" w:firstLineChars="200"/>
        <w:jc w:val="center"/>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图1：收入决算结构饼状图</w:t>
      </w:r>
      <w:r>
        <w:rPr>
          <w:rFonts w:hint="eastAsia" w:ascii="仿宋_GB2312" w:hAnsi="仿宋_GB2312" w:eastAsia="仿宋_GB2312" w:cs="仿宋_GB2312"/>
          <w:color w:val="auto"/>
          <w:sz w:val="32"/>
          <w:szCs w:val="32"/>
          <w:lang w:eastAsia="zh-CN"/>
        </w:rPr>
        <w:drawing>
          <wp:inline distT="0" distB="0" distL="114300" distR="114300">
            <wp:extent cx="5080000" cy="3810000"/>
            <wp:effectExtent l="4445" t="4445" r="20955" b="14605"/>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pPr>
        <w:ind w:firstLine="640" w:firstLineChars="200"/>
        <w:jc w:val="center"/>
        <w:rPr>
          <w:rFonts w:hint="eastAsia" w:ascii="仿宋_GB2312" w:hAnsi="仿宋_GB2312" w:eastAsia="仿宋_GB2312" w:cs="仿宋_GB2312"/>
          <w:color w:val="0000FF"/>
          <w:sz w:val="32"/>
          <w:szCs w:val="32"/>
          <w:lang w:eastAsia="zh-CN"/>
        </w:rPr>
      </w:pPr>
    </w:p>
    <w:p>
      <w:pPr>
        <w:ind w:firstLine="640" w:firstLineChars="200"/>
        <w:jc w:val="center"/>
        <w:rPr>
          <w:rFonts w:hint="eastAsia" w:ascii="仿宋_GB2312" w:hAnsi="仿宋_GB2312" w:eastAsia="仿宋_GB2312" w:cs="仿宋_GB2312"/>
          <w:color w:val="0000FF"/>
          <w:sz w:val="32"/>
          <w:szCs w:val="32"/>
          <w:lang w:eastAsia="zh-CN"/>
        </w:rPr>
      </w:pPr>
    </w:p>
    <w:p>
      <w:pPr>
        <w:rPr>
          <w:rFonts w:asciiTheme="minorEastAsia" w:hAnsiTheme="minorEastAsia"/>
          <w:b/>
          <w:sz w:val="36"/>
          <w:szCs w:val="36"/>
        </w:rPr>
      </w:pPr>
      <w:r>
        <w:rPr>
          <w:rFonts w:hint="eastAsia" w:asciiTheme="minorEastAsia" w:hAnsiTheme="minorEastAsia"/>
          <w:b/>
          <w:sz w:val="36"/>
          <w:szCs w:val="36"/>
        </w:rPr>
        <w:t>三、支出决算情况说明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2017 年度支出合计 215.59 万元，其中：基本支出201.03万元，占93.25%；项目支出14.56万元，占6.75%；上缴上级支出 0 万元，占 0%。与 2016 年度相比，支出增加 99.91 万元，其中基本支出增加93.79 万元，项目支出增加6.12 万元。</w:t>
      </w:r>
    </w:p>
    <w:p>
      <w:pPr>
        <w:ind w:firstLine="640" w:firstLineChars="200"/>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图 2：支出决算结构饼状图</w:t>
      </w:r>
    </w:p>
    <w:p>
      <w:pPr>
        <w:ind w:firstLine="640" w:firstLineChars="200"/>
        <w:jc w:val="center"/>
        <w:rPr>
          <w:rFonts w:hint="eastAsia" w:ascii="仿宋_GB2312" w:hAnsi="仿宋_GB2312" w:eastAsia="仿宋_GB2312" w:cs="仿宋_GB2312"/>
          <w:sz w:val="32"/>
          <w:szCs w:val="32"/>
          <w:lang w:eastAsia="zh-CN"/>
        </w:rPr>
      </w:pPr>
    </w:p>
    <w:p>
      <w:pPr>
        <w:ind w:firstLine="640" w:firstLineChars="200"/>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drawing>
          <wp:inline distT="0" distB="0" distL="114300" distR="114300">
            <wp:extent cx="5080000" cy="3810000"/>
            <wp:effectExtent l="4445" t="4445" r="20955" b="1460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pPr>
        <w:rPr>
          <w:rFonts w:asciiTheme="minorEastAsia" w:hAnsiTheme="minorEastAsia"/>
          <w:b/>
          <w:sz w:val="36"/>
          <w:szCs w:val="36"/>
        </w:rPr>
      </w:pPr>
      <w:r>
        <w:rPr>
          <w:rFonts w:hint="eastAsia" w:asciiTheme="minorEastAsia" w:hAnsiTheme="minorEastAsia"/>
          <w:b/>
          <w:sz w:val="36"/>
          <w:szCs w:val="36"/>
        </w:rPr>
        <w:t>四、 财政拨款收入支出决算总体情况说明</w:t>
      </w:r>
    </w:p>
    <w:p>
      <w:pPr>
        <w:rPr>
          <w:rFonts w:asciiTheme="minorEastAsia" w:hAnsiTheme="minorEastAsia"/>
          <w:b/>
          <w:sz w:val="32"/>
          <w:szCs w:val="32"/>
        </w:rPr>
      </w:pPr>
      <w:r>
        <w:rPr>
          <w:rFonts w:hint="eastAsia" w:asciiTheme="minorEastAsia" w:hAnsiTheme="minorEastAsia"/>
          <w:b/>
          <w:sz w:val="32"/>
          <w:szCs w:val="32"/>
        </w:rPr>
        <w:t>（一）财政拨款收支与2016年度决算对比情况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2017 年度财政拨款收入 216.77 万元，其中：一般公共预算拨款 216.77 万元，政府性基金预算财政拨款 0万元。与 2016 年度决算相比，财政拨款收入增加 101.09 万元，其中：一般公共预算拨款收入增加 101.09 万元，政府性基金预算财政拨款增加 0 万元。</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2017 年度财政拨款支出 215.59 万元， 其中： 一般公共预算拨款支出 215.59 万元，政府性基金预算财政拨款支出0万元。与 2016年度决算相比，财政拨款支出增加 99.91 万元，其中：一般公共预算拨款支出增加 99.91 万元，政府性基金预算财政拨款支出增加 0 万元。</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2017 年度财政拨款收支比 2016 年增加的主要原因是人员经费增加。</w:t>
      </w:r>
    </w:p>
    <w:p>
      <w:pPr>
        <w:rPr>
          <w:rFonts w:asciiTheme="minorEastAsia" w:hAnsiTheme="minorEastAsia"/>
          <w:b/>
          <w:sz w:val="32"/>
          <w:szCs w:val="32"/>
        </w:rPr>
      </w:pPr>
      <w:r>
        <w:rPr>
          <w:rFonts w:hint="eastAsia" w:asciiTheme="minorEastAsia" w:hAnsiTheme="minorEastAsia"/>
          <w:b/>
          <w:sz w:val="32"/>
          <w:szCs w:val="32"/>
        </w:rPr>
        <w:t>（二）财政拨款收支与年初预算数对比情况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2017 年度，年初预算批复财政拨款收支 216.77 万元，其中：一般公共预算拨款 216.77 万元， 政府性基金预算财政拨款收支 0万元。与年初预算相比，财政拨款收入减少 14.48 万元，减少 6.26 %，其中：一般公共预算拨款减少 14.48 万元，政府性基金预算财政拨款减少 0 万元。财政拨款支出减少14.48 万元，减少 6.26%，其中：一般公共预算拨款减少14.48 万元，政府性基金预算财政拨款减少 0 万元。2017 年度财政拨款收支比年初预算减少的主要原因是人员调动。</w:t>
      </w:r>
    </w:p>
    <w:p>
      <w:pPr>
        <w:rPr>
          <w:rFonts w:asciiTheme="minorEastAsia" w:hAnsiTheme="minorEastAsia"/>
          <w:b/>
          <w:sz w:val="36"/>
          <w:szCs w:val="36"/>
        </w:rPr>
      </w:pPr>
      <w:r>
        <w:rPr>
          <w:rFonts w:hint="eastAsia" w:asciiTheme="minorEastAsia" w:hAnsiTheme="minorEastAsia"/>
          <w:b/>
          <w:sz w:val="36"/>
          <w:szCs w:val="36"/>
        </w:rPr>
        <w:t>五、 “ 三公” 经费支出决算情况说明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2017年度，我单位认真落实中央八项规定</w:t>
      </w:r>
      <w:bookmarkStart w:id="0" w:name="_GoBack"/>
      <w:bookmarkEnd w:id="0"/>
      <w:r>
        <w:rPr>
          <w:rFonts w:hint="eastAsia" w:ascii="仿宋_GB2312" w:hAnsi="仿宋_GB2312" w:eastAsia="仿宋_GB2312" w:cs="仿宋_GB2312"/>
          <w:sz w:val="32"/>
          <w:szCs w:val="32"/>
        </w:rPr>
        <w:t>精神和厉行节约要求，管理制度不断完善，“ 三公” 经费支出得到有效控制。全年“ 三公” 经费支出共计0万元，与2016年度比，总支出减少2.20万元， 减少100%； 与年初预算相比无增减。</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现将一般公共预算财政拨款“ 三公” 经费支出决算情况说明如下：</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2017年度，一般公共预算财政拨款“ 三公” 经费支出共计0万元，与2016年度对比，总支出减少2.20万元。</w:t>
      </w:r>
    </w:p>
    <w:p>
      <w:pPr>
        <w:rPr>
          <w:rFonts w:asciiTheme="minorEastAsia" w:hAnsiTheme="minorEastAsia"/>
          <w:b/>
          <w:sz w:val="32"/>
          <w:szCs w:val="32"/>
        </w:rPr>
      </w:pPr>
      <w:r>
        <w:rPr>
          <w:rFonts w:hint="eastAsia" w:asciiTheme="minorEastAsia" w:hAnsiTheme="minorEastAsia"/>
          <w:b/>
          <w:sz w:val="32"/>
          <w:szCs w:val="32"/>
        </w:rPr>
        <w:t>“ 三公” 经费支出2016年度、 2017年度对比明细表</w:t>
      </w:r>
    </w:p>
    <w:p>
      <w:pPr>
        <w:jc w:val="right"/>
        <w:rPr>
          <w:rFonts w:asciiTheme="minorEastAsia" w:hAnsiTheme="minorEastAsia"/>
          <w:sz w:val="28"/>
          <w:szCs w:val="28"/>
        </w:rPr>
      </w:pPr>
      <w:r>
        <w:rPr>
          <w:rFonts w:hint="eastAsia" w:asciiTheme="minorEastAsia" w:hAnsiTheme="minorEastAsia"/>
          <w:sz w:val="28"/>
          <w:szCs w:val="28"/>
        </w:rPr>
        <w:t>单位：万元</w:t>
      </w:r>
    </w:p>
    <w:tbl>
      <w:tblPr>
        <w:tblStyle w:val="11"/>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 三公” 经费</w:t>
            </w:r>
          </w:p>
        </w:tc>
        <w:tc>
          <w:tcPr>
            <w:tcW w:w="2131" w:type="dxa"/>
            <w:vAlign w:val="center"/>
          </w:tcPr>
          <w:p>
            <w:pPr>
              <w:jc w:val="center"/>
              <w:rPr>
                <w:rFonts w:asciiTheme="minorEastAsia" w:hAnsiTheme="minorEastAsia"/>
                <w:b/>
                <w:sz w:val="24"/>
                <w:szCs w:val="24"/>
              </w:rPr>
            </w:pPr>
            <w:r>
              <w:rPr>
                <w:rFonts w:hint="eastAsia" w:asciiTheme="minorEastAsia" w:hAnsiTheme="minorEastAsia"/>
                <w:sz w:val="24"/>
                <w:szCs w:val="24"/>
              </w:rPr>
              <w:t>2016年支出</w:t>
            </w:r>
          </w:p>
        </w:tc>
        <w:tc>
          <w:tcPr>
            <w:tcW w:w="2130" w:type="dxa"/>
            <w:vAlign w:val="center"/>
          </w:tcPr>
          <w:p>
            <w:pPr>
              <w:jc w:val="center"/>
              <w:rPr>
                <w:rFonts w:asciiTheme="minorEastAsia" w:hAnsiTheme="minorEastAsia"/>
                <w:b/>
                <w:sz w:val="24"/>
                <w:szCs w:val="24"/>
              </w:rPr>
            </w:pPr>
            <w:r>
              <w:rPr>
                <w:rFonts w:hint="eastAsia" w:asciiTheme="minorEastAsia" w:hAnsiTheme="minorEastAsia"/>
                <w:sz w:val="24"/>
                <w:szCs w:val="24"/>
              </w:rPr>
              <w:t>2017年支出</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2017年与2016年对比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因公出国（境）支出</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公务用车运行维护费</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2.20</w:t>
            </w:r>
          </w:p>
        </w:tc>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c>
          <w:tcPr>
            <w:tcW w:w="2131" w:type="dxa"/>
            <w:vAlign w:val="center"/>
          </w:tcPr>
          <w:p>
            <w:pPr>
              <w:jc w:val="center"/>
              <w:rPr>
                <w:rFonts w:asciiTheme="minorEastAsia" w:hAnsiTheme="minorEastAsia"/>
                <w:sz w:val="24"/>
                <w:szCs w:val="24"/>
              </w:rPr>
            </w:pPr>
            <w:r>
              <w:rPr>
                <w:rFonts w:asciiTheme="minorEastAsia" w:hAnsiTheme="minorEastAsia"/>
                <w:sz w:val="24"/>
                <w:szCs w:val="24"/>
              </w:rPr>
              <w:t>-</w:t>
            </w:r>
            <w:r>
              <w:rPr>
                <w:rFonts w:hint="eastAsia" w:asciiTheme="minorEastAsia" w:hAnsiTheme="minorEastAsia"/>
                <w:sz w:val="24"/>
                <w:szCs w:val="24"/>
              </w:rPr>
              <w:t>2.20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公务接待费</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合计</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2.20</w:t>
            </w:r>
          </w:p>
        </w:tc>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-2.20</w:t>
            </w:r>
          </w:p>
        </w:tc>
      </w:tr>
    </w:tbl>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2017年度， 一般公共预算财政拨款“ 三公” 经费实际支出，与预算对比无增减。</w:t>
      </w:r>
    </w:p>
    <w:p>
      <w:pPr>
        <w:rPr>
          <w:rFonts w:asciiTheme="minorEastAsia" w:hAnsiTheme="minorEastAsia"/>
          <w:b/>
          <w:sz w:val="32"/>
          <w:szCs w:val="32"/>
        </w:rPr>
      </w:pPr>
      <w:r>
        <w:rPr>
          <w:rFonts w:hint="eastAsia" w:asciiTheme="minorEastAsia" w:hAnsiTheme="minorEastAsia"/>
          <w:b/>
          <w:sz w:val="32"/>
          <w:szCs w:val="32"/>
        </w:rPr>
        <w:t>2017年度“ 三公” 经费支出预决算对比明细表</w:t>
      </w:r>
    </w:p>
    <w:p>
      <w:pPr>
        <w:jc w:val="right"/>
        <w:rPr>
          <w:rFonts w:asciiTheme="minorEastAsia" w:hAnsiTheme="minorEastAsia"/>
          <w:sz w:val="28"/>
          <w:szCs w:val="28"/>
        </w:rPr>
      </w:pPr>
      <w:r>
        <w:rPr>
          <w:rFonts w:hint="eastAsia" w:asciiTheme="minorEastAsia" w:hAnsiTheme="minorEastAsia"/>
          <w:sz w:val="28"/>
          <w:szCs w:val="28"/>
        </w:rPr>
        <w:t>单位：万元</w:t>
      </w:r>
    </w:p>
    <w:tbl>
      <w:tblPr>
        <w:tblStyle w:val="11"/>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 三公” 经费</w:t>
            </w:r>
          </w:p>
        </w:tc>
        <w:tc>
          <w:tcPr>
            <w:tcW w:w="2131" w:type="dxa"/>
            <w:vAlign w:val="center"/>
          </w:tcPr>
          <w:p>
            <w:pPr>
              <w:jc w:val="center"/>
              <w:rPr>
                <w:rFonts w:asciiTheme="minorEastAsia" w:hAnsiTheme="minorEastAsia"/>
                <w:b/>
                <w:sz w:val="24"/>
                <w:szCs w:val="24"/>
              </w:rPr>
            </w:pPr>
            <w:r>
              <w:rPr>
                <w:rFonts w:hint="eastAsia" w:asciiTheme="minorEastAsia" w:hAnsiTheme="minorEastAsia"/>
                <w:sz w:val="24"/>
                <w:szCs w:val="24"/>
              </w:rPr>
              <w:t>2017年实际支出</w:t>
            </w:r>
          </w:p>
        </w:tc>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2017年预算</w:t>
            </w:r>
          </w:p>
        </w:tc>
        <w:tc>
          <w:tcPr>
            <w:tcW w:w="2131" w:type="dxa"/>
            <w:vAlign w:val="center"/>
          </w:tcPr>
          <w:p>
            <w:pPr>
              <w:jc w:val="center"/>
              <w:rPr>
                <w:rFonts w:asciiTheme="minorEastAsia" w:hAnsiTheme="minorEastAsia"/>
                <w:b/>
                <w:sz w:val="24"/>
                <w:szCs w:val="24"/>
              </w:rPr>
            </w:pPr>
            <w:r>
              <w:rPr>
                <w:rFonts w:hint="eastAsia" w:asciiTheme="minorEastAsia" w:hAnsiTheme="minorEastAsia"/>
                <w:sz w:val="24"/>
                <w:szCs w:val="24"/>
              </w:rPr>
              <w:t>预决算对比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因公出国（境）支出</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公务用车运行维护费</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公务接待费</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合计</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r>
    </w:tbl>
    <w:p>
      <w:pPr>
        <w:ind w:firstLine="643" w:firstLineChars="200"/>
        <w:rPr>
          <w:rFonts w:asciiTheme="minorEastAsia" w:hAnsiTheme="minorEastAsia"/>
          <w:sz w:val="32"/>
          <w:szCs w:val="32"/>
        </w:rPr>
      </w:pPr>
      <w:r>
        <w:rPr>
          <w:rFonts w:hint="eastAsia" w:asciiTheme="minorEastAsia" w:hAnsiTheme="minorEastAsia"/>
          <w:b/>
          <w:sz w:val="32"/>
          <w:szCs w:val="32"/>
        </w:rPr>
        <w:t>（一）因公出国（ 境）支出0万元。</w:t>
      </w:r>
      <w:r>
        <w:rPr>
          <w:rFonts w:hint="eastAsia" w:asciiTheme="minorEastAsia" w:hAnsiTheme="minorEastAsia"/>
          <w:sz w:val="28"/>
          <w:szCs w:val="28"/>
        </w:rPr>
        <w:t xml:space="preserve"> </w:t>
      </w:r>
      <w:r>
        <w:rPr>
          <w:rFonts w:hint="eastAsia" w:ascii="仿宋_GB2312" w:hAnsi="仿宋_GB2312" w:eastAsia="仿宋_GB2312" w:cs="仿宋_GB2312"/>
          <w:sz w:val="32"/>
          <w:szCs w:val="32"/>
        </w:rPr>
        <w:t>本年度我办因公出国（境）团组数0个，参加其他单位组织的因公出国（境）团组0个，因公出国（境）人数0人。因公出国（境）支出较年初预算相比无增减；较2016年相比无增减。</w:t>
      </w:r>
    </w:p>
    <w:p>
      <w:pPr>
        <w:ind w:firstLine="643" w:firstLineChars="200"/>
        <w:rPr>
          <w:rFonts w:hint="eastAsia" w:ascii="仿宋_GB2312" w:hAnsi="仿宋_GB2312" w:eastAsia="仿宋_GB2312" w:cs="仿宋_GB2312"/>
          <w:sz w:val="32"/>
          <w:szCs w:val="32"/>
        </w:rPr>
      </w:pPr>
      <w:r>
        <w:rPr>
          <w:rFonts w:hint="eastAsia" w:asciiTheme="minorEastAsia" w:hAnsiTheme="minorEastAsia"/>
          <w:b/>
          <w:sz w:val="32"/>
          <w:szCs w:val="32"/>
        </w:rPr>
        <w:t>（二）公务用车运行维护费支出0万元。</w:t>
      </w:r>
      <w:r>
        <w:rPr>
          <w:rFonts w:hint="eastAsia" w:asciiTheme="minorEastAsia" w:hAnsiTheme="minorEastAsia"/>
        </w:rPr>
        <w:t xml:space="preserve"> </w:t>
      </w:r>
      <w:r>
        <w:rPr>
          <w:rFonts w:hint="eastAsia" w:ascii="仿宋_GB2312" w:hAnsi="仿宋_GB2312" w:eastAsia="仿宋_GB2312" w:cs="仿宋_GB2312"/>
          <w:sz w:val="32"/>
          <w:szCs w:val="32"/>
        </w:rPr>
        <w:t>本年度我办公务用车保有量0辆。与2016年度相比，公务用车运行维护费减少2.20万元，减少100%；与年初预算相比无增减。主要原因：我办2017年度公务用车保有量为0，未发生公务用车运行维护费，较年初预算无增减变化。</w:t>
      </w:r>
    </w:p>
    <w:p>
      <w:pPr>
        <w:ind w:firstLine="643" w:firstLineChars="200"/>
        <w:rPr>
          <w:rFonts w:asciiTheme="minorEastAsia" w:hAnsiTheme="minorEastAsia"/>
          <w:sz w:val="32"/>
          <w:szCs w:val="32"/>
        </w:rPr>
      </w:pPr>
      <w:r>
        <w:rPr>
          <w:rFonts w:hint="eastAsia" w:asciiTheme="minorEastAsia" w:hAnsiTheme="minorEastAsia"/>
          <w:b/>
          <w:sz w:val="32"/>
          <w:szCs w:val="32"/>
        </w:rPr>
        <w:t>（三）公务接待费支出0万元。</w:t>
      </w:r>
      <w:r>
        <w:rPr>
          <w:rFonts w:hint="eastAsia" w:ascii="仿宋_GB2312" w:hAnsi="仿宋_GB2312" w:eastAsia="仿宋_GB2312" w:cs="仿宋_GB2312"/>
          <w:sz w:val="32"/>
          <w:szCs w:val="32"/>
        </w:rPr>
        <w:t>本年度公务接待共0批次，0人次，较2016年决算和年初预算无增减变化。</w:t>
      </w:r>
    </w:p>
    <w:p>
      <w:pPr>
        <w:pStyle w:val="3"/>
        <w:spacing w:before="0" w:after="0" w:line="500" w:lineRule="exact"/>
        <w:ind w:firstLine="643" w:firstLineChars="200"/>
        <w:rPr>
          <w:rFonts w:ascii="黑体" w:eastAsia="黑体" w:cs="Times New Roman"/>
          <w:color w:val="auto"/>
          <w:shd w:val="clear" w:color="auto" w:fill="auto"/>
        </w:rPr>
      </w:pPr>
      <w:r>
        <w:rPr>
          <w:rFonts w:hint="eastAsia" w:ascii="黑体" w:eastAsia="黑体" w:cs="Times New Roman"/>
          <w:color w:val="auto"/>
          <w:shd w:val="clear" w:color="auto" w:fill="auto"/>
        </w:rPr>
        <w:t>六、绩效预算</w:t>
      </w:r>
      <w:r>
        <w:rPr>
          <w:rFonts w:hint="eastAsia" w:ascii="黑体" w:eastAsia="黑体" w:cs="黑体" w:hAnsiTheme="minorHAnsi"/>
          <w:color w:val="auto"/>
          <w:kern w:val="0"/>
          <w:shd w:val="clear" w:color="auto" w:fill="auto"/>
        </w:rPr>
        <w:t>管理</w:t>
      </w:r>
      <w:r>
        <w:rPr>
          <w:rFonts w:hint="eastAsia" w:ascii="黑体" w:eastAsia="黑体" w:cs="Times New Roman"/>
          <w:color w:val="auto"/>
          <w:shd w:val="clear" w:color="auto" w:fill="auto"/>
        </w:rPr>
        <w:t>工作开展情况说明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（一）绩效管理工作开展情况</w:t>
      </w:r>
    </w:p>
    <w:p>
      <w:pPr>
        <w:ind w:firstLine="640" w:firstLineChars="200"/>
        <w:rPr>
          <w:rFonts w:hint="eastAsia" w:ascii="仿宋_GB2312" w:eastAsia="仿宋_GB2312" w:cs="DengXian-Regular"/>
          <w:color w:val="FF0000"/>
          <w:sz w:val="32"/>
          <w:szCs w:val="32"/>
          <w:shd w:val="pct10" w:color="auto" w:fill="FFFFFF"/>
        </w:rPr>
      </w:pPr>
      <w:r>
        <w:rPr>
          <w:rFonts w:hint="eastAsia" w:ascii="仿宋_GB2312" w:hAnsi="仿宋_GB2312" w:eastAsia="仿宋_GB2312" w:cs="仿宋_GB2312"/>
          <w:sz w:val="32"/>
          <w:szCs w:val="32"/>
        </w:rPr>
        <w:t>2017年，根据</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政府推进绩效预算管理工作的要求，本单位认真开展了预算绩效管理改革开展情况自查，对部门全面规范绩效预算编制、严格预算执行管理、推进绩效评价工作、推进预决算信息公开等方面进行了自评，自评总体情况良好</w:t>
      </w:r>
      <w:r>
        <w:rPr>
          <w:rFonts w:hint="eastAsia" w:ascii="仿宋_GB2312" w:hAnsi="仿宋_GB2312" w:eastAsia="仿宋_GB2312" w:cs="仿宋_GB2312"/>
          <w:sz w:val="32"/>
          <w:szCs w:val="32"/>
          <w:lang w:eastAsia="zh-CN"/>
        </w:rPr>
        <w:t>。</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）预算项目绩效评价开展情况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根据预算绩效管理要求，本单位组织对2017年度一般公共预算项目支出全面开展绩效自评，涉及</w:t>
      </w:r>
      <w:r>
        <w:rPr>
          <w:rFonts w:hint="eastAsia" w:ascii="仿宋_GB2312" w:hAnsi="仿宋_GB2312" w:eastAsia="仿宋_GB2312" w:cs="仿宋_GB2312"/>
          <w:sz w:val="32"/>
          <w:szCs w:val="32"/>
          <w:lang w:eastAsia="zh-CN"/>
        </w:rPr>
        <w:t>事业单位分类改革、行政审批制度改革、实名制核查工作、事业单位登记管理、中文域名工作</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个项目，涉及资金</w:t>
      </w:r>
      <w:r>
        <w:rPr>
          <w:rFonts w:hint="eastAsia" w:ascii="仿宋_GB2312" w:hAnsi="仿宋_GB2312" w:eastAsia="仿宋_GB2312" w:cs="仿宋_GB2312"/>
          <w:sz w:val="32"/>
          <w:szCs w:val="32"/>
          <w:lang w:val="en-US" w:eastAsia="zh-CN"/>
        </w:rPr>
        <w:t>14.8</w:t>
      </w:r>
      <w:r>
        <w:rPr>
          <w:rFonts w:hint="eastAsia" w:ascii="仿宋_GB2312" w:hAnsi="仿宋_GB2312" w:eastAsia="仿宋_GB2312" w:cs="仿宋_GB2312"/>
          <w:sz w:val="32"/>
          <w:szCs w:val="32"/>
        </w:rPr>
        <w:t>万元。从评价情况看，评价结果</w:t>
      </w:r>
      <w:r>
        <w:rPr>
          <w:rFonts w:hint="eastAsia" w:ascii="仿宋_GB2312" w:hAnsi="仿宋_GB2312" w:eastAsia="仿宋_GB2312" w:cs="仿宋_GB2312"/>
          <w:sz w:val="32"/>
          <w:szCs w:val="32"/>
          <w:lang w:eastAsia="zh-CN"/>
        </w:rPr>
        <w:t>均为良好</w:t>
      </w:r>
      <w:r>
        <w:rPr>
          <w:rFonts w:hint="eastAsia" w:ascii="仿宋_GB2312" w:hAnsi="仿宋_GB2312" w:eastAsia="仿宋_GB2312" w:cs="仿宋_GB2312"/>
          <w:sz w:val="32"/>
          <w:szCs w:val="32"/>
        </w:rPr>
        <w:t>。</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（三）预算项目绩效自评选例</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本单位中文域名工作项目绩效自评：根据年初设定的绩效目标，中文域名工作项目绩效自评结果为良好。项目全年预算数为</w:t>
      </w:r>
      <w:r>
        <w:rPr>
          <w:rFonts w:hint="eastAsia" w:ascii="仿宋_GB2312" w:hAnsi="仿宋_GB2312" w:eastAsia="仿宋_GB2312" w:cs="仿宋_GB2312"/>
          <w:sz w:val="32"/>
          <w:szCs w:val="32"/>
          <w:lang w:val="en-US" w:eastAsia="zh-CN"/>
        </w:rPr>
        <w:t>10.8</w:t>
      </w:r>
      <w:r>
        <w:rPr>
          <w:rFonts w:hint="eastAsia" w:ascii="仿宋_GB2312" w:hAnsi="仿宋_GB2312" w:eastAsia="仿宋_GB2312" w:cs="仿宋_GB2312"/>
          <w:sz w:val="32"/>
          <w:szCs w:val="32"/>
          <w:lang w:eastAsia="zh-CN"/>
        </w:rPr>
        <w:t>万元，执行数为</w:t>
      </w:r>
      <w:r>
        <w:rPr>
          <w:rFonts w:hint="eastAsia" w:ascii="仿宋_GB2312" w:hAnsi="仿宋_GB2312" w:eastAsia="仿宋_GB2312" w:cs="仿宋_GB2312"/>
          <w:sz w:val="32"/>
          <w:szCs w:val="32"/>
          <w:lang w:val="en-US" w:eastAsia="zh-CN"/>
        </w:rPr>
        <w:t>10.8</w:t>
      </w:r>
      <w:r>
        <w:rPr>
          <w:rFonts w:hint="eastAsia" w:ascii="仿宋_GB2312" w:hAnsi="仿宋_GB2312" w:eastAsia="仿宋_GB2312" w:cs="仿宋_GB2312"/>
          <w:sz w:val="32"/>
          <w:szCs w:val="32"/>
          <w:lang w:eastAsia="zh-CN"/>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lang w:eastAsia="zh-CN"/>
        </w:rPr>
        <w:t>%。主要产出和效果是圆满完成政务和公益中文域名续费工作、党政机关和事业单位等网上名称管理工作，实现中文域名注册率100%、中文域名挂标率100%。</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今后我单位将不断强化依法理财、科学理财的意识，以绩效为导向，预算支出管理较为规范，按照有关规章制度开展工作；支出项目立项规范，资金到位及时，资金使用较合理规范，实现部门职责绩效目标。</w:t>
      </w:r>
    </w:p>
    <w:p>
      <w:pPr>
        <w:rPr>
          <w:rFonts w:asciiTheme="minorEastAsia" w:hAnsiTheme="minorEastAsia"/>
          <w:b/>
          <w:sz w:val="36"/>
          <w:szCs w:val="36"/>
        </w:rPr>
      </w:pPr>
      <w:r>
        <w:rPr>
          <w:rFonts w:hint="eastAsia" w:asciiTheme="minorEastAsia" w:hAnsiTheme="minorEastAsia"/>
          <w:b/>
          <w:sz w:val="36"/>
          <w:szCs w:val="36"/>
        </w:rPr>
        <w:t>七、 其他重要事项的说明</w:t>
      </w:r>
    </w:p>
    <w:p>
      <w:pPr>
        <w:ind w:firstLine="643" w:firstLineChars="200"/>
        <w:rPr>
          <w:rFonts w:cs="仿宋" w:asciiTheme="minorEastAsia" w:hAnsiTheme="minorEastAsia"/>
          <w:b/>
          <w:bCs/>
          <w:sz w:val="32"/>
          <w:szCs w:val="32"/>
        </w:rPr>
      </w:pPr>
      <w:r>
        <w:rPr>
          <w:rFonts w:hint="eastAsia" w:cs="仿宋" w:asciiTheme="minorEastAsia" w:hAnsiTheme="minorEastAsia"/>
          <w:b/>
          <w:bCs/>
          <w:sz w:val="32"/>
          <w:szCs w:val="32"/>
        </w:rPr>
        <w:t>1、机关运转经费支出情况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2017年本部门机关运行经费7.78万元，比2016年度增加2.34万元，增加43.01%。主要原因是人员增加。</w:t>
      </w:r>
    </w:p>
    <w:p>
      <w:pPr>
        <w:ind w:firstLine="643" w:firstLineChars="200"/>
        <w:rPr>
          <w:rFonts w:cs="仿宋" w:asciiTheme="minorEastAsia" w:hAnsiTheme="minorEastAsia"/>
          <w:b/>
          <w:bCs/>
          <w:sz w:val="32"/>
          <w:szCs w:val="32"/>
        </w:rPr>
      </w:pPr>
      <w:r>
        <w:rPr>
          <w:rFonts w:hint="eastAsia" w:cs="仿宋" w:asciiTheme="minorEastAsia" w:hAnsiTheme="minorEastAsia"/>
          <w:b/>
          <w:bCs/>
          <w:sz w:val="32"/>
          <w:szCs w:val="32"/>
        </w:rPr>
        <w:t>2、政府采购情况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2017年本部门政府采购支出总额0万元，其中：政府采购货物支出0万元、政府采购工程支出0万元、 政府采购服务支出0万元。</w:t>
      </w:r>
    </w:p>
    <w:p>
      <w:pPr>
        <w:ind w:firstLine="643" w:firstLineChars="200"/>
        <w:rPr>
          <w:rFonts w:cs="仿宋" w:asciiTheme="minorEastAsia" w:hAnsiTheme="minorEastAsia"/>
          <w:b/>
          <w:bCs/>
          <w:sz w:val="32"/>
          <w:szCs w:val="32"/>
        </w:rPr>
      </w:pPr>
      <w:r>
        <w:rPr>
          <w:rFonts w:hint="eastAsia" w:cs="仿宋" w:asciiTheme="minorEastAsia" w:hAnsiTheme="minorEastAsia"/>
          <w:b/>
          <w:bCs/>
          <w:sz w:val="32"/>
          <w:szCs w:val="32"/>
        </w:rPr>
        <w:t>3、国有资产占用情况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截至 2017年 12 月 31日，本部门共有车辆 0 辆，其中，一般公务用车 0 辆，其他车辆0辆，；单位价值50万元以上大型设备0（套），单位价值100万元以上大型设备0台（套）。</w:t>
      </w:r>
    </w:p>
    <w:p>
      <w:pPr>
        <w:spacing w:beforeLines="100" w:afterLines="100" w:line="360" w:lineRule="auto"/>
        <w:jc w:val="center"/>
        <w:rPr>
          <w:rFonts w:asciiTheme="minorEastAsia" w:hAnsiTheme="minorEastAsia"/>
          <w:b/>
          <w:sz w:val="44"/>
          <w:szCs w:val="44"/>
        </w:rPr>
      </w:pPr>
      <w:r>
        <w:rPr>
          <w:rFonts w:hint="eastAsia" w:asciiTheme="minorEastAsia" w:hAnsiTheme="minorEastAsia"/>
          <w:b/>
          <w:sz w:val="44"/>
          <w:szCs w:val="44"/>
        </w:rPr>
        <w:t>第四部分 名词解释</w:t>
      </w:r>
    </w:p>
    <w:p>
      <w:pPr>
        <w:rPr>
          <w:rFonts w:asciiTheme="minorEastAsia" w:hAnsiTheme="minorEastAsia"/>
          <w:b/>
          <w:sz w:val="36"/>
          <w:szCs w:val="36"/>
        </w:rPr>
      </w:pPr>
      <w:r>
        <w:rPr>
          <w:rFonts w:hint="eastAsia" w:asciiTheme="minorEastAsia" w:hAnsiTheme="minorEastAsia"/>
          <w:b/>
          <w:sz w:val="36"/>
          <w:szCs w:val="36"/>
        </w:rPr>
        <w:t>一、 财政拨款收入</w:t>
      </w:r>
    </w:p>
    <w:p>
      <w:pPr>
        <w:ind w:firstLine="640" w:firstLineChars="200"/>
        <w:rPr>
          <w:rFonts w:cs="仿宋" w:asciiTheme="minorEastAsia" w:hAnsiTheme="minorEastAsia"/>
          <w:sz w:val="32"/>
          <w:szCs w:val="32"/>
        </w:rPr>
      </w:pPr>
      <w:r>
        <w:rPr>
          <w:rFonts w:hint="eastAsia" w:ascii="仿宋_GB2312" w:hAnsi="仿宋_GB2312" w:eastAsia="仿宋_GB2312" w:cs="仿宋_GB2312"/>
          <w:sz w:val="32"/>
          <w:szCs w:val="32"/>
        </w:rPr>
        <w:t>本年度从本级财政部门取得的财政拨款，包括一般公共预算财政拨款和政府性基金预算财政拨款。</w:t>
      </w:r>
    </w:p>
    <w:p>
      <w:pPr>
        <w:rPr>
          <w:rFonts w:asciiTheme="minorEastAsia" w:hAnsiTheme="minorEastAsia"/>
          <w:b/>
          <w:sz w:val="36"/>
          <w:szCs w:val="36"/>
        </w:rPr>
      </w:pPr>
      <w:r>
        <w:rPr>
          <w:rFonts w:hint="eastAsia" w:asciiTheme="minorEastAsia" w:hAnsiTheme="minorEastAsia"/>
          <w:b/>
          <w:sz w:val="36"/>
          <w:szCs w:val="36"/>
        </w:rPr>
        <w:t>二、 事业收入</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指事业单位开展专业业务活动及辅助活动所取得的收入。</w:t>
      </w:r>
    </w:p>
    <w:p>
      <w:pPr>
        <w:rPr>
          <w:rFonts w:asciiTheme="minorEastAsia" w:hAnsiTheme="minorEastAsia"/>
          <w:b/>
          <w:sz w:val="36"/>
          <w:szCs w:val="36"/>
        </w:rPr>
      </w:pPr>
      <w:r>
        <w:rPr>
          <w:rFonts w:hint="eastAsia" w:asciiTheme="minorEastAsia" w:hAnsiTheme="minorEastAsia"/>
          <w:b/>
          <w:sz w:val="36"/>
          <w:szCs w:val="36"/>
        </w:rPr>
        <w:t>三、 其他收入</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指除上述“ 财政拨款收入” 、 “ 事业收入” 、 “ 经营收入” 等以外的收入。</w:t>
      </w:r>
    </w:p>
    <w:p>
      <w:pPr>
        <w:rPr>
          <w:rFonts w:asciiTheme="minorEastAsia" w:hAnsiTheme="minorEastAsia"/>
          <w:b/>
          <w:sz w:val="36"/>
          <w:szCs w:val="36"/>
        </w:rPr>
      </w:pPr>
      <w:r>
        <w:rPr>
          <w:rFonts w:hint="eastAsia" w:asciiTheme="minorEastAsia" w:hAnsiTheme="minorEastAsia"/>
          <w:b/>
          <w:sz w:val="36"/>
          <w:szCs w:val="36"/>
        </w:rPr>
        <w:t>四、 用事业基金弥补收支差额</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指事业单位在用当年的“ 财政拨款收入” 、 “ 财政拨款结转和结余资金” 、 “ 事业收入” 、 “ 经营收入” 、 “ 其他收入” 不足以安排当年支出的情况下，使用以前年度积累的事业基金（事业单位当年收支相抵后按国家规定提取、用于弥补以后年度收支差额的基金）弥补本年度收支缺口的资金。</w:t>
      </w:r>
    </w:p>
    <w:p>
      <w:pPr>
        <w:rPr>
          <w:rFonts w:asciiTheme="minorEastAsia" w:hAnsiTheme="minorEastAsia"/>
          <w:b/>
          <w:sz w:val="36"/>
          <w:szCs w:val="36"/>
        </w:rPr>
      </w:pPr>
      <w:r>
        <w:rPr>
          <w:rFonts w:hint="eastAsia" w:asciiTheme="minorEastAsia" w:hAnsiTheme="minorEastAsia"/>
          <w:b/>
          <w:sz w:val="36"/>
          <w:szCs w:val="36"/>
        </w:rPr>
        <w:t>五、 年初结转和结余</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指以前年度尚未完成、结转到本年仍按原规定用途继续使用的资金，或项目已完成等产生的结余资金。</w:t>
      </w:r>
    </w:p>
    <w:p>
      <w:pPr>
        <w:rPr>
          <w:rFonts w:asciiTheme="minorEastAsia" w:hAnsiTheme="minorEastAsia"/>
          <w:b/>
          <w:sz w:val="36"/>
          <w:szCs w:val="36"/>
        </w:rPr>
      </w:pPr>
      <w:r>
        <w:rPr>
          <w:rFonts w:hint="eastAsia" w:asciiTheme="minorEastAsia" w:hAnsiTheme="minorEastAsia"/>
          <w:b/>
          <w:sz w:val="36"/>
          <w:szCs w:val="36"/>
        </w:rPr>
        <w:t>六、 结余分配</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指事业单位按照事业单位会计制度的规定从非财政补助结余中分配的事业基金和职工福利基金等。</w:t>
      </w:r>
    </w:p>
    <w:p>
      <w:pPr>
        <w:rPr>
          <w:rFonts w:asciiTheme="minorEastAsia" w:hAnsiTheme="minorEastAsia"/>
          <w:b/>
          <w:sz w:val="36"/>
          <w:szCs w:val="36"/>
        </w:rPr>
      </w:pPr>
      <w:r>
        <w:rPr>
          <w:rFonts w:hint="eastAsia" w:asciiTheme="minorEastAsia" w:hAnsiTheme="minorEastAsia"/>
          <w:b/>
          <w:sz w:val="36"/>
          <w:szCs w:val="36"/>
        </w:rPr>
        <w:t>七、 年末结转和结余</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指单位按有关规定结转到下年或以后年度继续使用的资金，或项目已完成等产生的结余资金。</w:t>
      </w:r>
    </w:p>
    <w:p>
      <w:pPr>
        <w:rPr>
          <w:rFonts w:asciiTheme="minorEastAsia" w:hAnsiTheme="minorEastAsia"/>
          <w:b/>
          <w:sz w:val="36"/>
          <w:szCs w:val="36"/>
        </w:rPr>
      </w:pPr>
      <w:r>
        <w:rPr>
          <w:rFonts w:hint="eastAsia" w:asciiTheme="minorEastAsia" w:hAnsiTheme="minorEastAsia"/>
          <w:b/>
          <w:sz w:val="36"/>
          <w:szCs w:val="36"/>
        </w:rPr>
        <w:t>八、 基本支出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指单位为保障机构正常运转、完成日常工作任务而发生的各项支出。</w:t>
      </w:r>
    </w:p>
    <w:p>
      <w:pPr>
        <w:rPr>
          <w:rFonts w:asciiTheme="minorEastAsia" w:hAnsiTheme="minorEastAsia"/>
          <w:b/>
          <w:sz w:val="36"/>
          <w:szCs w:val="36"/>
        </w:rPr>
      </w:pPr>
      <w:r>
        <w:rPr>
          <w:rFonts w:hint="eastAsia" w:asciiTheme="minorEastAsia" w:hAnsiTheme="minorEastAsia"/>
          <w:b/>
          <w:sz w:val="36"/>
          <w:szCs w:val="36"/>
        </w:rPr>
        <w:t>九、 项目支出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指单位为完成特定的行政工作任务或事业发展目标，在基本支出之外发生的各项支出。</w:t>
      </w:r>
    </w:p>
    <w:p>
      <w:pPr>
        <w:rPr>
          <w:rFonts w:asciiTheme="minorEastAsia" w:hAnsiTheme="minorEastAsia"/>
          <w:b/>
          <w:sz w:val="36"/>
          <w:szCs w:val="36"/>
        </w:rPr>
      </w:pPr>
      <w:r>
        <w:rPr>
          <w:rFonts w:hint="eastAsia" w:asciiTheme="minorEastAsia" w:hAnsiTheme="minorEastAsia"/>
          <w:b/>
          <w:sz w:val="36"/>
          <w:szCs w:val="36"/>
        </w:rPr>
        <w:t>十、 基本建设支出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rPr>
          <w:rFonts w:asciiTheme="minorEastAsia" w:hAnsiTheme="minorEastAsia"/>
          <w:b/>
          <w:sz w:val="36"/>
          <w:szCs w:val="36"/>
        </w:rPr>
      </w:pPr>
      <w:r>
        <w:rPr>
          <w:rFonts w:hint="eastAsia" w:asciiTheme="minorEastAsia" w:hAnsiTheme="minorEastAsia"/>
          <w:b/>
          <w:sz w:val="36"/>
          <w:szCs w:val="36"/>
        </w:rPr>
        <w:t>十一、 其他资本性支出</w:t>
      </w:r>
    </w:p>
    <w:p>
      <w:pPr>
        <w:ind w:firstLine="640" w:firstLineChars="200"/>
        <w:rPr>
          <w:rFonts w:cs="仿宋" w:asciiTheme="minorEastAsia" w:hAnsiTheme="minorEastAsia"/>
          <w:sz w:val="32"/>
          <w:szCs w:val="32"/>
        </w:rPr>
      </w:pPr>
      <w:r>
        <w:rPr>
          <w:rFonts w:hint="eastAsia" w:ascii="仿宋_GB2312" w:hAnsi="仿宋_GB2312" w:eastAsia="仿宋_GB2312" w:cs="仿宋_GB2312"/>
          <w:sz w:val="32"/>
          <w:szCs w:val="32"/>
        </w:rPr>
        <w:t>由各级非发展与改革部门集中安排的用于购置固定资产、战备性和应急性储备、土地和无形资产，以及购建基础设施、大型修缮和财政支持企业更新改造所发生的支出。</w:t>
      </w:r>
    </w:p>
    <w:p>
      <w:pPr>
        <w:rPr>
          <w:rFonts w:asciiTheme="minorEastAsia" w:hAnsiTheme="minorEastAsia"/>
          <w:b/>
          <w:sz w:val="36"/>
          <w:szCs w:val="36"/>
        </w:rPr>
      </w:pPr>
      <w:r>
        <w:rPr>
          <w:rFonts w:hint="eastAsia" w:asciiTheme="minorEastAsia" w:hAnsiTheme="minorEastAsia"/>
          <w:b/>
          <w:sz w:val="36"/>
          <w:szCs w:val="36"/>
        </w:rPr>
        <w:t>十二、 “ 三公” 经费</w:t>
      </w:r>
    </w:p>
    <w:p>
      <w:pPr>
        <w:ind w:firstLine="640" w:firstLineChars="200"/>
        <w:rPr>
          <w:rFonts w:cs="仿宋" w:asciiTheme="minorEastAsia" w:hAnsiTheme="minorEastAsia"/>
          <w:sz w:val="32"/>
          <w:szCs w:val="32"/>
        </w:rPr>
      </w:pPr>
      <w:r>
        <w:rPr>
          <w:rFonts w:hint="eastAsia" w:ascii="仿宋_GB2312" w:hAnsi="仿宋_GB2312" w:eastAsia="仿宋_GB2312" w:cs="仿宋_GB2312"/>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rPr>
          <w:rFonts w:asciiTheme="minorEastAsia" w:hAnsiTheme="minorEastAsia"/>
          <w:b/>
          <w:sz w:val="36"/>
          <w:szCs w:val="36"/>
        </w:rPr>
      </w:pPr>
      <w:r>
        <w:rPr>
          <w:rFonts w:hint="eastAsia" w:asciiTheme="minorEastAsia" w:hAnsiTheme="minorEastAsia"/>
          <w:b/>
          <w:sz w:val="36"/>
          <w:szCs w:val="36"/>
        </w:rPr>
        <w:t>十三、 其他交通费用</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指单位除公务用车运行维护费以外的其他交通费用。如飞机、船舶等的燃料费、维修费、过桥过路费、保险费、出租车费用、公务交通补贴等。</w:t>
      </w:r>
    </w:p>
    <w:p>
      <w:pPr>
        <w:rPr>
          <w:rFonts w:asciiTheme="minorEastAsia" w:hAnsiTheme="minorEastAsia"/>
          <w:b/>
          <w:sz w:val="36"/>
          <w:szCs w:val="36"/>
        </w:rPr>
      </w:pPr>
      <w:r>
        <w:rPr>
          <w:rFonts w:hint="eastAsia" w:asciiTheme="minorEastAsia" w:hAnsiTheme="minorEastAsia"/>
          <w:b/>
          <w:sz w:val="36"/>
          <w:szCs w:val="36"/>
        </w:rPr>
        <w:t>十四、 公务用车购置</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指单位公务用车车辆购置支出（含车辆购置税）。</w:t>
      </w:r>
    </w:p>
    <w:p>
      <w:pPr>
        <w:rPr>
          <w:rFonts w:asciiTheme="minorEastAsia" w:hAnsiTheme="minorEastAsia"/>
          <w:b/>
          <w:sz w:val="36"/>
          <w:szCs w:val="36"/>
        </w:rPr>
      </w:pPr>
      <w:r>
        <w:rPr>
          <w:rFonts w:hint="eastAsia" w:asciiTheme="minorEastAsia" w:hAnsiTheme="minorEastAsia"/>
          <w:b/>
          <w:sz w:val="36"/>
          <w:szCs w:val="36"/>
        </w:rPr>
        <w:t>十五、 其他交通工具购置</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单位除公务用车外的其他各类交通工具（ 如船舶、 飞机）购置支出（含车辆购置税）。</w:t>
      </w:r>
    </w:p>
    <w:p>
      <w:pPr>
        <w:rPr>
          <w:rFonts w:asciiTheme="minorEastAsia" w:hAnsiTheme="minorEastAsia"/>
          <w:b/>
          <w:sz w:val="36"/>
          <w:szCs w:val="36"/>
        </w:rPr>
      </w:pPr>
      <w:r>
        <w:rPr>
          <w:rFonts w:hint="eastAsia" w:asciiTheme="minorEastAsia" w:hAnsiTheme="minorEastAsia"/>
          <w:b/>
          <w:sz w:val="36"/>
          <w:szCs w:val="36"/>
        </w:rPr>
        <w:t>十六、 机关运行经费</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指为保障行政单位（ 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ind w:firstLine="640" w:firstLineChars="200"/>
        <w:rPr>
          <w:rFonts w:asciiTheme="minorEastAsia" w:hAnsiTheme="minorEastAsia"/>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DY4OTZkMmEyYmM2MDhiODgwOWFhNjU5YmQ1ODc0ZGQifQ=="/>
  </w:docVars>
  <w:rsids>
    <w:rsidRoot w:val="000F6B63"/>
    <w:rsid w:val="00005D8D"/>
    <w:rsid w:val="000C1629"/>
    <w:rsid w:val="000F6B63"/>
    <w:rsid w:val="00172F4B"/>
    <w:rsid w:val="001C2AA1"/>
    <w:rsid w:val="002154B6"/>
    <w:rsid w:val="00225112"/>
    <w:rsid w:val="0029221F"/>
    <w:rsid w:val="002E5F15"/>
    <w:rsid w:val="003015AB"/>
    <w:rsid w:val="00304F9E"/>
    <w:rsid w:val="00396F4E"/>
    <w:rsid w:val="00406FBE"/>
    <w:rsid w:val="005651CC"/>
    <w:rsid w:val="005B640A"/>
    <w:rsid w:val="0073228C"/>
    <w:rsid w:val="007366E2"/>
    <w:rsid w:val="00740959"/>
    <w:rsid w:val="007D25CA"/>
    <w:rsid w:val="00966E2C"/>
    <w:rsid w:val="00A711B9"/>
    <w:rsid w:val="00A72965"/>
    <w:rsid w:val="00AA30B9"/>
    <w:rsid w:val="00B75291"/>
    <w:rsid w:val="00C15A1F"/>
    <w:rsid w:val="00C74B90"/>
    <w:rsid w:val="00E73BD1"/>
    <w:rsid w:val="00EA73A9"/>
    <w:rsid w:val="00ED6BE4"/>
    <w:rsid w:val="00ED7175"/>
    <w:rsid w:val="00F435DB"/>
    <w:rsid w:val="00FD214C"/>
    <w:rsid w:val="00FE5519"/>
    <w:rsid w:val="01FE55E5"/>
    <w:rsid w:val="07021EA1"/>
    <w:rsid w:val="077860C7"/>
    <w:rsid w:val="0A265907"/>
    <w:rsid w:val="0A6D6FBB"/>
    <w:rsid w:val="0A7A0734"/>
    <w:rsid w:val="0C05087B"/>
    <w:rsid w:val="0C9310AE"/>
    <w:rsid w:val="0F5D0659"/>
    <w:rsid w:val="131F78C4"/>
    <w:rsid w:val="16AC00F5"/>
    <w:rsid w:val="1BD1764E"/>
    <w:rsid w:val="1FFF12B8"/>
    <w:rsid w:val="21BE21DD"/>
    <w:rsid w:val="2304425D"/>
    <w:rsid w:val="26B83940"/>
    <w:rsid w:val="2A35665F"/>
    <w:rsid w:val="2B1F190E"/>
    <w:rsid w:val="37D6195A"/>
    <w:rsid w:val="39A51DE8"/>
    <w:rsid w:val="46677B91"/>
    <w:rsid w:val="46823BF8"/>
    <w:rsid w:val="4E4469AF"/>
    <w:rsid w:val="4F0E1C9E"/>
    <w:rsid w:val="4F917D72"/>
    <w:rsid w:val="503337C1"/>
    <w:rsid w:val="516A3757"/>
    <w:rsid w:val="545406B4"/>
    <w:rsid w:val="571577A8"/>
    <w:rsid w:val="5DDF6358"/>
    <w:rsid w:val="695323A6"/>
    <w:rsid w:val="6AA43059"/>
    <w:rsid w:val="6B940472"/>
    <w:rsid w:val="70BD772B"/>
    <w:rsid w:val="72301541"/>
    <w:rsid w:val="756045BE"/>
    <w:rsid w:val="7B3C5AE0"/>
    <w:rsid w:val="7D1C4B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6"/>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8"/>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4"/>
    <w:semiHidden/>
    <w:unhideWhenUsed/>
    <w:qFormat/>
    <w:uiPriority w:val="99"/>
    <w:pPr>
      <w:tabs>
        <w:tab w:val="center" w:pos="4153"/>
        <w:tab w:val="right" w:pos="8306"/>
      </w:tabs>
      <w:snapToGrid w:val="0"/>
      <w:jc w:val="left"/>
    </w:pPr>
    <w:rPr>
      <w:sz w:val="18"/>
      <w:szCs w:val="18"/>
    </w:rPr>
  </w:style>
  <w:style w:type="paragraph" w:styleId="7">
    <w:name w:val="header"/>
    <w:basedOn w:val="1"/>
    <w:link w:val="1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9"/>
    <w:qFormat/>
    <w:uiPriority w:val="11"/>
    <w:pPr>
      <w:spacing w:before="240" w:after="60" w:line="312" w:lineRule="auto"/>
      <w:jc w:val="center"/>
      <w:outlineLvl w:val="1"/>
    </w:pPr>
    <w:rPr>
      <w:rFonts w:eastAsia="宋体" w:asciiTheme="majorHAnsi" w:hAnsiTheme="majorHAnsi" w:cstheme="majorBidi"/>
      <w:b/>
      <w:bCs/>
      <w:kern w:val="28"/>
      <w:sz w:val="32"/>
      <w:szCs w:val="32"/>
    </w:rPr>
  </w:style>
  <w:style w:type="paragraph" w:styleId="9">
    <w:name w:val="Title"/>
    <w:basedOn w:val="1"/>
    <w:next w:val="1"/>
    <w:link w:val="17"/>
    <w:qFormat/>
    <w:uiPriority w:val="10"/>
    <w:pPr>
      <w:spacing w:before="240" w:after="60"/>
      <w:jc w:val="center"/>
      <w:outlineLvl w:val="0"/>
    </w:pPr>
    <w:rPr>
      <w:rFonts w:eastAsia="宋体" w:asciiTheme="majorHAnsi" w:hAnsiTheme="majorHAnsi" w:cstheme="majorBidi"/>
      <w:b/>
      <w:bCs/>
      <w:sz w:val="32"/>
      <w:szCs w:val="32"/>
    </w:rPr>
  </w:style>
  <w:style w:type="table" w:styleId="11">
    <w:name w:val="Table Grid"/>
    <w:basedOn w:val="1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3">
    <w:name w:val="页眉 Char"/>
    <w:basedOn w:val="12"/>
    <w:link w:val="7"/>
    <w:semiHidden/>
    <w:qFormat/>
    <w:uiPriority w:val="99"/>
    <w:rPr>
      <w:sz w:val="18"/>
      <w:szCs w:val="18"/>
    </w:rPr>
  </w:style>
  <w:style w:type="character" w:customStyle="1" w:styleId="14">
    <w:name w:val="页脚 Char"/>
    <w:basedOn w:val="12"/>
    <w:link w:val="6"/>
    <w:semiHidden/>
    <w:qFormat/>
    <w:uiPriority w:val="99"/>
    <w:rPr>
      <w:sz w:val="18"/>
      <w:szCs w:val="18"/>
    </w:rPr>
  </w:style>
  <w:style w:type="character" w:customStyle="1" w:styleId="15">
    <w:name w:val="标题 1 Char"/>
    <w:basedOn w:val="12"/>
    <w:link w:val="2"/>
    <w:qFormat/>
    <w:uiPriority w:val="9"/>
    <w:rPr>
      <w:b/>
      <w:bCs/>
      <w:kern w:val="44"/>
      <w:sz w:val="44"/>
      <w:szCs w:val="44"/>
    </w:rPr>
  </w:style>
  <w:style w:type="character" w:customStyle="1" w:styleId="16">
    <w:name w:val="标题 2 Char"/>
    <w:basedOn w:val="12"/>
    <w:link w:val="3"/>
    <w:qFormat/>
    <w:uiPriority w:val="9"/>
    <w:rPr>
      <w:rFonts w:asciiTheme="majorHAnsi" w:hAnsiTheme="majorHAnsi" w:eastAsiaTheme="majorEastAsia" w:cstheme="majorBidi"/>
      <w:b/>
      <w:bCs/>
      <w:sz w:val="32"/>
      <w:szCs w:val="32"/>
    </w:rPr>
  </w:style>
  <w:style w:type="character" w:customStyle="1" w:styleId="17">
    <w:name w:val="标题 Char"/>
    <w:basedOn w:val="12"/>
    <w:link w:val="9"/>
    <w:qFormat/>
    <w:uiPriority w:val="10"/>
    <w:rPr>
      <w:rFonts w:eastAsia="宋体" w:asciiTheme="majorHAnsi" w:hAnsiTheme="majorHAnsi" w:cstheme="majorBidi"/>
      <w:b/>
      <w:bCs/>
      <w:sz w:val="32"/>
      <w:szCs w:val="32"/>
    </w:rPr>
  </w:style>
  <w:style w:type="character" w:customStyle="1" w:styleId="18">
    <w:name w:val="标题 3 Char"/>
    <w:basedOn w:val="12"/>
    <w:link w:val="4"/>
    <w:qFormat/>
    <w:uiPriority w:val="9"/>
    <w:rPr>
      <w:b/>
      <w:bCs/>
      <w:sz w:val="32"/>
      <w:szCs w:val="32"/>
    </w:rPr>
  </w:style>
  <w:style w:type="character" w:customStyle="1" w:styleId="19">
    <w:name w:val="副标题 Char"/>
    <w:basedOn w:val="12"/>
    <w:link w:val="8"/>
    <w:qFormat/>
    <w:uiPriority w:val="11"/>
    <w:rPr>
      <w:rFonts w:eastAsia="宋体" w:asciiTheme="majorHAnsi" w:hAnsiTheme="majorHAnsi" w:cstheme="majorBidi"/>
      <w:b/>
      <w:bCs/>
      <w:kern w:val="28"/>
      <w:sz w:val="32"/>
      <w:szCs w:val="32"/>
    </w:rPr>
  </w:style>
  <w:style w:type="character" w:customStyle="1" w:styleId="20">
    <w:name w:val="标题 4 Char"/>
    <w:basedOn w:val="12"/>
    <w:link w:val="5"/>
    <w:qFormat/>
    <w:uiPriority w:val="9"/>
    <w:rPr>
      <w:rFonts w:asciiTheme="majorHAnsi" w:hAnsiTheme="majorHAnsi" w:eastAsiaTheme="majorEastAsia" w:cstheme="majorBidi"/>
      <w:b/>
      <w:bCs/>
      <w:sz w:val="28"/>
      <w:szCs w:val="28"/>
    </w:rPr>
  </w:style>
  <w:style w:type="paragraph" w:styleId="2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chart" Target="charts/chart2.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收入决算</c:v>
                </c:pt>
              </c:strCache>
            </c:strRef>
          </c:tx>
          <c:spPr/>
          <c:explosion val="0"/>
          <c:dPt>
            <c:idx val="0"/>
            <c:bubble3D val="0"/>
            <c:spPr>
              <a:solidFill>
                <a:schemeClr val="accent1"/>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财政拨款</c:v>
                </c:pt>
              </c:strCache>
            </c:strRef>
          </c:cat>
          <c:val>
            <c:numRef>
              <c:f>Sheet1!$B$2</c:f>
              <c:numCache>
                <c:formatCode>0%</c:formatCode>
                <c:ptCount val="1"/>
                <c:pt idx="0">
                  <c:v>1</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支出决算</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0.9325</c:v>
                </c:pt>
                <c:pt idx="1">
                  <c:v>0.0675</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0D352DAE-8D56-4C89-BDAF-1C6859729349}">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15</Pages>
  <Words>4713</Words>
  <Characters>5078</Characters>
  <Lines>39</Lines>
  <Paragraphs>11</Paragraphs>
  <TotalTime>8</TotalTime>
  <ScaleCrop>false</ScaleCrop>
  <LinksUpToDate>false</LinksUpToDate>
  <CharactersWithSpaces>5298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2018-09-07T03:15:00Z</dcterms:created>
  <dc:creator>办公室</dc:creator>
  <cp:lastModifiedBy>怹。</cp:lastModifiedBy>
  <cp:lastPrinted>2018-10-10T03:12:00Z</cp:lastPrinted>
  <dcterms:modified xsi:type="dcterms:W3CDTF">2023-06-05T01:14:05Z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46491162A04241E0B70558975A9AF85C_12</vt:lpwstr>
  </property>
</Properties>
</file>