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石家庄市藁城区文学艺术界联合会</w:t>
      </w:r>
      <w:r>
        <w:rPr>
          <w:rFonts w:ascii="黑体" w:hAnsi="黑体" w:eastAsia="黑体" w:cs="黑体"/>
          <w:b/>
          <w:color w:val="000000"/>
          <w:sz w:val="44"/>
        </w:rPr>
        <w:t>2022年部门预算公开目录</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_Toc1847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_Toc1847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_Toc32407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_Toc32407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_Toc12016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_Toc12016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_Toc8999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_Toc8999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_Toc7343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_Toc7343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_Toc15293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_Toc15293 \h </w:instrText>
      </w:r>
      <w:r>
        <w:fldChar w:fldCharType="separate"/>
      </w:r>
      <w:r>
        <w:t>15</w:t>
      </w:r>
      <w:r>
        <w:fldChar w:fldCharType="end"/>
      </w:r>
      <w:r>
        <w:fldChar w:fldCharType="end"/>
      </w:r>
    </w:p>
    <w:p>
      <w:pPr>
        <w:pStyle w:val="4"/>
        <w:tabs>
          <w:tab w:val="right" w:leader="dot" w:pos="14800"/>
        </w:tabs>
      </w:pPr>
      <w:r>
        <w:fldChar w:fldCharType="begin"/>
      </w:r>
      <w:r>
        <w:instrText xml:space="preserve"> HYPERLINK \l _Toc20751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_Toc20751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_Toc14678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_Toc14678 \h </w:instrText>
      </w:r>
      <w:r>
        <w:fldChar w:fldCharType="separate"/>
      </w:r>
      <w:r>
        <w:t>18</w:t>
      </w:r>
      <w:r>
        <w:fldChar w:fldCharType="end"/>
      </w:r>
      <w:r>
        <w:fldChar w:fldCharType="end"/>
      </w:r>
    </w:p>
    <w:p>
      <w:pPr>
        <w:pStyle w:val="4"/>
        <w:tabs>
          <w:tab w:val="right" w:leader="dot" w:pos="14800"/>
        </w:tabs>
      </w:pPr>
      <w:r>
        <w:fldChar w:fldCharType="begin"/>
      </w:r>
      <w:r>
        <w:instrText xml:space="preserve"> HYPERLINK \l _Toc18622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_Toc18622 \h </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_Toc24221 </w:instrText>
      </w:r>
      <w:r>
        <w:fldChar w:fldCharType="separate"/>
      </w:r>
      <w:r>
        <w:rPr>
          <w:rFonts w:ascii="黑体" w:hAnsi="黑体" w:eastAsia="黑体" w:cs="黑体"/>
        </w:rPr>
        <w:t>一、部门职责及机构设置情况</w:t>
      </w:r>
      <w:r>
        <w:tab/>
      </w:r>
      <w:r>
        <w:fldChar w:fldCharType="begin"/>
      </w:r>
      <w:r>
        <w:instrText xml:space="preserve"> PAGEREF _Toc24221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_Toc5760 </w:instrText>
      </w:r>
      <w:r>
        <w:fldChar w:fldCharType="separate"/>
      </w:r>
      <w:r>
        <w:rPr>
          <w:rFonts w:ascii="黑体" w:hAnsi="黑体" w:eastAsia="黑体" w:cs="黑体"/>
        </w:rPr>
        <w:t>二、部门预算安排的总体情况</w:t>
      </w:r>
      <w:r>
        <w:tab/>
      </w:r>
      <w:r>
        <w:fldChar w:fldCharType="begin"/>
      </w:r>
      <w:r>
        <w:instrText xml:space="preserve"> PAGEREF _Toc5760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_Toc26610 </w:instrText>
      </w:r>
      <w: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_Toc26610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_Toc9400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_Toc9400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_Toc17862 </w:instrText>
      </w:r>
      <w:r>
        <w:fldChar w:fldCharType="separate"/>
      </w:r>
      <w:r>
        <w:rPr>
          <w:rFonts w:ascii="黑体" w:hAnsi="黑体" w:eastAsia="黑体" w:cs="黑体"/>
        </w:rPr>
        <w:t>五、预算绩效信息</w:t>
      </w:r>
      <w:r>
        <w:tab/>
      </w:r>
      <w:r>
        <w:fldChar w:fldCharType="begin"/>
      </w:r>
      <w:r>
        <w:instrText xml:space="preserve"> PAGEREF _Toc17862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_Toc23660 </w:instrText>
      </w:r>
      <w:r>
        <w:fldChar w:fldCharType="separate"/>
      </w:r>
      <w:r>
        <w:rPr>
          <w:rFonts w:ascii="黑体" w:hAnsi="黑体" w:eastAsia="黑体" w:cs="黑体"/>
        </w:rPr>
        <w:t>六、政府采购预算情况</w:t>
      </w:r>
      <w:r>
        <w:tab/>
      </w:r>
      <w:r>
        <w:fldChar w:fldCharType="begin"/>
      </w:r>
      <w:r>
        <w:instrText xml:space="preserve"> PAGEREF _Toc23660 \h </w:instrText>
      </w:r>
      <w:r>
        <w:fldChar w:fldCharType="separate"/>
      </w:r>
      <w:r>
        <w:t>29</w:t>
      </w:r>
      <w:r>
        <w:fldChar w:fldCharType="end"/>
      </w:r>
      <w:r>
        <w:fldChar w:fldCharType="end"/>
      </w:r>
    </w:p>
    <w:p>
      <w:pPr>
        <w:pStyle w:val="2"/>
        <w:tabs>
          <w:tab w:val="right" w:leader="dot" w:pos="14800"/>
        </w:tabs>
      </w:pPr>
      <w:r>
        <w:fldChar w:fldCharType="begin"/>
      </w:r>
      <w:r>
        <w:instrText xml:space="preserve"> HYPERLINK \l _Toc27444 </w:instrText>
      </w:r>
      <w:r>
        <w:fldChar w:fldCharType="separate"/>
      </w:r>
      <w:r>
        <w:rPr>
          <w:rFonts w:ascii="黑体" w:hAnsi="黑体" w:eastAsia="黑体" w:cs="黑体"/>
        </w:rPr>
        <w:t>七、国有资产信息</w:t>
      </w:r>
      <w:r>
        <w:tab/>
      </w:r>
      <w:r>
        <w:fldChar w:fldCharType="begin"/>
      </w:r>
      <w:r>
        <w:instrText xml:space="preserve"> PAGEREF _Toc27444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_Toc17953 </w:instrText>
      </w:r>
      <w:r>
        <w:fldChar w:fldCharType="separate"/>
      </w:r>
      <w:r>
        <w:rPr>
          <w:rFonts w:ascii="黑体" w:hAnsi="黑体" w:eastAsia="黑体" w:cs="黑体"/>
        </w:rPr>
        <w:t>八、名词解释</w:t>
      </w:r>
      <w:r>
        <w:tab/>
      </w:r>
      <w:r>
        <w:fldChar w:fldCharType="begin"/>
      </w:r>
      <w:r>
        <w:instrText xml:space="preserve"> PAGEREF _Toc17953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_Toc24892 </w:instrText>
      </w:r>
      <w:r>
        <w:fldChar w:fldCharType="separate"/>
      </w:r>
      <w:r>
        <w:rPr>
          <w:rFonts w:ascii="黑体" w:hAnsi="黑体" w:eastAsia="黑体" w:cs="黑体"/>
        </w:rPr>
        <w:t>九、其他需要说明的事项</w:t>
      </w:r>
      <w:r>
        <w:tab/>
      </w:r>
      <w:r>
        <w:fldChar w:fldCharType="begin"/>
      </w:r>
      <w:r>
        <w:instrText xml:space="preserve"> PAGEREF _Toc24892 \h </w:instrText>
      </w:r>
      <w:r>
        <w:fldChar w:fldCharType="separate"/>
      </w:r>
      <w:r>
        <w:t>32</w:t>
      </w:r>
      <w:r>
        <w:fldChar w:fldCharType="end"/>
      </w:r>
      <w:r>
        <w:fldChar w:fldCharType="end"/>
      </w:r>
    </w:p>
    <w:p>
      <w:pPr>
        <w:spacing w:before="0" w:after="0" w:line="240" w:lineRule="auto"/>
        <w:ind w:firstLine="0"/>
        <w:jc w:val="center"/>
        <w:outlineLvl w:val="1"/>
      </w:pPr>
      <w:bookmarkStart w:id="0" w:name="_Toc1847"/>
      <w:r>
        <w:fldChar w:fldCharType="end"/>
      </w:r>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141.21</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r>
              <w:t>141.21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141.21</w:t>
            </w:r>
          </w:p>
        </w:tc>
        <w:tc>
          <w:tcPr>
            <w:tcW w:w="1971" w:type="dxa"/>
            <w:vAlign w:val="center"/>
          </w:tcPr>
          <w:p>
            <w:pPr>
              <w:pStyle w:val="14"/>
            </w:pPr>
            <w:r>
              <w:t>本年支出合计</w:t>
            </w:r>
          </w:p>
        </w:tc>
        <w:tc>
          <w:tcPr>
            <w:tcW w:w="1971" w:type="dxa"/>
            <w:vAlign w:val="center"/>
          </w:tcPr>
          <w:p>
            <w:pPr>
              <w:pStyle w:val="15"/>
            </w:pPr>
            <w:r>
              <w:t>141.21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141.21</w:t>
            </w:r>
          </w:p>
        </w:tc>
        <w:tc>
          <w:tcPr>
            <w:tcW w:w="1971" w:type="dxa"/>
            <w:vAlign w:val="center"/>
          </w:tcPr>
          <w:p>
            <w:pPr>
              <w:pStyle w:val="14"/>
            </w:pPr>
            <w:r>
              <w:t>支出总计</w:t>
            </w:r>
          </w:p>
        </w:tc>
        <w:tc>
          <w:tcPr>
            <w:tcW w:w="1971" w:type="dxa"/>
            <w:vAlign w:val="center"/>
          </w:tcPr>
          <w:p>
            <w:pPr>
              <w:pStyle w:val="15"/>
            </w:pPr>
            <w:r>
              <w:t>141.21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32407"/>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141.21</w:t>
            </w:r>
          </w:p>
        </w:tc>
        <w:tc>
          <w:tcPr>
            <w:tcW w:w="758" w:type="dxa"/>
            <w:vAlign w:val="center"/>
          </w:tcPr>
          <w:p>
            <w:pPr>
              <w:pStyle w:val="15"/>
            </w:pPr>
            <w:r>
              <w:t>141.21</w:t>
            </w:r>
          </w:p>
        </w:tc>
        <w:tc>
          <w:tcPr>
            <w:tcW w:w="758" w:type="dxa"/>
            <w:vAlign w:val="center"/>
          </w:tcPr>
          <w:p>
            <w:pPr>
              <w:pStyle w:val="15"/>
            </w:pPr>
            <w:r>
              <w:t>141.21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207</w:t>
            </w:r>
          </w:p>
        </w:tc>
        <w:tc>
          <w:tcPr>
            <w:tcW w:w="758" w:type="dxa"/>
            <w:vAlign w:val="center"/>
          </w:tcPr>
          <w:p>
            <w:pPr>
              <w:pStyle w:val="12"/>
            </w:pPr>
            <w:r>
              <w:t>文化旅游体育与传媒支出</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20701</w:t>
            </w:r>
          </w:p>
        </w:tc>
        <w:tc>
          <w:tcPr>
            <w:tcW w:w="758" w:type="dxa"/>
            <w:vAlign w:val="center"/>
          </w:tcPr>
          <w:p>
            <w:pPr>
              <w:pStyle w:val="12"/>
            </w:pPr>
            <w:r>
              <w:t>文化和旅游</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r>
              <w:t>141.21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2070101</w:t>
            </w:r>
          </w:p>
        </w:tc>
        <w:tc>
          <w:tcPr>
            <w:tcW w:w="758" w:type="dxa"/>
            <w:vAlign w:val="center"/>
          </w:tcPr>
          <w:p>
            <w:pPr>
              <w:pStyle w:val="12"/>
            </w:pPr>
            <w:r>
              <w:t>行政运行</w:t>
            </w:r>
          </w:p>
        </w:tc>
        <w:tc>
          <w:tcPr>
            <w:tcW w:w="758" w:type="dxa"/>
            <w:vAlign w:val="center"/>
          </w:tcPr>
          <w:p>
            <w:pPr>
              <w:pStyle w:val="13"/>
            </w:pPr>
            <w:r>
              <w:t>134.97</w:t>
            </w:r>
          </w:p>
        </w:tc>
        <w:tc>
          <w:tcPr>
            <w:tcW w:w="758" w:type="dxa"/>
            <w:vAlign w:val="center"/>
          </w:tcPr>
          <w:p>
            <w:pPr>
              <w:pStyle w:val="13"/>
            </w:pPr>
            <w:r>
              <w:t>134.97</w:t>
            </w:r>
          </w:p>
        </w:tc>
        <w:tc>
          <w:tcPr>
            <w:tcW w:w="758" w:type="dxa"/>
            <w:vAlign w:val="center"/>
          </w:tcPr>
          <w:p>
            <w:pPr>
              <w:pStyle w:val="13"/>
            </w:pPr>
            <w:r>
              <w:t>134.97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2070111</w:t>
            </w:r>
          </w:p>
        </w:tc>
        <w:tc>
          <w:tcPr>
            <w:tcW w:w="758" w:type="dxa"/>
            <w:vAlign w:val="center"/>
          </w:tcPr>
          <w:p>
            <w:pPr>
              <w:pStyle w:val="12"/>
            </w:pPr>
            <w:r>
              <w:t>文化创作与保护</w:t>
            </w:r>
          </w:p>
        </w:tc>
        <w:tc>
          <w:tcPr>
            <w:tcW w:w="758" w:type="dxa"/>
            <w:vAlign w:val="center"/>
          </w:tcPr>
          <w:p>
            <w:pPr>
              <w:pStyle w:val="13"/>
            </w:pPr>
            <w:r>
              <w:t>1.24</w:t>
            </w:r>
          </w:p>
        </w:tc>
        <w:tc>
          <w:tcPr>
            <w:tcW w:w="758" w:type="dxa"/>
            <w:vAlign w:val="center"/>
          </w:tcPr>
          <w:p>
            <w:pPr>
              <w:pStyle w:val="13"/>
            </w:pPr>
            <w:r>
              <w:t>1.24</w:t>
            </w:r>
          </w:p>
        </w:tc>
        <w:tc>
          <w:tcPr>
            <w:tcW w:w="758" w:type="dxa"/>
            <w:vAlign w:val="center"/>
          </w:tcPr>
          <w:p>
            <w:pPr>
              <w:pStyle w:val="13"/>
            </w:pPr>
            <w:r>
              <w:t>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2070199</w:t>
            </w:r>
          </w:p>
        </w:tc>
        <w:tc>
          <w:tcPr>
            <w:tcW w:w="758" w:type="dxa"/>
            <w:vAlign w:val="center"/>
          </w:tcPr>
          <w:p>
            <w:pPr>
              <w:pStyle w:val="12"/>
            </w:pPr>
            <w:r>
              <w:t>其他文化和旅游支出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12016"/>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141.21</w:t>
            </w:r>
          </w:p>
        </w:tc>
        <w:tc>
          <w:tcPr>
            <w:tcW w:w="1095" w:type="dxa"/>
            <w:vAlign w:val="center"/>
          </w:tcPr>
          <w:p>
            <w:pPr>
              <w:pStyle w:val="15"/>
            </w:pPr>
            <w:r>
              <w:t>134.97</w:t>
            </w:r>
          </w:p>
        </w:tc>
        <w:tc>
          <w:tcPr>
            <w:tcW w:w="1095" w:type="dxa"/>
            <w:vAlign w:val="center"/>
          </w:tcPr>
          <w:p>
            <w:pPr>
              <w:pStyle w:val="15"/>
            </w:pPr>
            <w:r>
              <w:t>6.24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207</w:t>
            </w:r>
          </w:p>
        </w:tc>
        <w:tc>
          <w:tcPr>
            <w:tcW w:w="1095" w:type="dxa"/>
            <w:vAlign w:val="center"/>
          </w:tcPr>
          <w:p>
            <w:pPr>
              <w:pStyle w:val="12"/>
            </w:pPr>
            <w:r>
              <w:t>文化旅游体育与传媒支出</w:t>
            </w:r>
          </w:p>
        </w:tc>
        <w:tc>
          <w:tcPr>
            <w:tcW w:w="1095" w:type="dxa"/>
            <w:vAlign w:val="center"/>
          </w:tcPr>
          <w:p>
            <w:pPr>
              <w:pStyle w:val="13"/>
            </w:pPr>
            <w:r>
              <w:t>141.21</w:t>
            </w:r>
          </w:p>
        </w:tc>
        <w:tc>
          <w:tcPr>
            <w:tcW w:w="1095" w:type="dxa"/>
            <w:vAlign w:val="center"/>
          </w:tcPr>
          <w:p>
            <w:pPr>
              <w:pStyle w:val="13"/>
            </w:pPr>
            <w:r>
              <w:t>134.97</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20701</w:t>
            </w:r>
          </w:p>
        </w:tc>
        <w:tc>
          <w:tcPr>
            <w:tcW w:w="1095" w:type="dxa"/>
            <w:vAlign w:val="center"/>
          </w:tcPr>
          <w:p>
            <w:pPr>
              <w:pStyle w:val="12"/>
            </w:pPr>
            <w:r>
              <w:t>文化和旅游</w:t>
            </w:r>
          </w:p>
        </w:tc>
        <w:tc>
          <w:tcPr>
            <w:tcW w:w="1095" w:type="dxa"/>
            <w:vAlign w:val="center"/>
          </w:tcPr>
          <w:p>
            <w:pPr>
              <w:pStyle w:val="13"/>
            </w:pPr>
            <w:r>
              <w:t>141.21</w:t>
            </w:r>
          </w:p>
        </w:tc>
        <w:tc>
          <w:tcPr>
            <w:tcW w:w="1095" w:type="dxa"/>
            <w:vAlign w:val="center"/>
          </w:tcPr>
          <w:p>
            <w:pPr>
              <w:pStyle w:val="13"/>
            </w:pPr>
            <w:r>
              <w:t>134.97</w:t>
            </w:r>
          </w:p>
        </w:tc>
        <w:tc>
          <w:tcPr>
            <w:tcW w:w="1095" w:type="dxa"/>
            <w:vAlign w:val="center"/>
          </w:tcPr>
          <w:p>
            <w:pPr>
              <w:pStyle w:val="13"/>
            </w:pPr>
            <w:r>
              <w:t>6.24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2070101</w:t>
            </w:r>
          </w:p>
        </w:tc>
        <w:tc>
          <w:tcPr>
            <w:tcW w:w="1095" w:type="dxa"/>
            <w:vAlign w:val="center"/>
          </w:tcPr>
          <w:p>
            <w:pPr>
              <w:pStyle w:val="12"/>
            </w:pPr>
            <w:r>
              <w:t>行政运行</w:t>
            </w:r>
          </w:p>
        </w:tc>
        <w:tc>
          <w:tcPr>
            <w:tcW w:w="1095" w:type="dxa"/>
            <w:vAlign w:val="center"/>
          </w:tcPr>
          <w:p>
            <w:pPr>
              <w:pStyle w:val="13"/>
            </w:pPr>
            <w:r>
              <w:t>134.97</w:t>
            </w:r>
          </w:p>
        </w:tc>
        <w:tc>
          <w:tcPr>
            <w:tcW w:w="1095" w:type="dxa"/>
            <w:vAlign w:val="center"/>
          </w:tcPr>
          <w:p>
            <w:pPr>
              <w:pStyle w:val="13"/>
            </w:pPr>
            <w:r>
              <w:t>134.97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2070111</w:t>
            </w:r>
          </w:p>
        </w:tc>
        <w:tc>
          <w:tcPr>
            <w:tcW w:w="1095" w:type="dxa"/>
            <w:vAlign w:val="center"/>
          </w:tcPr>
          <w:p>
            <w:pPr>
              <w:pStyle w:val="12"/>
            </w:pPr>
            <w:r>
              <w:t>文化创作与保护</w:t>
            </w:r>
          </w:p>
        </w:tc>
        <w:tc>
          <w:tcPr>
            <w:tcW w:w="1095" w:type="dxa"/>
            <w:vAlign w:val="center"/>
          </w:tcPr>
          <w:p>
            <w:pPr>
              <w:pStyle w:val="13"/>
            </w:pPr>
            <w:r>
              <w:t>1.24</w:t>
            </w:r>
          </w:p>
        </w:tc>
        <w:tc>
          <w:tcPr>
            <w:tcW w:w="1095" w:type="dxa"/>
            <w:vAlign w:val="center"/>
          </w:tcPr>
          <w:p>
            <w:pPr>
              <w:pStyle w:val="13"/>
            </w:pPr>
          </w:p>
        </w:tc>
        <w:tc>
          <w:tcPr>
            <w:tcW w:w="1095" w:type="dxa"/>
            <w:vAlign w:val="center"/>
          </w:tcPr>
          <w:p>
            <w:pPr>
              <w:pStyle w:val="13"/>
            </w:pPr>
            <w:r>
              <w:t>1.24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2070199</w:t>
            </w:r>
          </w:p>
        </w:tc>
        <w:tc>
          <w:tcPr>
            <w:tcW w:w="1095" w:type="dxa"/>
            <w:vAlign w:val="center"/>
          </w:tcPr>
          <w:p>
            <w:pPr>
              <w:pStyle w:val="12"/>
            </w:pPr>
            <w:r>
              <w:t>其他文化和旅游支出</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8999"/>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141.21</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r>
              <w:t>141.21</w:t>
            </w:r>
          </w:p>
        </w:tc>
        <w:tc>
          <w:tcPr>
            <w:tcW w:w="1232" w:type="dxa"/>
            <w:vAlign w:val="center"/>
          </w:tcPr>
          <w:p>
            <w:pPr>
              <w:pStyle w:val="13"/>
            </w:pPr>
            <w:r>
              <w:t>141.21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141.21</w:t>
            </w:r>
          </w:p>
        </w:tc>
        <w:tc>
          <w:tcPr>
            <w:tcW w:w="1232" w:type="dxa"/>
            <w:vAlign w:val="center"/>
          </w:tcPr>
          <w:p>
            <w:pPr>
              <w:pStyle w:val="14"/>
            </w:pPr>
            <w:r>
              <w:t>本年支出合计</w:t>
            </w:r>
          </w:p>
        </w:tc>
        <w:tc>
          <w:tcPr>
            <w:tcW w:w="1232" w:type="dxa"/>
            <w:vAlign w:val="center"/>
          </w:tcPr>
          <w:p>
            <w:pPr>
              <w:pStyle w:val="15"/>
            </w:pPr>
            <w:r>
              <w:t>141.21</w:t>
            </w:r>
          </w:p>
        </w:tc>
        <w:tc>
          <w:tcPr>
            <w:tcW w:w="1232" w:type="dxa"/>
            <w:vAlign w:val="center"/>
          </w:tcPr>
          <w:p>
            <w:pPr>
              <w:pStyle w:val="15"/>
            </w:pPr>
            <w:r>
              <w:t>141.21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141.21</w:t>
            </w:r>
          </w:p>
        </w:tc>
        <w:tc>
          <w:tcPr>
            <w:tcW w:w="1232" w:type="dxa"/>
            <w:vAlign w:val="center"/>
          </w:tcPr>
          <w:p>
            <w:pPr>
              <w:pStyle w:val="14"/>
            </w:pPr>
            <w:r>
              <w:t>支出总计</w:t>
            </w:r>
          </w:p>
        </w:tc>
        <w:tc>
          <w:tcPr>
            <w:tcW w:w="1232" w:type="dxa"/>
            <w:vAlign w:val="center"/>
          </w:tcPr>
          <w:p>
            <w:pPr>
              <w:pStyle w:val="15"/>
            </w:pPr>
            <w:r>
              <w:t>141.21</w:t>
            </w:r>
          </w:p>
        </w:tc>
        <w:tc>
          <w:tcPr>
            <w:tcW w:w="1232" w:type="dxa"/>
            <w:vAlign w:val="center"/>
          </w:tcPr>
          <w:p>
            <w:pPr>
              <w:pStyle w:val="15"/>
            </w:pPr>
            <w:r>
              <w:t>141.21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7343"/>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141.21</w:t>
            </w:r>
          </w:p>
        </w:tc>
        <w:tc>
          <w:tcPr>
            <w:tcW w:w="1643" w:type="dxa"/>
            <w:vAlign w:val="center"/>
          </w:tcPr>
          <w:p>
            <w:pPr>
              <w:pStyle w:val="15"/>
            </w:pPr>
            <w:r>
              <w:t>134.97</w:t>
            </w:r>
          </w:p>
        </w:tc>
        <w:tc>
          <w:tcPr>
            <w:tcW w:w="1643" w:type="dxa"/>
            <w:vAlign w:val="center"/>
          </w:tcPr>
          <w:p>
            <w:pPr>
              <w:pStyle w:val="15"/>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207</w:t>
            </w:r>
          </w:p>
        </w:tc>
        <w:tc>
          <w:tcPr>
            <w:tcW w:w="1643" w:type="dxa"/>
            <w:vAlign w:val="center"/>
          </w:tcPr>
          <w:p>
            <w:pPr>
              <w:pStyle w:val="12"/>
            </w:pPr>
            <w:r>
              <w:t>文化旅游体育与传媒支出</w:t>
            </w:r>
          </w:p>
        </w:tc>
        <w:tc>
          <w:tcPr>
            <w:tcW w:w="1643" w:type="dxa"/>
            <w:vAlign w:val="center"/>
          </w:tcPr>
          <w:p>
            <w:pPr>
              <w:pStyle w:val="13"/>
            </w:pPr>
            <w:r>
              <w:t>141.21</w:t>
            </w:r>
          </w:p>
        </w:tc>
        <w:tc>
          <w:tcPr>
            <w:tcW w:w="1643" w:type="dxa"/>
            <w:vAlign w:val="center"/>
          </w:tcPr>
          <w:p>
            <w:pPr>
              <w:pStyle w:val="13"/>
            </w:pPr>
            <w:r>
              <w:t>134.97</w:t>
            </w: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20701</w:t>
            </w:r>
          </w:p>
        </w:tc>
        <w:tc>
          <w:tcPr>
            <w:tcW w:w="1643" w:type="dxa"/>
            <w:vAlign w:val="center"/>
          </w:tcPr>
          <w:p>
            <w:pPr>
              <w:pStyle w:val="12"/>
            </w:pPr>
            <w:r>
              <w:t>文化和旅游</w:t>
            </w:r>
          </w:p>
        </w:tc>
        <w:tc>
          <w:tcPr>
            <w:tcW w:w="1643" w:type="dxa"/>
            <w:vAlign w:val="center"/>
          </w:tcPr>
          <w:p>
            <w:pPr>
              <w:pStyle w:val="13"/>
            </w:pPr>
            <w:r>
              <w:t>141.21</w:t>
            </w:r>
          </w:p>
        </w:tc>
        <w:tc>
          <w:tcPr>
            <w:tcW w:w="1643" w:type="dxa"/>
            <w:vAlign w:val="center"/>
          </w:tcPr>
          <w:p>
            <w:pPr>
              <w:pStyle w:val="13"/>
            </w:pPr>
            <w:r>
              <w:t>134.97</w:t>
            </w:r>
          </w:p>
        </w:tc>
        <w:tc>
          <w:tcPr>
            <w:tcW w:w="1643" w:type="dxa"/>
            <w:vAlign w:val="center"/>
          </w:tcPr>
          <w:p>
            <w:pPr>
              <w:pStyle w:val="13"/>
            </w:pPr>
            <w: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2070101</w:t>
            </w:r>
          </w:p>
        </w:tc>
        <w:tc>
          <w:tcPr>
            <w:tcW w:w="1643" w:type="dxa"/>
            <w:vAlign w:val="center"/>
          </w:tcPr>
          <w:p>
            <w:pPr>
              <w:pStyle w:val="12"/>
            </w:pPr>
            <w:r>
              <w:t>行政运行</w:t>
            </w:r>
          </w:p>
        </w:tc>
        <w:tc>
          <w:tcPr>
            <w:tcW w:w="1643" w:type="dxa"/>
            <w:vAlign w:val="center"/>
          </w:tcPr>
          <w:p>
            <w:pPr>
              <w:pStyle w:val="13"/>
            </w:pPr>
            <w:r>
              <w:t>134.97</w:t>
            </w:r>
          </w:p>
        </w:tc>
        <w:tc>
          <w:tcPr>
            <w:tcW w:w="1643" w:type="dxa"/>
            <w:vAlign w:val="center"/>
          </w:tcPr>
          <w:p>
            <w:pPr>
              <w:pStyle w:val="13"/>
            </w:pPr>
            <w:r>
              <w:t>134.97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2070111</w:t>
            </w:r>
          </w:p>
        </w:tc>
        <w:tc>
          <w:tcPr>
            <w:tcW w:w="1643" w:type="dxa"/>
            <w:vAlign w:val="center"/>
          </w:tcPr>
          <w:p>
            <w:pPr>
              <w:pStyle w:val="12"/>
            </w:pPr>
            <w:r>
              <w:t>文化创作与保护</w:t>
            </w:r>
          </w:p>
        </w:tc>
        <w:tc>
          <w:tcPr>
            <w:tcW w:w="1643" w:type="dxa"/>
            <w:vAlign w:val="center"/>
          </w:tcPr>
          <w:p>
            <w:pPr>
              <w:pStyle w:val="13"/>
            </w:pPr>
            <w:r>
              <w:t>1.24</w:t>
            </w:r>
          </w:p>
        </w:tc>
        <w:tc>
          <w:tcPr>
            <w:tcW w:w="1643" w:type="dxa"/>
            <w:vAlign w:val="center"/>
          </w:tcPr>
          <w:p>
            <w:pPr>
              <w:pStyle w:val="13"/>
            </w:pPr>
          </w:p>
        </w:tc>
        <w:tc>
          <w:tcPr>
            <w:tcW w:w="1643" w:type="dxa"/>
            <w:vAlign w:val="center"/>
          </w:tcPr>
          <w:p>
            <w:pPr>
              <w:pStyle w:val="13"/>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2070199</w:t>
            </w:r>
          </w:p>
        </w:tc>
        <w:tc>
          <w:tcPr>
            <w:tcW w:w="1643" w:type="dxa"/>
            <w:vAlign w:val="center"/>
          </w:tcPr>
          <w:p>
            <w:pPr>
              <w:pStyle w:val="12"/>
            </w:pPr>
            <w:r>
              <w:t>其他文化和旅游支出</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15293"/>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134.97</w:t>
            </w:r>
          </w:p>
        </w:tc>
        <w:tc>
          <w:tcPr>
            <w:tcW w:w="1643" w:type="dxa"/>
            <w:vAlign w:val="center"/>
          </w:tcPr>
          <w:p>
            <w:pPr>
              <w:pStyle w:val="15"/>
            </w:pPr>
            <w:r>
              <w:t>122.04</w:t>
            </w:r>
          </w:p>
        </w:tc>
        <w:tc>
          <w:tcPr>
            <w:tcW w:w="1643" w:type="dxa"/>
            <w:vAlign w:val="center"/>
          </w:tcPr>
          <w:p>
            <w:pPr>
              <w:pStyle w:val="15"/>
            </w:pPr>
            <w:r>
              <w:t>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122.04</w:t>
            </w:r>
          </w:p>
        </w:tc>
        <w:tc>
          <w:tcPr>
            <w:tcW w:w="1643" w:type="dxa"/>
            <w:vAlign w:val="center"/>
          </w:tcPr>
          <w:p>
            <w:pPr>
              <w:pStyle w:val="13"/>
            </w:pPr>
            <w:r>
              <w:t>122.04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30.22</w:t>
            </w:r>
          </w:p>
        </w:tc>
        <w:tc>
          <w:tcPr>
            <w:tcW w:w="1643" w:type="dxa"/>
            <w:vAlign w:val="center"/>
          </w:tcPr>
          <w:p>
            <w:pPr>
              <w:pStyle w:val="13"/>
            </w:pPr>
            <w:r>
              <w:t>30.22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49.92</w:t>
            </w:r>
          </w:p>
        </w:tc>
        <w:tc>
          <w:tcPr>
            <w:tcW w:w="1643" w:type="dxa"/>
            <w:vAlign w:val="center"/>
          </w:tcPr>
          <w:p>
            <w:pPr>
              <w:pStyle w:val="13"/>
            </w:pPr>
            <w:r>
              <w:t>49.92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2.52</w:t>
            </w:r>
          </w:p>
        </w:tc>
        <w:tc>
          <w:tcPr>
            <w:tcW w:w="1643" w:type="dxa"/>
            <w:vAlign w:val="center"/>
          </w:tcPr>
          <w:p>
            <w:pPr>
              <w:pStyle w:val="13"/>
            </w:pPr>
            <w:r>
              <w:t>2.52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10.93</w:t>
            </w:r>
          </w:p>
        </w:tc>
        <w:tc>
          <w:tcPr>
            <w:tcW w:w="1643" w:type="dxa"/>
            <w:vAlign w:val="center"/>
          </w:tcPr>
          <w:p>
            <w:pPr>
              <w:pStyle w:val="13"/>
            </w:pPr>
            <w:r>
              <w:t>10.93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5.74</w:t>
            </w:r>
          </w:p>
        </w:tc>
        <w:tc>
          <w:tcPr>
            <w:tcW w:w="1643" w:type="dxa"/>
            <w:vAlign w:val="center"/>
          </w:tcPr>
          <w:p>
            <w:pPr>
              <w:pStyle w:val="13"/>
            </w:pPr>
            <w:r>
              <w:t>5.74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4.44</w:t>
            </w:r>
          </w:p>
        </w:tc>
        <w:tc>
          <w:tcPr>
            <w:tcW w:w="1643" w:type="dxa"/>
            <w:vAlign w:val="center"/>
          </w:tcPr>
          <w:p>
            <w:pPr>
              <w:pStyle w:val="13"/>
            </w:pPr>
            <w:r>
              <w:t>4.44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9.22</w:t>
            </w:r>
          </w:p>
        </w:tc>
        <w:tc>
          <w:tcPr>
            <w:tcW w:w="1643" w:type="dxa"/>
            <w:vAlign w:val="center"/>
          </w:tcPr>
          <w:p>
            <w:pPr>
              <w:pStyle w:val="13"/>
            </w:pPr>
            <w:r>
              <w:t>9.22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9.05</w:t>
            </w:r>
          </w:p>
        </w:tc>
        <w:tc>
          <w:tcPr>
            <w:tcW w:w="1643" w:type="dxa"/>
            <w:vAlign w:val="center"/>
          </w:tcPr>
          <w:p>
            <w:pPr>
              <w:pStyle w:val="13"/>
            </w:pPr>
            <w:r>
              <w:t>9.05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12.93</w:t>
            </w:r>
          </w:p>
        </w:tc>
        <w:tc>
          <w:tcPr>
            <w:tcW w:w="1643" w:type="dxa"/>
            <w:vAlign w:val="center"/>
          </w:tcPr>
          <w:p>
            <w:pPr>
              <w:pStyle w:val="13"/>
            </w:pPr>
          </w:p>
        </w:tc>
        <w:tc>
          <w:tcPr>
            <w:tcW w:w="1643" w:type="dxa"/>
            <w:vAlign w:val="center"/>
          </w:tcPr>
          <w:p>
            <w:pPr>
              <w:pStyle w:val="13"/>
            </w:pPr>
            <w:r>
              <w:t>12.93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2.10</w:t>
            </w:r>
          </w:p>
        </w:tc>
        <w:tc>
          <w:tcPr>
            <w:tcW w:w="1643"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3.96</w:t>
            </w:r>
          </w:p>
        </w:tc>
        <w:tc>
          <w:tcPr>
            <w:tcW w:w="1643" w:type="dxa"/>
            <w:vAlign w:val="center"/>
          </w:tcPr>
          <w:p>
            <w:pPr>
              <w:pStyle w:val="13"/>
            </w:pPr>
          </w:p>
        </w:tc>
        <w:tc>
          <w:tcPr>
            <w:tcW w:w="1643" w:type="dxa"/>
            <w:vAlign w:val="center"/>
          </w:tcPr>
          <w:p>
            <w:pPr>
              <w:pStyle w:val="13"/>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0.64</w:t>
            </w:r>
          </w:p>
        </w:tc>
        <w:tc>
          <w:tcPr>
            <w:tcW w:w="1643" w:type="dxa"/>
            <w:vAlign w:val="center"/>
          </w:tcPr>
          <w:p>
            <w:pPr>
              <w:pStyle w:val="13"/>
            </w:pPr>
          </w:p>
        </w:tc>
        <w:tc>
          <w:tcPr>
            <w:tcW w:w="1643" w:type="dxa"/>
            <w:vAlign w:val="center"/>
          </w:tcPr>
          <w:p>
            <w:pPr>
              <w:pStyle w:val="13"/>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5.40</w:t>
            </w:r>
          </w:p>
        </w:tc>
        <w:tc>
          <w:tcPr>
            <w:tcW w:w="1643" w:type="dxa"/>
            <w:vAlign w:val="center"/>
          </w:tcPr>
          <w:p>
            <w:pPr>
              <w:pStyle w:val="13"/>
            </w:pPr>
          </w:p>
        </w:tc>
        <w:tc>
          <w:tcPr>
            <w:tcW w:w="164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0.07</w:t>
            </w:r>
          </w:p>
        </w:tc>
        <w:tc>
          <w:tcPr>
            <w:tcW w:w="1643" w:type="dxa"/>
            <w:vAlign w:val="center"/>
          </w:tcPr>
          <w:p>
            <w:pPr>
              <w:pStyle w:val="13"/>
            </w:pPr>
          </w:p>
        </w:tc>
        <w:tc>
          <w:tcPr>
            <w:tcW w:w="1643" w:type="dxa"/>
            <w:vAlign w:val="center"/>
          </w:tcPr>
          <w:p>
            <w:pPr>
              <w:pStyle w:val="13"/>
            </w:pPr>
            <w:r>
              <w:t>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0751"/>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1467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18622"/>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257" w:firstLineChars="10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石家庄市藁城区文学艺术界联合会2022年部门预算信息公开情况说明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石家庄市藁城区文学艺术界联合会2022年部门预算信息公开情况说明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按照《预算法》、《地方预决算公开操作规程》和《关于进一步推进预算公开工作的实施意见》规定，现将石家庄市藁城区文学艺术界联合会2022年部门预算公开如下：</w:t>
      </w:r>
    </w:p>
    <w:p>
      <w:pPr>
        <w:spacing w:before="10" w:after="10" w:line="360" w:lineRule="auto"/>
        <w:ind w:firstLine="640"/>
        <w:jc w:val="left"/>
        <w:outlineLvl w:val="2"/>
      </w:pPr>
      <w:bookmarkStart w:id="9" w:name="_Toc24221"/>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区文联部门职责</w:t>
      </w:r>
    </w:p>
    <w:p>
      <w:pPr>
        <w:pStyle w:val="17"/>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石家庄市藁城区文学艺术界联合会</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5760"/>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按照预算管理有关规定，目前我省部门预算的编制实行综合预算管理，即全部收入和支出都反映在预算中。石家庄市藁城区文学艺术界联合会机关及所属事业单位的收支包含在部门预算中。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141.21</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134.97</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122.04</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12.93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6.24</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文联联络交流经费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w:t>
      </w:r>
      <w:r>
        <w:rPr>
          <w:rFonts w:hint="eastAsia" w:ascii="Times New Roman" w:hAnsi="Times New Roman" w:eastAsia="仿宋" w:cs="Times New Roman"/>
          <w:sz w:val="32"/>
          <w:szCs w:val="32"/>
        </w:rPr>
        <w:t>万元，</w:t>
      </w:r>
      <w:r>
        <w:rPr>
          <w:rFonts w:hint="eastAsia" w:eastAsia="仿宋" w:cs="Times New Roman"/>
          <w:sz w:val="32"/>
          <w:szCs w:val="32"/>
          <w:lang w:eastAsia="zh-CN"/>
        </w:rPr>
        <w:t>文联办公经费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1.24</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color w:val="000000"/>
          <w:sz w:val="32"/>
          <w:szCs w:val="32"/>
          <w:lang w:val="en-US" w:eastAsia="zh-CN"/>
        </w:rPr>
        <w:t>141.21</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51.14</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45.9</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eastAsia="仿宋" w:cs="Times New Roman"/>
          <w:sz w:val="32"/>
          <w:szCs w:val="32"/>
          <w:lang w:val="en-US" w:eastAsia="zh-CN"/>
        </w:rPr>
        <w:t>2人</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5.24</w:t>
      </w:r>
      <w:r>
        <w:rPr>
          <w:rFonts w:hint="eastAsia" w:ascii="Times New Roman" w:hAnsi="Times New Roman" w:eastAsia="仿宋" w:cs="Times New Roman"/>
          <w:sz w:val="32"/>
          <w:szCs w:val="32"/>
        </w:rPr>
        <w:t>万元，主要是增加</w:t>
      </w:r>
      <w:r>
        <w:rPr>
          <w:rFonts w:hint="eastAsia" w:eastAsia="仿宋" w:cs="Times New Roman"/>
          <w:sz w:val="32"/>
          <w:szCs w:val="32"/>
          <w:lang w:val="en-US" w:eastAsia="zh-CN"/>
        </w:rPr>
        <w:t>1名正科级领导需购置办公设备保证其办公，需1.24万元购买；另文艺联络交流经费增4万元，因对标北京朝阳区文联，开展文艺志愿服务，实施企业文联试点建设，庆祝党的二十大系列活动，纪念石家庄解放75周年等，需资金支持</w:t>
      </w:r>
      <w:r>
        <w:rPr>
          <w:rFonts w:hint="eastAsia" w:ascii="Times New Roman" w:hAnsi="Times New Roman" w:eastAsia="仿宋" w:cs="Times New Roman"/>
          <w:sz w:val="32"/>
          <w:szCs w:val="32"/>
        </w:rPr>
        <w:t>；其他支出无增减变化。</w:t>
      </w:r>
    </w:p>
    <w:p>
      <w:pPr>
        <w:numPr>
          <w:ilvl w:val="0"/>
          <w:numId w:val="1"/>
        </w:numPr>
        <w:spacing w:before="10" w:after="10" w:line="360" w:lineRule="auto"/>
        <w:ind w:left="80" w:leftChars="0" w:firstLine="640" w:firstLineChars="0"/>
        <w:jc w:val="left"/>
        <w:outlineLvl w:val="2"/>
        <w:rPr>
          <w:rFonts w:ascii="黑体" w:hAnsi="黑体" w:eastAsia="黑体" w:cs="黑体"/>
          <w:color w:val="000000"/>
          <w:sz w:val="32"/>
        </w:rPr>
      </w:pPr>
      <w:bookmarkStart w:id="11" w:name="_Toc26610"/>
      <w:r>
        <w:rPr>
          <w:rFonts w:ascii="黑体" w:hAnsi="黑体" w:eastAsia="黑体" w:cs="黑体"/>
          <w:color w:val="000000"/>
          <w:sz w:val="32"/>
        </w:rPr>
        <w:t>机关运行经费安排情况</w:t>
      </w:r>
      <w:bookmarkEnd w:id="11"/>
    </w:p>
    <w:p>
      <w:pPr>
        <w:spacing w:line="460" w:lineRule="exact"/>
        <w:ind w:firstLine="640" w:firstLineChars="200"/>
      </w:pPr>
      <w:r>
        <w:rPr>
          <w:rFonts w:hint="eastAsia" w:ascii="黑体" w:hAnsi="黑体" w:eastAsia="黑体" w:cs="黑体"/>
          <w:color w:val="000000"/>
          <w:sz w:val="32"/>
          <w:lang w:val="en-US" w:eastAsia="zh-CN"/>
        </w:rPr>
        <w:t xml:space="preserve">   </w:t>
      </w:r>
      <w:r>
        <w:rPr>
          <w:rFonts w:hint="eastAsia" w:ascii="Times New Roman" w:hAnsi="Times New Roman" w:eastAsia="仿宋" w:cs="Times New Roman"/>
          <w:sz w:val="32"/>
          <w:szCs w:val="32"/>
        </w:rPr>
        <w:t>2022年，我</w:t>
      </w:r>
      <w:r>
        <w:rPr>
          <w:rFonts w:hint="eastAsia" w:eastAsia="仿宋" w:cs="Times New Roman"/>
          <w:sz w:val="32"/>
          <w:szCs w:val="32"/>
          <w:lang w:eastAsia="zh-CN"/>
        </w:rPr>
        <w:t>部门</w:t>
      </w:r>
      <w:r>
        <w:rPr>
          <w:rFonts w:hint="eastAsia" w:ascii="Times New Roman" w:hAnsi="Times New Roman" w:eastAsia="仿宋" w:cs="Times New Roman"/>
          <w:sz w:val="32"/>
          <w:szCs w:val="32"/>
        </w:rPr>
        <w:t>机关运行经费共计安排</w:t>
      </w:r>
      <w:r>
        <w:rPr>
          <w:rFonts w:hint="eastAsia" w:eastAsia="仿宋" w:cs="Times New Roman"/>
          <w:sz w:val="32"/>
          <w:szCs w:val="32"/>
          <w:lang w:val="en-US" w:eastAsia="zh-CN"/>
        </w:rPr>
        <w:t>12.93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9400"/>
      <w:r>
        <w:rPr>
          <w:rFonts w:ascii="黑体" w:hAnsi="黑体" w:eastAsia="黑体" w:cs="黑体"/>
          <w:color w:val="000000"/>
          <w:sz w:val="32"/>
        </w:rPr>
        <w:t>四、财政拨款“三公”经费预算情况及增减变化原因</w:t>
      </w:r>
      <w:bookmarkEnd w:id="12"/>
    </w:p>
    <w:p>
      <w:pPr>
        <w:pStyle w:val="18"/>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spacing w:before="10" w:after="10" w:line="360" w:lineRule="auto"/>
        <w:ind w:firstLine="640"/>
        <w:jc w:val="left"/>
        <w:outlineLvl w:val="2"/>
      </w:pPr>
      <w:bookmarkStart w:id="13" w:name="_Toc17862"/>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（一）总体绩效目</w:t>
      </w:r>
    </w:p>
    <w:p>
      <w:pPr>
        <w:pStyle w:val="19"/>
      </w:pPr>
    </w:p>
    <w:p>
      <w:pPr>
        <w:pStyle w:val="19"/>
      </w:pPr>
      <w:r>
        <w:t>坚持以习近平新时代中国特色社会主义思想、区委、区政府的中心工作为指导，紧紧围绕区文联的中心工作，依托十二大协会，积极开展各类社会性文艺活动；完善基层文联组织，发挥乡镇村文联的桥梁纽带作用；召开联络会议，组织会员活动，加大培训力度，为文艺事业健康快速发展提供组织保障。完善文艺精品扶持和奖励机制，论证确定一批既有藁城地域特色，又具备创作空间和社会影响力的题材。完成文化交流计划，完成对外宣传，扩大文艺工作的覆盖面和社会影响力。建立人才库，发现、扶持和培养文艺新人，出作品，出人才，促进藁城区文艺事业的繁荣，实现为我区的改革开放、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分项绩效目标</w:t>
      </w:r>
    </w:p>
    <w:p>
      <w:pPr>
        <w:pStyle w:val="20"/>
      </w:pPr>
      <w:r>
        <w:t>（一）加强文艺家协会组织建设,培养文艺人才。</w:t>
      </w:r>
    </w:p>
    <w:p>
      <w:pPr>
        <w:pStyle w:val="20"/>
      </w:pPr>
      <w:r>
        <w:t>绩效目标：推进协会管理科学规范、保障文联正常有序运行，召开联络会议，组织会员活动，加大培训力度，为文艺事业健康快速发展提供组织保障。</w:t>
      </w:r>
      <w:r>
        <w:tab/>
      </w:r>
    </w:p>
    <w:p>
      <w:pPr>
        <w:pStyle w:val="20"/>
      </w:pPr>
      <w:r>
        <w:t>绩效指标：召开协会会议，加强会员管理，举办会员活动，维护活动场所，建设文艺人才资源库，组织文艺研修，提高广大文艺工作者的政治、业务素质。保障机关正常运行。文艺人才入省市文艺人才网资源库人数每年1人以上，，组织各类文艺活动5次以上，参加省市研修人数2人以上。</w:t>
      </w:r>
    </w:p>
    <w:p>
      <w:pPr>
        <w:pStyle w:val="20"/>
      </w:pPr>
      <w:r>
        <w:t>（二）开展文艺家艺术创作，打造文艺精品。</w:t>
      </w:r>
    </w:p>
    <w:p>
      <w:pPr>
        <w:pStyle w:val="20"/>
      </w:pPr>
      <w:r>
        <w:t>绩效目标：完善文艺精品扶持和奖励机制，论证确定一批既有本地地域特色，又具备创作空间和社会影响力的题材。</w:t>
      </w:r>
    </w:p>
    <w:p>
      <w:pPr>
        <w:pStyle w:val="20"/>
      </w:pPr>
      <w:r>
        <w:t>绩效指标：组织艺术家深入生活，打造艺术精品。举办文艺活动，积极申报文艺奖项、组织好区内评奖，弘扬优秀传统文化，推动文化强区建设。组织艺术家创作次数，每年2次及以上。组织研讨推介活动次数，每年2次及以上。生产文艺精品数量2个以上。</w:t>
      </w:r>
    </w:p>
    <w:p>
      <w:pPr>
        <w:pStyle w:val="20"/>
      </w:pPr>
      <w:r>
        <w:t>（三）做好文艺宣传工作，文化氛围进一步提升。</w:t>
      </w:r>
    </w:p>
    <w:p>
      <w:pPr>
        <w:pStyle w:val="20"/>
      </w:pPr>
      <w:r>
        <w:t>绩效目标：进一步扩大文艺工作的覆盖面和社会影响力。</w:t>
      </w:r>
    </w:p>
    <w:p>
      <w:pPr>
        <w:pStyle w:val="20"/>
      </w:pPr>
      <w:r>
        <w:t>绩效指标：广泛利用媒体多种形式推介优秀作品。营造积极向上的文化氛围。媒体宣传、信息数量（篇），每年不少于3篇。</w:t>
      </w:r>
    </w:p>
    <w:p>
      <w:pPr>
        <w:pStyle w:val="20"/>
      </w:pPr>
      <w:r>
        <w:t>（四）进一步加强文化交流活动。</w:t>
      </w:r>
    </w:p>
    <w:p>
      <w:pPr>
        <w:pStyle w:val="20"/>
      </w:pPr>
      <w:r>
        <w:t>绩效目标：完成文化交流计划，促进区域文化艺术的影响力和美誉度进一步提高。</w:t>
      </w:r>
    </w:p>
    <w:p>
      <w:pPr>
        <w:pStyle w:val="20"/>
      </w:pPr>
      <w:r>
        <w:t>绩效指标：积极参加文化交流活动，提高区域文化凝聚力和影响力。组织民间文化交流次数（次），每年2次以上。</w:t>
      </w:r>
    </w:p>
    <w:p>
      <w:pPr>
        <w:pStyle w:val="20"/>
      </w:pPr>
      <w:r>
        <w:t>（五）宣传文化，提高人民文化水平</w:t>
      </w:r>
    </w:p>
    <w:p>
      <w:pPr>
        <w:pStyle w:val="20"/>
      </w:pPr>
      <w:r>
        <w:t>绩效目标：宣传文化，提高人民文化水平</w:t>
      </w:r>
    </w:p>
    <w:p>
      <w:pPr>
        <w:pStyle w:val="20"/>
      </w:pPr>
      <w:r>
        <w:t>绩效指标：通过演出文化培训创作优秀作品交流等，达到丰富人民精神生活，弘扬社会主义核心价值观，增强文化自信，不断满足群众日益增长的精神文化生活需要。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 xml:space="preserve">区文联工作保障措施 </w:t>
      </w:r>
    </w:p>
    <w:p>
      <w:pPr>
        <w:pStyle w:val="21"/>
      </w:pPr>
      <w:r>
        <w:t xml:space="preserve">1、完善制度建设    </w:t>
      </w:r>
    </w:p>
    <w:p>
      <w:pPr>
        <w:pStyle w:val="21"/>
      </w:pPr>
      <w:r>
        <w:rPr>
          <w:rFonts w:hint="eastAsia"/>
          <w:lang w:eastAsia="zh-CN"/>
        </w:rPr>
        <w:t>建</w:t>
      </w:r>
      <w:r>
        <w:t>立健全有效可行的财务制度，加强预算绩效的管理和监督，进一步加强预算资金管理办法的细化，提高预算资金的使用率，引入内部审计和监督机制，从而为全年预算绩效目标的实现奠定制度基础。</w:t>
      </w:r>
    </w:p>
    <w:p>
      <w:pPr>
        <w:pStyle w:val="21"/>
      </w:pPr>
      <w:r>
        <w:t xml:space="preserve">2、加强支出管理    </w:t>
      </w:r>
    </w:p>
    <w:p>
      <w:pPr>
        <w:pStyle w:val="21"/>
      </w:pPr>
      <w:r>
        <w:t>严格执行《预算法》，优化支出结构，坚决履行政府采购手续，提前着手启动各项目的实施，严格原始凭证管理监督，及时快速支付项目资金，按规定报送用款计划及时支付，确保各季度支出进度达标。</w:t>
      </w:r>
    </w:p>
    <w:p>
      <w:pPr>
        <w:pStyle w:val="21"/>
      </w:pPr>
      <w:r>
        <w:t xml:space="preserve">3、加强绩效运行监控    </w:t>
      </w:r>
    </w:p>
    <w:p>
      <w:pPr>
        <w:pStyle w:val="21"/>
      </w:pPr>
      <w:r>
        <w:t>每个预算项目的实施都要进行绩效评估，同进还要邀请内部监督人员实时跟踪和监查；发现问题及时解决，确保绩效目标如期保质实现。</w:t>
      </w:r>
    </w:p>
    <w:p>
      <w:pPr>
        <w:pStyle w:val="21"/>
      </w:pPr>
      <w:r>
        <w:t xml:space="preserve">4、做好绩效自评    </w:t>
      </w:r>
    </w:p>
    <w:p>
      <w:pPr>
        <w:pStyle w:val="21"/>
      </w:pPr>
      <w:r>
        <w:rPr>
          <w:rFonts w:hint="eastAsia"/>
          <w:lang w:eastAsia="zh-CN"/>
        </w:rPr>
        <w:t>建</w:t>
      </w:r>
      <w:r>
        <w:t>立健全绩效评价工作领导小组，按上级要求开展上年度部门预算绩效自评和重点评价工作，对评价中发现的问题及时整改，调整优化支出结构，提高财政资金使用效益。</w:t>
      </w:r>
    </w:p>
    <w:p>
      <w:pPr>
        <w:pStyle w:val="21"/>
      </w:pPr>
      <w:r>
        <w:t xml:space="preserve">5、规范财务资产管理   </w:t>
      </w:r>
    </w:p>
    <w:p>
      <w:pPr>
        <w:pStyle w:val="21"/>
      </w:pPr>
      <w:r>
        <w:t>完善财务管理制度，严格审批程序，加强固定资产登记、使用和报废处置管理，做到支出合理，物尽其用。</w:t>
      </w:r>
    </w:p>
    <w:p>
      <w:pPr>
        <w:pStyle w:val="21"/>
      </w:pPr>
      <w:r>
        <w:t xml:space="preserve">6、加强内部监督    </w:t>
      </w:r>
    </w:p>
    <w:p>
      <w:pPr>
        <w:pStyle w:val="21"/>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1"/>
      </w:pPr>
      <w:r>
        <w:t xml:space="preserve">7、加强宣传培训调研   </w:t>
      </w:r>
    </w:p>
    <w:p>
      <w:pPr>
        <w:pStyle w:val="21"/>
      </w:pPr>
      <w:r>
        <w:t>加强人员培训，提高本部门职工业务素质；加强调研，提出优化财政资金配置、提高资金使用效益的意见；加大宣传力度，强化预算绩效管理意识，促进预算绩效管理水平进一步提升。</w:t>
      </w:r>
    </w:p>
    <w:p>
      <w:pPr>
        <w:pStyle w:val="21"/>
      </w:pPr>
    </w:p>
    <w:p>
      <w:pPr>
        <w:pStyle w:val="21"/>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2"/>
        <w:spacing w:before="0" w:after="0"/>
        <w:ind w:firstLine="560"/>
        <w:jc w:val="left"/>
        <w:outlineLvl w:val="9"/>
      </w:pPr>
      <w:r>
        <w:rPr>
          <w:rFonts w:ascii="方正仿宋_GBK" w:hAnsi="方正仿宋_GBK" w:eastAsia="方正仿宋_GBK" w:cs="方正仿宋_GBK"/>
          <w:b/>
          <w:color w:val="000000"/>
          <w:sz w:val="28"/>
        </w:rPr>
        <w:t>1、文联办公经费绩效目标表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1.目标内容1</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办公设备购置</w:t>
            </w:r>
          </w:p>
          <w:p>
            <w:pPr>
              <w:pStyle w:val="24"/>
            </w:pPr>
          </w:p>
        </w:tc>
        <w:tc>
          <w:tcPr>
            <w:tcW w:w="2466" w:type="dxa"/>
            <w:vAlign w:val="center"/>
          </w:tcPr>
          <w:p>
            <w:pPr>
              <w:pStyle w:val="24"/>
            </w:pPr>
            <w:r>
              <w:t>按《藁城区行政事业单位国有资产配置管理办法》标准配置，保障新增人员正常办工，机关工作正常运转。</w:t>
            </w:r>
          </w:p>
        </w:tc>
        <w:tc>
          <w:tcPr>
            <w:tcW w:w="2466" w:type="dxa"/>
            <w:vAlign w:val="center"/>
          </w:tcPr>
          <w:p>
            <w:pPr>
              <w:pStyle w:val="24"/>
            </w:pPr>
            <w:r>
              <w:t>6套</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覆盖率</w:t>
            </w:r>
          </w:p>
        </w:tc>
        <w:tc>
          <w:tcPr>
            <w:tcW w:w="2466" w:type="dxa"/>
            <w:vAlign w:val="center"/>
          </w:tcPr>
          <w:p>
            <w:pPr>
              <w:pStyle w:val="24"/>
            </w:pPr>
            <w:r>
              <w:t>新增人员办公覆盖情况</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办公设备购置完成率</w:t>
            </w:r>
          </w:p>
        </w:tc>
        <w:tc>
          <w:tcPr>
            <w:tcW w:w="2466" w:type="dxa"/>
            <w:vAlign w:val="center"/>
          </w:tcPr>
          <w:p>
            <w:pPr>
              <w:pStyle w:val="24"/>
            </w:pPr>
            <w:r>
              <w:t>购置办公用品完成情况</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项目预算控制数</w:t>
            </w:r>
          </w:p>
        </w:tc>
        <w:tc>
          <w:tcPr>
            <w:tcW w:w="2466" w:type="dxa"/>
            <w:vAlign w:val="center"/>
          </w:tcPr>
          <w:p>
            <w:pPr>
              <w:pStyle w:val="24"/>
            </w:pPr>
            <w:r>
              <w:t>不超过财政支持经费规模</w:t>
            </w:r>
          </w:p>
        </w:tc>
        <w:tc>
          <w:tcPr>
            <w:tcW w:w="2466" w:type="dxa"/>
            <w:vAlign w:val="center"/>
          </w:tcPr>
          <w:p>
            <w:pPr>
              <w:pStyle w:val="24"/>
            </w:pPr>
            <w:r>
              <w:t>≤1.24万元</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经济效益指标</w:t>
            </w:r>
          </w:p>
        </w:tc>
        <w:tc>
          <w:tcPr>
            <w:tcW w:w="2466" w:type="dxa"/>
            <w:vAlign w:val="center"/>
          </w:tcPr>
          <w:p>
            <w:pPr>
              <w:pStyle w:val="24"/>
            </w:pPr>
            <w:r>
              <w:t>办公用品发放使用量占购置量的比例</w:t>
            </w:r>
          </w:p>
        </w:tc>
        <w:tc>
          <w:tcPr>
            <w:tcW w:w="2466" w:type="dxa"/>
            <w:vAlign w:val="center"/>
          </w:tcPr>
          <w:p>
            <w:pPr>
              <w:pStyle w:val="24"/>
            </w:pPr>
            <w:r>
              <w:t>办公用品发放使用量占购置量的比例</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新增人员满意度</w:t>
            </w:r>
          </w:p>
        </w:tc>
        <w:tc>
          <w:tcPr>
            <w:tcW w:w="2466" w:type="dxa"/>
            <w:vAlign w:val="center"/>
          </w:tcPr>
          <w:p>
            <w:pPr>
              <w:pStyle w:val="24"/>
            </w:pPr>
            <w:r>
              <w:t>新增人员对办公环境的整体满意度</w:t>
            </w:r>
          </w:p>
        </w:tc>
        <w:tc>
          <w:tcPr>
            <w:tcW w:w="2466" w:type="dxa"/>
            <w:vAlign w:val="center"/>
          </w:tcPr>
          <w:p>
            <w:pPr>
              <w:pStyle w:val="24"/>
            </w:pPr>
            <w:r>
              <w:t>≥98%</w:t>
            </w:r>
          </w:p>
        </w:tc>
        <w:tc>
          <w:tcPr>
            <w:tcW w:w="2466" w:type="dxa"/>
            <w:vAlign w:val="center"/>
          </w:tcPr>
          <w:p>
            <w:pPr>
              <w:pStyle w:val="24"/>
            </w:pPr>
            <w:r>
              <w:t>年度工作工作计划</w:t>
            </w:r>
          </w:p>
        </w:tc>
      </w:tr>
    </w:tbl>
    <w:p>
      <w:pPr>
        <w:pStyle w:val="22"/>
      </w:pPr>
    </w:p>
    <w:p>
      <w:pPr>
        <w:pStyle w:val="22"/>
      </w:pPr>
    </w:p>
    <w:p>
      <w:pPr>
        <w:pStyle w:val="22"/>
      </w:pPr>
    </w:p>
    <w:p>
      <w:pPr>
        <w:pStyle w:val="22"/>
      </w:pPr>
    </w:p>
    <w:p>
      <w:pPr>
        <w:pStyle w:val="22"/>
      </w:pPr>
    </w:p>
    <w:p>
      <w:pPr>
        <w:pStyle w:val="22"/>
      </w:pPr>
    </w:p>
    <w:p>
      <w:pPr>
        <w:pStyle w:val="22"/>
      </w:pPr>
    </w:p>
    <w:p>
      <w:pPr>
        <w:pStyle w:val="22"/>
        <w:spacing w:before="0" w:after="0"/>
        <w:ind w:firstLine="560"/>
        <w:jc w:val="left"/>
        <w:outlineLvl w:val="9"/>
      </w:pPr>
      <w:r>
        <w:rPr>
          <w:rFonts w:ascii="方正仿宋_GBK" w:hAnsi="方正仿宋_GBK" w:eastAsia="方正仿宋_GBK" w:cs="方正仿宋_GBK"/>
          <w:b/>
          <w:color w:val="000000"/>
          <w:sz w:val="28"/>
        </w:rPr>
        <w:t>2、文艺联络交流经费绩效目标表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3"/>
            </w:pPr>
            <w:r>
              <w:t>绩效目标</w:t>
            </w:r>
          </w:p>
        </w:tc>
        <w:tc>
          <w:tcPr>
            <w:tcW w:w="7399" w:type="dxa"/>
            <w:tcBorders>
              <w:bottom w:val="single" w:color="FFFFFF" w:sz="6" w:space="0"/>
            </w:tcBorders>
            <w:vAlign w:val="center"/>
          </w:tcPr>
          <w:p>
            <w:pPr>
              <w:pStyle w:val="24"/>
            </w:pPr>
            <w:r>
              <w:t>1.目标内容1</w:t>
            </w:r>
          </w:p>
        </w:tc>
      </w:tr>
    </w:tbl>
    <w:p>
      <w:pPr>
        <w:pStyle w:val="22"/>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3"/>
            </w:pPr>
            <w:r>
              <w:t>一级指标</w:t>
            </w:r>
          </w:p>
        </w:tc>
        <w:tc>
          <w:tcPr>
            <w:tcW w:w="2466" w:type="dxa"/>
            <w:vAlign w:val="center"/>
          </w:tcPr>
          <w:p>
            <w:pPr>
              <w:pStyle w:val="23"/>
            </w:pPr>
            <w:r>
              <w:t>二级指标</w:t>
            </w:r>
          </w:p>
        </w:tc>
        <w:tc>
          <w:tcPr>
            <w:tcW w:w="2466" w:type="dxa"/>
            <w:vAlign w:val="center"/>
          </w:tcPr>
          <w:p>
            <w:pPr>
              <w:pStyle w:val="23"/>
            </w:pPr>
            <w:r>
              <w:t>三级指标</w:t>
            </w:r>
          </w:p>
        </w:tc>
        <w:tc>
          <w:tcPr>
            <w:tcW w:w="2466" w:type="dxa"/>
            <w:vAlign w:val="center"/>
          </w:tcPr>
          <w:p>
            <w:pPr>
              <w:pStyle w:val="23"/>
            </w:pPr>
            <w:r>
              <w:t>绩效指标描述</w:t>
            </w:r>
          </w:p>
        </w:tc>
        <w:tc>
          <w:tcPr>
            <w:tcW w:w="2466" w:type="dxa"/>
            <w:vAlign w:val="center"/>
          </w:tcPr>
          <w:p>
            <w:pPr>
              <w:pStyle w:val="23"/>
            </w:pPr>
            <w:r>
              <w:t>指标值</w:t>
            </w:r>
          </w:p>
        </w:tc>
        <w:tc>
          <w:tcPr>
            <w:tcW w:w="2466"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5"/>
            </w:pPr>
            <w:r>
              <w:t>产出指标</w:t>
            </w:r>
          </w:p>
        </w:tc>
        <w:tc>
          <w:tcPr>
            <w:tcW w:w="2466" w:type="dxa"/>
            <w:vAlign w:val="center"/>
          </w:tcPr>
          <w:p>
            <w:pPr>
              <w:pStyle w:val="24"/>
            </w:pPr>
            <w:r>
              <w:t>数量指标</w:t>
            </w:r>
          </w:p>
        </w:tc>
        <w:tc>
          <w:tcPr>
            <w:tcW w:w="2466" w:type="dxa"/>
            <w:vAlign w:val="center"/>
          </w:tcPr>
          <w:p>
            <w:pPr>
              <w:pStyle w:val="24"/>
            </w:pPr>
            <w:r>
              <w:t>组织活动的场次</w:t>
            </w:r>
          </w:p>
        </w:tc>
        <w:tc>
          <w:tcPr>
            <w:tcW w:w="2466" w:type="dxa"/>
            <w:vAlign w:val="center"/>
          </w:tcPr>
          <w:p>
            <w:pPr>
              <w:pStyle w:val="24"/>
            </w:pPr>
            <w:r>
              <w:t>举办各艺术门类业务活动场次</w:t>
            </w:r>
          </w:p>
        </w:tc>
        <w:tc>
          <w:tcPr>
            <w:tcW w:w="2466" w:type="dxa"/>
            <w:vAlign w:val="center"/>
          </w:tcPr>
          <w:p>
            <w:pPr>
              <w:pStyle w:val="24"/>
            </w:pPr>
            <w:r>
              <w:t>≥5次</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组织艺术家创作次数</w:t>
            </w:r>
          </w:p>
        </w:tc>
        <w:tc>
          <w:tcPr>
            <w:tcW w:w="2466" w:type="dxa"/>
            <w:vAlign w:val="center"/>
          </w:tcPr>
          <w:p>
            <w:pPr>
              <w:pStyle w:val="24"/>
            </w:pPr>
            <w:r>
              <w:t>艺术创作次数</w:t>
            </w:r>
          </w:p>
        </w:tc>
        <w:tc>
          <w:tcPr>
            <w:tcW w:w="2466" w:type="dxa"/>
            <w:vAlign w:val="center"/>
          </w:tcPr>
          <w:p>
            <w:pPr>
              <w:pStyle w:val="24"/>
            </w:pPr>
            <w:r>
              <w:t>≥2次</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组织研讨推介活动次数</w:t>
            </w:r>
          </w:p>
        </w:tc>
        <w:tc>
          <w:tcPr>
            <w:tcW w:w="2466" w:type="dxa"/>
            <w:vAlign w:val="center"/>
          </w:tcPr>
          <w:p>
            <w:pPr>
              <w:pStyle w:val="24"/>
            </w:pPr>
            <w:r>
              <w:t>组织活动次数</w:t>
            </w:r>
          </w:p>
        </w:tc>
        <w:tc>
          <w:tcPr>
            <w:tcW w:w="2466" w:type="dxa"/>
            <w:vAlign w:val="center"/>
          </w:tcPr>
          <w:p>
            <w:pPr>
              <w:pStyle w:val="24"/>
            </w:pPr>
            <w:r>
              <w:t>≥2次</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媒体宣传、信息数量(篇)</w:t>
            </w:r>
          </w:p>
        </w:tc>
        <w:tc>
          <w:tcPr>
            <w:tcW w:w="2466" w:type="dxa"/>
            <w:vAlign w:val="center"/>
          </w:tcPr>
          <w:p>
            <w:pPr>
              <w:pStyle w:val="24"/>
            </w:pPr>
            <w:r>
              <w:t>对外宣传信息的篇幅</w:t>
            </w:r>
          </w:p>
        </w:tc>
        <w:tc>
          <w:tcPr>
            <w:tcW w:w="2466" w:type="dxa"/>
            <w:vAlign w:val="center"/>
          </w:tcPr>
          <w:p>
            <w:pPr>
              <w:pStyle w:val="24"/>
            </w:pPr>
            <w:r>
              <w:t>≥3篇</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组织对外、民间文化交流次数</w:t>
            </w:r>
          </w:p>
        </w:tc>
        <w:tc>
          <w:tcPr>
            <w:tcW w:w="2466" w:type="dxa"/>
            <w:vAlign w:val="center"/>
          </w:tcPr>
          <w:p>
            <w:pPr>
              <w:pStyle w:val="24"/>
            </w:pPr>
            <w:r>
              <w:t>组织对外、民间文化交流次数</w:t>
            </w:r>
          </w:p>
        </w:tc>
        <w:tc>
          <w:tcPr>
            <w:tcW w:w="2466" w:type="dxa"/>
            <w:vAlign w:val="center"/>
          </w:tcPr>
          <w:p>
            <w:pPr>
              <w:pStyle w:val="24"/>
            </w:pPr>
            <w:r>
              <w:t>≥2次</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文艺精品生产数量</w:t>
            </w:r>
          </w:p>
        </w:tc>
        <w:tc>
          <w:tcPr>
            <w:tcW w:w="2466" w:type="dxa"/>
            <w:vAlign w:val="center"/>
          </w:tcPr>
          <w:p>
            <w:pPr>
              <w:pStyle w:val="24"/>
            </w:pPr>
            <w:r>
              <w:t>生产文艺精品的数量</w:t>
            </w:r>
          </w:p>
        </w:tc>
        <w:tc>
          <w:tcPr>
            <w:tcW w:w="2466" w:type="dxa"/>
            <w:vAlign w:val="center"/>
          </w:tcPr>
          <w:p>
            <w:pPr>
              <w:pStyle w:val="24"/>
            </w:pPr>
            <w:r>
              <w:t>≥2个</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文艺研修教育人数</w:t>
            </w:r>
          </w:p>
        </w:tc>
        <w:tc>
          <w:tcPr>
            <w:tcW w:w="2466" w:type="dxa"/>
            <w:vAlign w:val="center"/>
          </w:tcPr>
          <w:p>
            <w:pPr>
              <w:pStyle w:val="24"/>
            </w:pPr>
            <w:r>
              <w:t>参加省市文艺研修及教育的人数</w:t>
            </w:r>
          </w:p>
        </w:tc>
        <w:tc>
          <w:tcPr>
            <w:tcW w:w="2466" w:type="dxa"/>
            <w:vAlign w:val="center"/>
          </w:tcPr>
          <w:p>
            <w:pPr>
              <w:pStyle w:val="24"/>
            </w:pPr>
            <w:r>
              <w:t>≥2人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数量指标</w:t>
            </w:r>
          </w:p>
        </w:tc>
        <w:tc>
          <w:tcPr>
            <w:tcW w:w="2466" w:type="dxa"/>
            <w:vAlign w:val="center"/>
          </w:tcPr>
          <w:p>
            <w:pPr>
              <w:pStyle w:val="24"/>
            </w:pPr>
            <w:r>
              <w:t>文艺人才资源库人数</w:t>
            </w:r>
          </w:p>
        </w:tc>
        <w:tc>
          <w:tcPr>
            <w:tcW w:w="2466" w:type="dxa"/>
            <w:vAlign w:val="center"/>
          </w:tcPr>
          <w:p>
            <w:pPr>
              <w:pStyle w:val="24"/>
            </w:pPr>
            <w:r>
              <w:t>被省市文艺人才网资源库纳入的艺术家人数</w:t>
            </w:r>
          </w:p>
        </w:tc>
        <w:tc>
          <w:tcPr>
            <w:tcW w:w="2466" w:type="dxa"/>
            <w:vAlign w:val="center"/>
          </w:tcPr>
          <w:p>
            <w:pPr>
              <w:pStyle w:val="24"/>
            </w:pPr>
            <w:r>
              <w:t>≥1人</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质量指标</w:t>
            </w:r>
          </w:p>
        </w:tc>
        <w:tc>
          <w:tcPr>
            <w:tcW w:w="2466" w:type="dxa"/>
            <w:vAlign w:val="center"/>
          </w:tcPr>
          <w:p>
            <w:pPr>
              <w:pStyle w:val="24"/>
            </w:pPr>
            <w:r>
              <w:t>综合事务完成率</w:t>
            </w:r>
          </w:p>
        </w:tc>
        <w:tc>
          <w:tcPr>
            <w:tcW w:w="2466" w:type="dxa"/>
            <w:vAlign w:val="center"/>
          </w:tcPr>
          <w:p>
            <w:pPr>
              <w:pStyle w:val="24"/>
            </w:pPr>
            <w:r>
              <w:t>综合事务管理工作完成情况，保证机关工作有序正常高效运转。</w:t>
            </w:r>
          </w:p>
        </w:tc>
        <w:tc>
          <w:tcPr>
            <w:tcW w:w="2466" w:type="dxa"/>
            <w:vAlign w:val="center"/>
          </w:tcPr>
          <w:p>
            <w:pPr>
              <w:pStyle w:val="24"/>
            </w:pPr>
            <w:r>
              <w:t>≥95%</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时效指标</w:t>
            </w:r>
          </w:p>
        </w:tc>
        <w:tc>
          <w:tcPr>
            <w:tcW w:w="2466" w:type="dxa"/>
            <w:vAlign w:val="center"/>
          </w:tcPr>
          <w:p>
            <w:pPr>
              <w:pStyle w:val="24"/>
            </w:pPr>
            <w:r>
              <w:t>计划完成及时率</w:t>
            </w:r>
          </w:p>
        </w:tc>
        <w:tc>
          <w:tcPr>
            <w:tcW w:w="2466" w:type="dxa"/>
            <w:vAlign w:val="center"/>
          </w:tcPr>
          <w:p>
            <w:pPr>
              <w:pStyle w:val="24"/>
            </w:pPr>
            <w:r>
              <w:t>按要求及时完成各项文艺活动计划</w:t>
            </w:r>
          </w:p>
        </w:tc>
        <w:tc>
          <w:tcPr>
            <w:tcW w:w="2466" w:type="dxa"/>
            <w:vAlign w:val="center"/>
          </w:tcPr>
          <w:p>
            <w:pPr>
              <w:pStyle w:val="24"/>
            </w:pPr>
            <w:r>
              <w:t>≥95%</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2"/>
            </w:pPr>
          </w:p>
        </w:tc>
        <w:tc>
          <w:tcPr>
            <w:tcW w:w="2466" w:type="dxa"/>
            <w:vAlign w:val="center"/>
          </w:tcPr>
          <w:p>
            <w:pPr>
              <w:pStyle w:val="24"/>
            </w:pPr>
            <w:r>
              <w:t>成本指标</w:t>
            </w:r>
          </w:p>
        </w:tc>
        <w:tc>
          <w:tcPr>
            <w:tcW w:w="2466" w:type="dxa"/>
            <w:vAlign w:val="center"/>
          </w:tcPr>
          <w:p>
            <w:pPr>
              <w:pStyle w:val="24"/>
            </w:pPr>
            <w:r>
              <w:t>项目预算控制数</w:t>
            </w:r>
          </w:p>
        </w:tc>
        <w:tc>
          <w:tcPr>
            <w:tcW w:w="2466" w:type="dxa"/>
            <w:vAlign w:val="center"/>
          </w:tcPr>
          <w:p>
            <w:pPr>
              <w:pStyle w:val="24"/>
            </w:pPr>
            <w:r>
              <w:t>不超过财政支持经费规模</w:t>
            </w:r>
          </w:p>
        </w:tc>
        <w:tc>
          <w:tcPr>
            <w:tcW w:w="2466" w:type="dxa"/>
            <w:vAlign w:val="center"/>
          </w:tcPr>
          <w:p>
            <w:pPr>
              <w:pStyle w:val="24"/>
            </w:pPr>
            <w:r>
              <w:t>≤100%</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效益指标</w:t>
            </w:r>
          </w:p>
        </w:tc>
        <w:tc>
          <w:tcPr>
            <w:tcW w:w="2466" w:type="dxa"/>
            <w:vAlign w:val="center"/>
          </w:tcPr>
          <w:p>
            <w:pPr>
              <w:pStyle w:val="24"/>
            </w:pPr>
            <w:r>
              <w:t>社会效益指标</w:t>
            </w:r>
          </w:p>
        </w:tc>
        <w:tc>
          <w:tcPr>
            <w:tcW w:w="2466" w:type="dxa"/>
            <w:vAlign w:val="center"/>
          </w:tcPr>
          <w:p>
            <w:pPr>
              <w:pStyle w:val="24"/>
            </w:pPr>
            <w:r>
              <w:t>宣传文化提高人民文化水平</w:t>
            </w:r>
          </w:p>
        </w:tc>
        <w:tc>
          <w:tcPr>
            <w:tcW w:w="2466" w:type="dxa"/>
            <w:vAlign w:val="center"/>
          </w:tcPr>
          <w:p>
            <w:pPr>
              <w:pStyle w:val="24"/>
            </w:pPr>
            <w:r>
              <w:t>通过演出文化培训创作优秀作品交流等，达到丰富人民精神生活，弘扬社会主义核心价值观，增强文化自信，不断满足群众日益增长的精神文化生活需要</w:t>
            </w:r>
          </w:p>
        </w:tc>
        <w:tc>
          <w:tcPr>
            <w:tcW w:w="2466" w:type="dxa"/>
            <w:vAlign w:val="center"/>
          </w:tcPr>
          <w:p>
            <w:pPr>
              <w:pStyle w:val="24"/>
            </w:pPr>
            <w:r>
              <w:t>宣传文化提高人民文化水平</w:t>
            </w:r>
          </w:p>
        </w:tc>
        <w:tc>
          <w:tcPr>
            <w:tcW w:w="2466" w:type="dxa"/>
            <w:vAlign w:val="center"/>
          </w:tcPr>
          <w:p>
            <w:pPr>
              <w:pStyle w:val="2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5"/>
            </w:pPr>
            <w:r>
              <w:t>满意度指标</w:t>
            </w:r>
          </w:p>
        </w:tc>
        <w:tc>
          <w:tcPr>
            <w:tcW w:w="2466" w:type="dxa"/>
            <w:vAlign w:val="center"/>
          </w:tcPr>
          <w:p>
            <w:pPr>
              <w:pStyle w:val="24"/>
            </w:pPr>
            <w:r>
              <w:t>服务对象满意度指标</w:t>
            </w:r>
          </w:p>
        </w:tc>
        <w:tc>
          <w:tcPr>
            <w:tcW w:w="2466" w:type="dxa"/>
            <w:vAlign w:val="center"/>
          </w:tcPr>
          <w:p>
            <w:pPr>
              <w:pStyle w:val="24"/>
            </w:pPr>
            <w:r>
              <w:t>服务对象满意度</w:t>
            </w:r>
          </w:p>
        </w:tc>
        <w:tc>
          <w:tcPr>
            <w:tcW w:w="2466" w:type="dxa"/>
            <w:vAlign w:val="center"/>
          </w:tcPr>
          <w:p>
            <w:pPr>
              <w:pStyle w:val="24"/>
            </w:pPr>
            <w:r>
              <w:t>对群众进行走访调查谈心了解满意程度</w:t>
            </w:r>
          </w:p>
        </w:tc>
        <w:tc>
          <w:tcPr>
            <w:tcW w:w="2466" w:type="dxa"/>
            <w:vAlign w:val="center"/>
          </w:tcPr>
          <w:p>
            <w:pPr>
              <w:pStyle w:val="24"/>
            </w:pPr>
            <w:r>
              <w:t>≥90%</w:t>
            </w:r>
          </w:p>
        </w:tc>
        <w:tc>
          <w:tcPr>
            <w:tcW w:w="2466" w:type="dxa"/>
            <w:vAlign w:val="center"/>
          </w:tcPr>
          <w:p>
            <w:pPr>
              <w:pStyle w:val="24"/>
            </w:pPr>
            <w:r>
              <w:t>年度工作计划</w:t>
            </w:r>
          </w:p>
        </w:tc>
      </w:tr>
    </w:tbl>
    <w:p>
      <w:pPr>
        <w:pStyle w:val="22"/>
        <w:sectPr>
          <w:pgSz w:w="16840" w:h="11900" w:orient="landscape"/>
          <w:pgMar w:top="1361" w:right="1020" w:bottom="1361" w:left="1020" w:header="720" w:footer="720" w:gutter="0"/>
        </w:sectPr>
      </w:pPr>
    </w:p>
    <w:p>
      <w:pPr>
        <w:spacing w:before="10" w:after="10" w:line="240" w:lineRule="auto"/>
        <w:ind w:firstLine="640"/>
        <w:jc w:val="left"/>
        <w:outlineLvl w:val="2"/>
      </w:pPr>
      <w:bookmarkStart w:id="14" w:name="_Toc23660"/>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2022年，石家庄市藁城区文学艺术界联合会安排政府采购预算3.34万元。具体内容见下表。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3.34</w:t>
            </w:r>
          </w:p>
        </w:tc>
        <w:tc>
          <w:tcPr>
            <w:tcW w:w="924" w:type="dxa"/>
            <w:vAlign w:val="center"/>
          </w:tcPr>
          <w:p>
            <w:pPr>
              <w:pStyle w:val="15"/>
            </w:pPr>
            <w:r>
              <w:t>3.34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石家庄市藁城区文学艺术界联合会小计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3.34</w:t>
            </w:r>
          </w:p>
        </w:tc>
        <w:tc>
          <w:tcPr>
            <w:tcW w:w="924" w:type="dxa"/>
            <w:vAlign w:val="center"/>
          </w:tcPr>
          <w:p>
            <w:pPr>
              <w:pStyle w:val="15"/>
            </w:pPr>
            <w:r>
              <w:t>3.34</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12.93</w:t>
            </w:r>
          </w:p>
        </w:tc>
        <w:tc>
          <w:tcPr>
            <w:tcW w:w="924" w:type="dxa"/>
            <w:vAlign w:val="center"/>
          </w:tcPr>
          <w:p>
            <w:pPr>
              <w:pStyle w:val="12"/>
            </w:pPr>
            <w:r>
              <w:t>复印纸</w:t>
            </w:r>
          </w:p>
        </w:tc>
        <w:tc>
          <w:tcPr>
            <w:tcW w:w="924" w:type="dxa"/>
            <w:vAlign w:val="center"/>
          </w:tcPr>
          <w:p>
            <w:pPr>
              <w:pStyle w:val="12"/>
            </w:pPr>
            <w:r>
              <w:t>A090101</w:t>
            </w:r>
          </w:p>
        </w:tc>
        <w:tc>
          <w:tcPr>
            <w:tcW w:w="924" w:type="dxa"/>
            <w:vAlign w:val="center"/>
          </w:tcPr>
          <w:p>
            <w:pPr>
              <w:pStyle w:val="11"/>
            </w:pPr>
            <w:r>
              <w:t>箱</w:t>
            </w:r>
          </w:p>
        </w:tc>
        <w:tc>
          <w:tcPr>
            <w:tcW w:w="924" w:type="dxa"/>
            <w:vAlign w:val="center"/>
          </w:tcPr>
          <w:p>
            <w:pPr>
              <w:pStyle w:val="13"/>
            </w:pPr>
            <w:r>
              <w:t>20</w:t>
            </w:r>
          </w:p>
        </w:tc>
        <w:tc>
          <w:tcPr>
            <w:tcW w:w="924" w:type="dxa"/>
            <w:vAlign w:val="center"/>
          </w:tcPr>
          <w:p>
            <w:pPr>
              <w:pStyle w:val="13"/>
            </w:pPr>
            <w:r>
              <w:t>0.02</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台式计算机</w:t>
            </w:r>
          </w:p>
        </w:tc>
        <w:tc>
          <w:tcPr>
            <w:tcW w:w="924" w:type="dxa"/>
            <w:vAlign w:val="center"/>
          </w:tcPr>
          <w:p>
            <w:pPr>
              <w:pStyle w:val="12"/>
            </w:pPr>
            <w:r>
              <w:t>A02010104</w:t>
            </w:r>
          </w:p>
        </w:tc>
        <w:tc>
          <w:tcPr>
            <w:tcW w:w="924" w:type="dxa"/>
            <w:vAlign w:val="center"/>
          </w:tcPr>
          <w:p>
            <w:pPr>
              <w:pStyle w:val="11"/>
            </w:pPr>
            <w:r>
              <w:t xml:space="preserve">台 </w:t>
            </w:r>
          </w:p>
        </w:tc>
        <w:tc>
          <w:tcPr>
            <w:tcW w:w="924" w:type="dxa"/>
            <w:vAlign w:val="center"/>
          </w:tcPr>
          <w:p>
            <w:pPr>
              <w:pStyle w:val="13"/>
            </w:pPr>
            <w:r>
              <w:t>1</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r>
              <w:t>0.45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其他办公设备</w:t>
            </w:r>
          </w:p>
        </w:tc>
        <w:tc>
          <w:tcPr>
            <w:tcW w:w="924" w:type="dxa"/>
            <w:vAlign w:val="center"/>
          </w:tcPr>
          <w:p>
            <w:pPr>
              <w:pStyle w:val="12"/>
            </w:pPr>
            <w:r>
              <w:t>A020299</w:t>
            </w:r>
          </w:p>
        </w:tc>
        <w:tc>
          <w:tcPr>
            <w:tcW w:w="924" w:type="dxa"/>
            <w:vAlign w:val="center"/>
          </w:tcPr>
          <w:p>
            <w:pPr>
              <w:pStyle w:val="11"/>
            </w:pPr>
            <w:r>
              <w:t>台</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木制台、桌类</w:t>
            </w:r>
          </w:p>
        </w:tc>
        <w:tc>
          <w:tcPr>
            <w:tcW w:w="924" w:type="dxa"/>
            <w:vAlign w:val="center"/>
          </w:tcPr>
          <w:p>
            <w:pPr>
              <w:pStyle w:val="12"/>
            </w:pPr>
            <w:r>
              <w:t>A060205</w:t>
            </w:r>
          </w:p>
        </w:tc>
        <w:tc>
          <w:tcPr>
            <w:tcW w:w="924" w:type="dxa"/>
            <w:vAlign w:val="center"/>
          </w:tcPr>
          <w:p>
            <w:pPr>
              <w:pStyle w:val="11"/>
            </w:pPr>
            <w:r>
              <w:t>套</w:t>
            </w:r>
          </w:p>
        </w:tc>
        <w:tc>
          <w:tcPr>
            <w:tcW w:w="924" w:type="dxa"/>
            <w:vAlign w:val="center"/>
          </w:tcPr>
          <w:p>
            <w:pPr>
              <w:pStyle w:val="13"/>
            </w:pPr>
            <w:r>
              <w:t>1</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r>
              <w:t>0.15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木骨架为主的椅凳类</w:t>
            </w:r>
          </w:p>
        </w:tc>
        <w:tc>
          <w:tcPr>
            <w:tcW w:w="924" w:type="dxa"/>
            <w:vAlign w:val="center"/>
          </w:tcPr>
          <w:p>
            <w:pPr>
              <w:pStyle w:val="12"/>
            </w:pPr>
            <w:r>
              <w:t>A060302</w:t>
            </w:r>
          </w:p>
        </w:tc>
        <w:tc>
          <w:tcPr>
            <w:tcW w:w="924" w:type="dxa"/>
            <w:vAlign w:val="center"/>
          </w:tcPr>
          <w:p>
            <w:pPr>
              <w:pStyle w:val="11"/>
            </w:pPr>
            <w:r>
              <w:t>把</w:t>
            </w:r>
          </w:p>
        </w:tc>
        <w:tc>
          <w:tcPr>
            <w:tcW w:w="924" w:type="dxa"/>
            <w:vAlign w:val="center"/>
          </w:tcPr>
          <w:p>
            <w:pPr>
              <w:pStyle w:val="13"/>
            </w:pPr>
            <w:r>
              <w:t>1</w:t>
            </w:r>
          </w:p>
        </w:tc>
        <w:tc>
          <w:tcPr>
            <w:tcW w:w="924" w:type="dxa"/>
            <w:vAlign w:val="center"/>
          </w:tcPr>
          <w:p>
            <w:pPr>
              <w:pStyle w:val="13"/>
            </w:pPr>
            <w:r>
              <w:t>0.04</w:t>
            </w:r>
          </w:p>
        </w:tc>
        <w:tc>
          <w:tcPr>
            <w:tcW w:w="924" w:type="dxa"/>
            <w:vAlign w:val="center"/>
          </w:tcPr>
          <w:p>
            <w:pPr>
              <w:pStyle w:val="13"/>
            </w:pPr>
            <w:r>
              <w:t>0.04</w:t>
            </w:r>
          </w:p>
        </w:tc>
        <w:tc>
          <w:tcPr>
            <w:tcW w:w="924" w:type="dxa"/>
            <w:vAlign w:val="center"/>
          </w:tcPr>
          <w:p>
            <w:pPr>
              <w:pStyle w:val="13"/>
            </w:pPr>
            <w:r>
              <w:t>0.04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木质柜类</w:t>
            </w:r>
          </w:p>
        </w:tc>
        <w:tc>
          <w:tcPr>
            <w:tcW w:w="924" w:type="dxa"/>
            <w:vAlign w:val="center"/>
          </w:tcPr>
          <w:p>
            <w:pPr>
              <w:pStyle w:val="12"/>
            </w:pPr>
            <w:r>
              <w:t>A060501</w:t>
            </w:r>
          </w:p>
        </w:tc>
        <w:tc>
          <w:tcPr>
            <w:tcW w:w="924" w:type="dxa"/>
            <w:vAlign w:val="center"/>
          </w:tcPr>
          <w:p>
            <w:pPr>
              <w:pStyle w:val="11"/>
            </w:pPr>
            <w:r>
              <w:t xml:space="preserve">个 </w:t>
            </w:r>
          </w:p>
        </w:tc>
        <w:tc>
          <w:tcPr>
            <w:tcW w:w="924" w:type="dxa"/>
            <w:vAlign w:val="center"/>
          </w:tcPr>
          <w:p>
            <w:pPr>
              <w:pStyle w:val="13"/>
            </w:pPr>
            <w:r>
              <w:t>1</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文联办公经费</w:t>
            </w:r>
          </w:p>
        </w:tc>
        <w:tc>
          <w:tcPr>
            <w:tcW w:w="924" w:type="dxa"/>
            <w:vAlign w:val="center"/>
          </w:tcPr>
          <w:p>
            <w:pPr>
              <w:pStyle w:val="13"/>
            </w:pPr>
            <w:r>
              <w:t>1.24</w:t>
            </w:r>
          </w:p>
        </w:tc>
        <w:tc>
          <w:tcPr>
            <w:tcW w:w="924" w:type="dxa"/>
            <w:vAlign w:val="center"/>
          </w:tcPr>
          <w:p>
            <w:pPr>
              <w:pStyle w:val="12"/>
            </w:pPr>
            <w:r>
              <w:t>其他柜类</w:t>
            </w:r>
          </w:p>
        </w:tc>
        <w:tc>
          <w:tcPr>
            <w:tcW w:w="924" w:type="dxa"/>
            <w:vAlign w:val="center"/>
          </w:tcPr>
          <w:p>
            <w:pPr>
              <w:pStyle w:val="12"/>
            </w:pPr>
            <w:r>
              <w:t>A060599</w:t>
            </w:r>
          </w:p>
        </w:tc>
        <w:tc>
          <w:tcPr>
            <w:tcW w:w="924" w:type="dxa"/>
            <w:vAlign w:val="center"/>
          </w:tcPr>
          <w:p>
            <w:pPr>
              <w:pStyle w:val="11"/>
            </w:pPr>
            <w:r>
              <w:t>个</w:t>
            </w:r>
          </w:p>
        </w:tc>
        <w:tc>
          <w:tcPr>
            <w:tcW w:w="924" w:type="dxa"/>
            <w:vAlign w:val="center"/>
          </w:tcPr>
          <w:p>
            <w:pPr>
              <w:pStyle w:val="13"/>
            </w:pPr>
            <w:r>
              <w:t>1</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文艺联络交流经费</w:t>
            </w:r>
          </w:p>
        </w:tc>
        <w:tc>
          <w:tcPr>
            <w:tcW w:w="924" w:type="dxa"/>
            <w:vAlign w:val="center"/>
          </w:tcPr>
          <w:p>
            <w:pPr>
              <w:pStyle w:val="13"/>
            </w:pPr>
            <w:r>
              <w:t>5.00</w:t>
            </w:r>
          </w:p>
        </w:tc>
        <w:tc>
          <w:tcPr>
            <w:tcW w:w="924" w:type="dxa"/>
            <w:vAlign w:val="center"/>
          </w:tcPr>
          <w:p>
            <w:pPr>
              <w:pStyle w:val="12"/>
            </w:pPr>
            <w:r>
              <w:t>其他印刷服务</w:t>
            </w:r>
          </w:p>
        </w:tc>
        <w:tc>
          <w:tcPr>
            <w:tcW w:w="924" w:type="dxa"/>
            <w:vAlign w:val="center"/>
          </w:tcPr>
          <w:p>
            <w:pPr>
              <w:pStyle w:val="12"/>
            </w:pPr>
            <w:r>
              <w:t>C08140199</w:t>
            </w:r>
          </w:p>
        </w:tc>
        <w:tc>
          <w:tcPr>
            <w:tcW w:w="924" w:type="dxa"/>
            <w:vAlign w:val="center"/>
          </w:tcPr>
          <w:p>
            <w:pPr>
              <w:pStyle w:val="11"/>
            </w:pPr>
            <w:r>
              <w:t>平方米</w:t>
            </w:r>
          </w:p>
        </w:tc>
        <w:tc>
          <w:tcPr>
            <w:tcW w:w="924" w:type="dxa"/>
            <w:vAlign w:val="center"/>
          </w:tcPr>
          <w:p>
            <w:pPr>
              <w:pStyle w:val="13"/>
            </w:pPr>
            <w:r>
              <w:t>40</w:t>
            </w:r>
          </w:p>
        </w:tc>
        <w:tc>
          <w:tcPr>
            <w:tcW w:w="924" w:type="dxa"/>
            <w:vAlign w:val="center"/>
          </w:tcPr>
          <w:p>
            <w:pPr>
              <w:pStyle w:val="13"/>
            </w:pPr>
            <w:r>
              <w:t>0.05</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7444"/>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石家庄市藁城区文学艺术界联合会（含所属单位）上年末固定资产金额为5.26万元（详见下表）。本年度拟购置固定资产总额为0.94万元，已按要求列入政府采购预算，详见政府采购预算表。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4933" w:type="dxa"/>
            <w:vAlign w:val="center"/>
          </w:tcPr>
          <w:p>
            <w:pPr>
              <w:pStyle w:val="12"/>
            </w:pPr>
            <w:r>
              <w:t>4、其他固定资产</w:t>
            </w:r>
          </w:p>
        </w:tc>
        <w:tc>
          <w:tcPr>
            <w:tcW w:w="4933" w:type="dxa"/>
            <w:vAlign w:val="center"/>
          </w:tcPr>
          <w:p>
            <w:pPr>
              <w:pStyle w:val="11"/>
            </w:pPr>
            <w:r>
              <w:t>19</w:t>
            </w:r>
          </w:p>
        </w:tc>
        <w:tc>
          <w:tcPr>
            <w:tcW w:w="4933" w:type="dxa"/>
            <w:vAlign w:val="center"/>
          </w:tcPr>
          <w:p>
            <w:pPr>
              <w:pStyle w:val="13"/>
            </w:pPr>
            <w:r>
              <w:t>6.20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7953"/>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4892"/>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w:t>
      </w:r>
      <w:r>
        <w:rPr>
          <w:rFonts w:hint="eastAsia" w:ascii="Times New Roman" w:hAnsi="Times New Roman" w:eastAsia="方正仿宋_GBK" w:cs="Times New Roman"/>
          <w:b w:val="0"/>
          <w:color w:val="000000"/>
          <w:sz w:val="28"/>
          <w:lang w:eastAsia="zh-CN"/>
        </w:rPr>
        <w:t>事项</w:t>
      </w:r>
      <w:bookmarkStart w:id="18" w:name="_GoBack"/>
      <w:bookmarkEnd w:id="18"/>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FD512E"/>
    <w:multiLevelType w:val="singleLevel"/>
    <w:tmpl w:val="94FD512E"/>
    <w:lvl w:ilvl="0" w:tentative="0">
      <w:start w:val="3"/>
      <w:numFmt w:val="chineseCounting"/>
      <w:suff w:val="nothing"/>
      <w:lvlText w:val="%1、"/>
      <w:lvlJc w:val="left"/>
      <w:pPr>
        <w:ind w:left="8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781455"/>
    <w:rsid w:val="37781455"/>
    <w:rsid w:val="3A290DD3"/>
    <w:rsid w:val="4BE358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Normal_51e251d0-98f6-437e-bcf7-5c95e97dd6aa"/>
    <w:qFormat/>
    <w:uiPriority w:val="0"/>
    <w:rPr>
      <w:rFonts w:ascii="Times New Roman" w:hAnsi="Times New Roman" w:eastAsia="Times New Roman" w:cstheme="minorBidi"/>
      <w:sz w:val="24"/>
      <w:szCs w:val="24"/>
      <w:lang w:val="en-US" w:eastAsia="uk-UA" w:bidi="ar-SA"/>
    </w:rPr>
  </w:style>
  <w:style w:type="paragraph" w:customStyle="1" w:styleId="23">
    <w:name w:val="单元格样式1_21ca871d-581b-43c6-b5c6-b09eb24c141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4">
    <w:name w:val="单元格样式2_7eb5ad51-71f0-41bd-b910-f8bf87e4edf1"/>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5">
    <w:name w:val="单元格样式3_8df30838-3363-4eea-a143-2ea70d6948e8"/>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2023-09-04T07:50:00Z</dcterms:created>
  <dc:creator>Administrator</dc:creator>
  <cp:lastModifiedBy>Administrator</cp:lastModifiedBy>
  <dcterms:modified xsi:type="dcterms:W3CDTF">2023-09-04T08:15:08Z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