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eastAsia="zh-CN"/>
        </w:rPr>
        <w:t>石家庄市藁城区文学艺术界联合会所属单位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pPr>
        <w:spacing w:before="0" w:after="0" w:line="240" w:lineRule="auto"/>
        <w:ind w:firstLine="0"/>
        <w:jc w:val="center"/>
        <w:outlineLvl w:val="0"/>
        <w:rPr>
          <w:rFonts w:ascii="黑体" w:hAnsi="黑体" w:eastAsia="黑体" w:cs="黑体"/>
          <w:b/>
          <w:color w:val="000000"/>
          <w:sz w:val="44"/>
        </w:rPr>
      </w:pPr>
      <w:bookmarkStart w:id="1" w:name="_GoBack"/>
      <w:bookmarkEnd w:id="1"/>
    </w:p>
    <w:p>
      <w:pPr>
        <w:spacing w:before="0" w:after="0" w:line="240" w:lineRule="auto"/>
        <w:ind w:firstLine="0"/>
        <w:jc w:val="left"/>
        <w:outlineLvl w:val="9"/>
      </w:pPr>
      <w:bookmarkStart w:id="0" w:name="_Toc355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_Toc1847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预算收支总表</w:t>
      </w:r>
      <w:r>
        <w:tab/>
      </w:r>
      <w:r>
        <w:fldChar w:fldCharType="begin"/>
      </w:r>
      <w:r>
        <w:instrText xml:space="preserve"> PAGEREF _Toc1847 \h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_Toc32407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预算收入总表</w:t>
      </w:r>
      <w:r>
        <w:tab/>
      </w:r>
      <w:r>
        <w:fldChar w:fldCharType="begin"/>
      </w:r>
      <w:r>
        <w:instrText xml:space="preserve"> PAGEREF _Toc32407 \h </w:instrText>
      </w:r>
      <w:r>
        <w:fldChar w:fldCharType="separate"/>
      </w:r>
      <w:r>
        <w:t>5</w:t>
      </w:r>
      <w:r>
        <w:fldChar w:fldCharType="end"/>
      </w:r>
      <w:r>
        <w:fldChar w:fldCharType="end"/>
      </w:r>
    </w:p>
    <w:p>
      <w:pPr>
        <w:pStyle w:val="5"/>
        <w:tabs>
          <w:tab w:val="right" w:leader="dot" w:pos="14800"/>
        </w:tabs>
      </w:pPr>
      <w:r>
        <w:fldChar w:fldCharType="begin"/>
      </w:r>
      <w:r>
        <w:instrText xml:space="preserve"> HYPERLINK \l _Toc12016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预算支出总表</w:t>
      </w:r>
      <w:r>
        <w:tab/>
      </w:r>
      <w:r>
        <w:fldChar w:fldCharType="begin"/>
      </w:r>
      <w:r>
        <w:instrText xml:space="preserve"> PAGEREF _Toc12016 \h </w:instrText>
      </w:r>
      <w:r>
        <w:fldChar w:fldCharType="separate"/>
      </w:r>
      <w:r>
        <w:t>7</w:t>
      </w:r>
      <w:r>
        <w:fldChar w:fldCharType="end"/>
      </w:r>
      <w:r>
        <w:fldChar w:fldCharType="end"/>
      </w:r>
    </w:p>
    <w:p>
      <w:pPr>
        <w:pStyle w:val="5"/>
        <w:tabs>
          <w:tab w:val="right" w:leader="dot" w:pos="14800"/>
        </w:tabs>
      </w:pPr>
      <w:r>
        <w:fldChar w:fldCharType="begin"/>
      </w:r>
      <w:r>
        <w:instrText xml:space="preserve"> HYPERLINK \l _Toc8999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预算财政拨款收支总表</w:t>
      </w:r>
      <w:r>
        <w:tab/>
      </w:r>
      <w:r>
        <w:fldChar w:fldCharType="begin"/>
      </w:r>
      <w:r>
        <w:instrText xml:space="preserve"> PAGEREF _Toc8999 \h </w:instrText>
      </w:r>
      <w:r>
        <w:fldChar w:fldCharType="separate"/>
      </w:r>
      <w:r>
        <w:t>8</w:t>
      </w:r>
      <w:r>
        <w:fldChar w:fldCharType="end"/>
      </w:r>
      <w:r>
        <w:fldChar w:fldCharType="end"/>
      </w:r>
    </w:p>
    <w:p>
      <w:pPr>
        <w:pStyle w:val="5"/>
        <w:tabs>
          <w:tab w:val="right" w:leader="dot" w:pos="14800"/>
        </w:tabs>
      </w:pPr>
      <w:r>
        <w:fldChar w:fldCharType="begin"/>
      </w:r>
      <w:r>
        <w:instrText xml:space="preserve"> HYPERLINK \l _Toc7343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预算一般公共预算财政拨款支出表</w:t>
      </w:r>
      <w:r>
        <w:tab/>
      </w:r>
      <w:r>
        <w:fldChar w:fldCharType="begin"/>
      </w:r>
      <w:r>
        <w:instrText xml:space="preserve"> PAGEREF _Toc7343 \h </w:instrText>
      </w:r>
      <w:r>
        <w:fldChar w:fldCharType="separate"/>
      </w:r>
      <w:r>
        <w:t>14</w:t>
      </w:r>
      <w:r>
        <w:fldChar w:fldCharType="end"/>
      </w:r>
      <w:r>
        <w:fldChar w:fldCharType="end"/>
      </w:r>
    </w:p>
    <w:p>
      <w:pPr>
        <w:pStyle w:val="5"/>
        <w:tabs>
          <w:tab w:val="right" w:leader="dot" w:pos="14800"/>
        </w:tabs>
      </w:pPr>
      <w:r>
        <w:fldChar w:fldCharType="begin"/>
      </w:r>
      <w:r>
        <w:instrText xml:space="preserve"> HYPERLINK \l _Toc15293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预算一般公共预算财政拨款基本支出表</w:t>
      </w:r>
      <w:r>
        <w:tab/>
      </w:r>
      <w:r>
        <w:fldChar w:fldCharType="begin"/>
      </w:r>
      <w:r>
        <w:instrText xml:space="preserve"> PAGEREF _Toc15293 \h </w:instrText>
      </w:r>
      <w:r>
        <w:fldChar w:fldCharType="separate"/>
      </w:r>
      <w:r>
        <w:t>15</w:t>
      </w:r>
      <w:r>
        <w:fldChar w:fldCharType="end"/>
      </w:r>
      <w:r>
        <w:fldChar w:fldCharType="end"/>
      </w:r>
    </w:p>
    <w:p>
      <w:pPr>
        <w:pStyle w:val="5"/>
        <w:tabs>
          <w:tab w:val="right" w:leader="dot" w:pos="14800"/>
        </w:tabs>
      </w:pPr>
      <w:r>
        <w:fldChar w:fldCharType="begin"/>
      </w:r>
      <w:r>
        <w:instrText xml:space="preserve"> HYPERLINK \l _Toc20751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预算政府基金预算财政拨款支出表</w:t>
      </w:r>
      <w:r>
        <w:tab/>
      </w:r>
      <w:r>
        <w:fldChar w:fldCharType="begin"/>
      </w:r>
      <w:r>
        <w:instrText xml:space="preserve"> PAGEREF _Toc20751 \h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_Toc14678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预算国有资本经营预算财政拨款支出表</w:t>
      </w:r>
      <w:r>
        <w:tab/>
      </w:r>
      <w:r>
        <w:fldChar w:fldCharType="begin"/>
      </w:r>
      <w:r>
        <w:instrText xml:space="preserve"> PAGEREF _Toc14678 \h </w:instrText>
      </w:r>
      <w:r>
        <w:fldChar w:fldCharType="separate"/>
      </w:r>
      <w:r>
        <w:t>18</w:t>
      </w:r>
      <w:r>
        <w:fldChar w:fldCharType="end"/>
      </w:r>
      <w:r>
        <w:fldChar w:fldCharType="end"/>
      </w:r>
    </w:p>
    <w:p>
      <w:pPr>
        <w:pStyle w:val="5"/>
        <w:tabs>
          <w:tab w:val="right" w:leader="dot" w:pos="14800"/>
        </w:tabs>
      </w:pPr>
      <w:r>
        <w:fldChar w:fldCharType="begin"/>
      </w:r>
      <w:r>
        <w:instrText xml:space="preserve"> HYPERLINK \l _Toc18622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预算财政拨款“三公”经费支出表</w:t>
      </w:r>
      <w:r>
        <w:tab/>
      </w:r>
      <w:r>
        <w:fldChar w:fldCharType="begin"/>
      </w:r>
      <w:r>
        <w:instrText xml:space="preserve"> PAGEREF _Toc18622 \h </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_Toc24221 </w:instrText>
      </w:r>
      <w: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_Toc24221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_Toc5760 </w:instrText>
      </w:r>
      <w: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_Toc5760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_Toc26610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_Toc26610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_Toc9400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_Toc9400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_Toc17862 </w:instrText>
      </w:r>
      <w:r>
        <w:fldChar w:fldCharType="separate"/>
      </w:r>
      <w:r>
        <w:rPr>
          <w:rFonts w:ascii="黑体" w:hAnsi="黑体" w:eastAsia="黑体" w:cs="黑体"/>
        </w:rPr>
        <w:t>五、预算绩效信息</w:t>
      </w:r>
      <w:r>
        <w:tab/>
      </w:r>
      <w:r>
        <w:fldChar w:fldCharType="begin"/>
      </w:r>
      <w:r>
        <w:instrText xml:space="preserve"> PAGEREF _Toc17862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_Toc23660 </w:instrText>
      </w:r>
      <w:r>
        <w:fldChar w:fldCharType="separate"/>
      </w:r>
      <w:r>
        <w:rPr>
          <w:rFonts w:ascii="黑体" w:hAnsi="黑体" w:eastAsia="黑体" w:cs="黑体"/>
        </w:rPr>
        <w:t>六、政府采购预算情况</w:t>
      </w:r>
      <w:r>
        <w:tab/>
      </w:r>
      <w:r>
        <w:fldChar w:fldCharType="begin"/>
      </w:r>
      <w:r>
        <w:instrText xml:space="preserve"> PAGEREF _Toc23660 \h </w:instrText>
      </w:r>
      <w:r>
        <w:fldChar w:fldCharType="separate"/>
      </w:r>
      <w:r>
        <w:t>29</w:t>
      </w:r>
      <w:r>
        <w:fldChar w:fldCharType="end"/>
      </w:r>
      <w:r>
        <w:fldChar w:fldCharType="end"/>
      </w:r>
    </w:p>
    <w:p>
      <w:pPr>
        <w:pStyle w:val="2"/>
        <w:tabs>
          <w:tab w:val="right" w:leader="dot" w:pos="14800"/>
        </w:tabs>
      </w:pPr>
      <w:r>
        <w:fldChar w:fldCharType="begin"/>
      </w:r>
      <w:r>
        <w:instrText xml:space="preserve"> HYPERLINK \l _Toc27444 </w:instrText>
      </w:r>
      <w:r>
        <w:fldChar w:fldCharType="separate"/>
      </w:r>
      <w:r>
        <w:rPr>
          <w:rFonts w:ascii="黑体" w:hAnsi="黑体" w:eastAsia="黑体" w:cs="黑体"/>
        </w:rPr>
        <w:t>七、国有资产信息</w:t>
      </w:r>
      <w:r>
        <w:tab/>
      </w:r>
      <w:r>
        <w:fldChar w:fldCharType="begin"/>
      </w:r>
      <w:r>
        <w:instrText xml:space="preserve"> PAGEREF _Toc27444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_Toc17953 </w:instrText>
      </w:r>
      <w:r>
        <w:fldChar w:fldCharType="separate"/>
      </w:r>
      <w:r>
        <w:rPr>
          <w:rFonts w:ascii="黑体" w:hAnsi="黑体" w:eastAsia="黑体" w:cs="黑体"/>
        </w:rPr>
        <w:t>八、名词解释</w:t>
      </w:r>
      <w:r>
        <w:tab/>
      </w:r>
      <w:r>
        <w:fldChar w:fldCharType="begin"/>
      </w:r>
      <w:r>
        <w:instrText xml:space="preserve"> PAGEREF _Toc17953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_Toc24892 </w:instrText>
      </w:r>
      <w:r>
        <w:fldChar w:fldCharType="separate"/>
      </w:r>
      <w:r>
        <w:rPr>
          <w:rFonts w:ascii="黑体" w:hAnsi="黑体" w:eastAsia="黑体" w:cs="黑体"/>
        </w:rPr>
        <w:t>九、其他需要说明的事项</w:t>
      </w:r>
      <w:r>
        <w:tab/>
      </w:r>
      <w:r>
        <w:fldChar w:fldCharType="begin"/>
      </w:r>
      <w:r>
        <w:instrText xml:space="preserve"> PAGEREF _Toc24892 \h </w:instrText>
      </w:r>
      <w:r>
        <w:fldChar w:fldCharType="separate"/>
      </w:r>
      <w:r>
        <w:t>32</w:t>
      </w:r>
      <w:r>
        <w:fldChar w:fldCharType="end"/>
      </w:r>
      <w:r>
        <w:fldChar w:fldCharType="end"/>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r>
        <w:rPr>
          <w:rFonts w:ascii="方正小标宋_GBK" w:hAnsi="方正小标宋_GBK" w:eastAsia="方正小标宋_GBK" w:cs="方正小标宋_GBK"/>
          <w:b w:val="0"/>
          <w:color w:val="000000"/>
          <w:sz w:val="44"/>
        </w:rPr>
        <w:t>一、石家庄市藁城区文学艺术界联合会本级收支预算</w:t>
      </w:r>
      <w:bookmarkEnd w:id="0"/>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141.21</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w:t>
            </w:r>
            <w:r>
              <w:rPr>
                <w:rFonts w:hint="eastAsia"/>
                <w:lang w:eastAsia="zh-CN"/>
              </w:rPr>
              <w:t>单位</w:t>
            </w:r>
            <w:r>
              <w:t>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w:t>
            </w:r>
            <w:r>
              <w:rPr>
                <w:rFonts w:hint="eastAsia"/>
                <w:lang w:eastAsia="zh-CN"/>
              </w:rPr>
              <w:t>单位</w:t>
            </w:r>
            <w:r>
              <w:t>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141.21</w:t>
            </w:r>
          </w:p>
        </w:tc>
        <w:tc>
          <w:tcPr>
            <w:tcW w:w="2959" w:type="dxa"/>
            <w:vAlign w:val="center"/>
          </w:tcPr>
          <w:p>
            <w:pPr>
              <w:pStyle w:val="16"/>
            </w:pPr>
            <w:r>
              <w:t>本年支出合计</w:t>
            </w:r>
          </w:p>
        </w:tc>
        <w:tc>
          <w:tcPr>
            <w:tcW w:w="2959" w:type="dxa"/>
            <w:vAlign w:val="center"/>
          </w:tcPr>
          <w:p>
            <w:pPr>
              <w:pStyle w:val="17"/>
            </w:pPr>
            <w:r>
              <w:t>141.21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141.21</w:t>
            </w:r>
          </w:p>
        </w:tc>
        <w:tc>
          <w:tcPr>
            <w:tcW w:w="2959" w:type="dxa"/>
            <w:vAlign w:val="center"/>
          </w:tcPr>
          <w:p>
            <w:pPr>
              <w:pStyle w:val="16"/>
            </w:pPr>
            <w:r>
              <w:t>支出总计</w:t>
            </w:r>
          </w:p>
        </w:tc>
        <w:tc>
          <w:tcPr>
            <w:tcW w:w="2959" w:type="dxa"/>
            <w:vAlign w:val="center"/>
          </w:tcPr>
          <w:p>
            <w:pPr>
              <w:pStyle w:val="17"/>
            </w:pPr>
            <w:r>
              <w:t>141.21</w:t>
            </w:r>
          </w:p>
        </w:tc>
      </w:tr>
    </w:tbl>
    <w:p/>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w:t>
            </w:r>
            <w:r>
              <w:rPr>
                <w:rFonts w:hint="eastAsia"/>
                <w:lang w:eastAsia="zh-CN"/>
              </w:rPr>
              <w:t>单位</w:t>
            </w:r>
            <w:r>
              <w:t>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141.21</w:t>
            </w:r>
          </w:p>
        </w:tc>
        <w:tc>
          <w:tcPr>
            <w:tcW w:w="758" w:type="dxa"/>
            <w:vAlign w:val="center"/>
          </w:tcPr>
          <w:p>
            <w:pPr>
              <w:pStyle w:val="17"/>
            </w:pPr>
            <w:r>
              <w:t>141.21</w:t>
            </w:r>
          </w:p>
        </w:tc>
        <w:tc>
          <w:tcPr>
            <w:tcW w:w="758" w:type="dxa"/>
            <w:vAlign w:val="center"/>
          </w:tcPr>
          <w:p>
            <w:pPr>
              <w:pStyle w:val="17"/>
            </w:pPr>
            <w:r>
              <w:t>141.21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20701</w:t>
            </w:r>
          </w:p>
        </w:tc>
        <w:tc>
          <w:tcPr>
            <w:tcW w:w="758" w:type="dxa"/>
            <w:vAlign w:val="center"/>
          </w:tcPr>
          <w:p>
            <w:pPr>
              <w:pStyle w:val="14"/>
            </w:pPr>
            <w:r>
              <w:t>文化和旅游</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2070101</w:t>
            </w:r>
          </w:p>
        </w:tc>
        <w:tc>
          <w:tcPr>
            <w:tcW w:w="758" w:type="dxa"/>
            <w:vAlign w:val="center"/>
          </w:tcPr>
          <w:p>
            <w:pPr>
              <w:pStyle w:val="14"/>
            </w:pPr>
            <w:r>
              <w:t>行政运行</w:t>
            </w:r>
          </w:p>
        </w:tc>
        <w:tc>
          <w:tcPr>
            <w:tcW w:w="758" w:type="dxa"/>
            <w:vAlign w:val="center"/>
          </w:tcPr>
          <w:p>
            <w:pPr>
              <w:pStyle w:val="13"/>
            </w:pPr>
            <w:r>
              <w:t>134.97</w:t>
            </w:r>
          </w:p>
        </w:tc>
        <w:tc>
          <w:tcPr>
            <w:tcW w:w="758" w:type="dxa"/>
            <w:vAlign w:val="center"/>
          </w:tcPr>
          <w:p>
            <w:pPr>
              <w:pStyle w:val="13"/>
            </w:pPr>
            <w:r>
              <w:t>134.97</w:t>
            </w:r>
          </w:p>
        </w:tc>
        <w:tc>
          <w:tcPr>
            <w:tcW w:w="758" w:type="dxa"/>
            <w:vAlign w:val="center"/>
          </w:tcPr>
          <w:p>
            <w:pPr>
              <w:pStyle w:val="13"/>
            </w:pPr>
            <w:r>
              <w:t>134.97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2070111</w:t>
            </w:r>
          </w:p>
        </w:tc>
        <w:tc>
          <w:tcPr>
            <w:tcW w:w="758" w:type="dxa"/>
            <w:vAlign w:val="center"/>
          </w:tcPr>
          <w:p>
            <w:pPr>
              <w:pStyle w:val="14"/>
            </w:pPr>
            <w:r>
              <w:t>文化创作与保护</w:t>
            </w:r>
          </w:p>
        </w:tc>
        <w:tc>
          <w:tcPr>
            <w:tcW w:w="758" w:type="dxa"/>
            <w:vAlign w:val="center"/>
          </w:tcPr>
          <w:p>
            <w:pPr>
              <w:pStyle w:val="13"/>
            </w:pPr>
            <w:r>
              <w:t>1.24</w:t>
            </w:r>
          </w:p>
        </w:tc>
        <w:tc>
          <w:tcPr>
            <w:tcW w:w="758" w:type="dxa"/>
            <w:vAlign w:val="center"/>
          </w:tcPr>
          <w:p>
            <w:pPr>
              <w:pStyle w:val="13"/>
            </w:pPr>
            <w:r>
              <w:t>1.24</w:t>
            </w:r>
          </w:p>
        </w:tc>
        <w:tc>
          <w:tcPr>
            <w:tcW w:w="758" w:type="dxa"/>
            <w:vAlign w:val="center"/>
          </w:tcPr>
          <w:p>
            <w:pPr>
              <w:pStyle w:val="13"/>
            </w:pPr>
            <w:r>
              <w:t>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2070199</w:t>
            </w:r>
          </w:p>
        </w:tc>
        <w:tc>
          <w:tcPr>
            <w:tcW w:w="758" w:type="dxa"/>
            <w:vAlign w:val="center"/>
          </w:tcPr>
          <w:p>
            <w:pPr>
              <w:pStyle w:val="14"/>
            </w:pPr>
            <w:r>
              <w:t>其他文化和旅游支出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w:t>
            </w:r>
            <w:r>
              <w:rPr>
                <w:rFonts w:hint="eastAsia"/>
                <w:lang w:eastAsia="zh-CN"/>
              </w:rPr>
              <w:t>单位</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141.21</w:t>
            </w:r>
          </w:p>
        </w:tc>
        <w:tc>
          <w:tcPr>
            <w:tcW w:w="1095" w:type="dxa"/>
            <w:vAlign w:val="center"/>
          </w:tcPr>
          <w:p>
            <w:pPr>
              <w:pStyle w:val="17"/>
            </w:pPr>
            <w:r>
              <w:t>134.97</w:t>
            </w:r>
          </w:p>
        </w:tc>
        <w:tc>
          <w:tcPr>
            <w:tcW w:w="1095" w:type="dxa"/>
            <w:vAlign w:val="center"/>
          </w:tcPr>
          <w:p>
            <w:pPr>
              <w:pStyle w:val="17"/>
            </w:pPr>
            <w:r>
              <w:t>6.24</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141.21</w:t>
            </w:r>
          </w:p>
        </w:tc>
        <w:tc>
          <w:tcPr>
            <w:tcW w:w="1095" w:type="dxa"/>
            <w:vAlign w:val="center"/>
          </w:tcPr>
          <w:p>
            <w:pPr>
              <w:pStyle w:val="13"/>
            </w:pPr>
            <w:r>
              <w:t>134.97</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20701</w:t>
            </w:r>
          </w:p>
        </w:tc>
        <w:tc>
          <w:tcPr>
            <w:tcW w:w="1095" w:type="dxa"/>
            <w:vAlign w:val="center"/>
          </w:tcPr>
          <w:p>
            <w:pPr>
              <w:pStyle w:val="14"/>
            </w:pPr>
            <w:r>
              <w:t>文化和旅游</w:t>
            </w:r>
          </w:p>
        </w:tc>
        <w:tc>
          <w:tcPr>
            <w:tcW w:w="1095" w:type="dxa"/>
            <w:vAlign w:val="center"/>
          </w:tcPr>
          <w:p>
            <w:pPr>
              <w:pStyle w:val="13"/>
            </w:pPr>
            <w:r>
              <w:t>141.21</w:t>
            </w:r>
          </w:p>
        </w:tc>
        <w:tc>
          <w:tcPr>
            <w:tcW w:w="1095" w:type="dxa"/>
            <w:vAlign w:val="center"/>
          </w:tcPr>
          <w:p>
            <w:pPr>
              <w:pStyle w:val="13"/>
            </w:pPr>
            <w:r>
              <w:t>134.97</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2070101</w:t>
            </w:r>
          </w:p>
        </w:tc>
        <w:tc>
          <w:tcPr>
            <w:tcW w:w="1095" w:type="dxa"/>
            <w:vAlign w:val="center"/>
          </w:tcPr>
          <w:p>
            <w:pPr>
              <w:pStyle w:val="14"/>
            </w:pPr>
            <w:r>
              <w:t>行政运行</w:t>
            </w:r>
          </w:p>
        </w:tc>
        <w:tc>
          <w:tcPr>
            <w:tcW w:w="1095" w:type="dxa"/>
            <w:vAlign w:val="center"/>
          </w:tcPr>
          <w:p>
            <w:pPr>
              <w:pStyle w:val="13"/>
            </w:pPr>
            <w:r>
              <w:t>134.97</w:t>
            </w:r>
          </w:p>
        </w:tc>
        <w:tc>
          <w:tcPr>
            <w:tcW w:w="1095" w:type="dxa"/>
            <w:vAlign w:val="center"/>
          </w:tcPr>
          <w:p>
            <w:pPr>
              <w:pStyle w:val="13"/>
            </w:pPr>
            <w:r>
              <w:t>134.97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2070111</w:t>
            </w:r>
          </w:p>
        </w:tc>
        <w:tc>
          <w:tcPr>
            <w:tcW w:w="1095" w:type="dxa"/>
            <w:vAlign w:val="center"/>
          </w:tcPr>
          <w:p>
            <w:pPr>
              <w:pStyle w:val="14"/>
            </w:pPr>
            <w:r>
              <w:t>文化创作与保护</w:t>
            </w:r>
          </w:p>
        </w:tc>
        <w:tc>
          <w:tcPr>
            <w:tcW w:w="1095" w:type="dxa"/>
            <w:vAlign w:val="center"/>
          </w:tcPr>
          <w:p>
            <w:pPr>
              <w:pStyle w:val="13"/>
            </w:pPr>
            <w:r>
              <w:t>1.24</w:t>
            </w:r>
          </w:p>
        </w:tc>
        <w:tc>
          <w:tcPr>
            <w:tcW w:w="1095" w:type="dxa"/>
            <w:vAlign w:val="center"/>
          </w:tcPr>
          <w:p>
            <w:pPr>
              <w:pStyle w:val="13"/>
            </w:pPr>
          </w:p>
        </w:tc>
        <w:tc>
          <w:tcPr>
            <w:tcW w:w="1095" w:type="dxa"/>
            <w:vAlign w:val="center"/>
          </w:tcPr>
          <w:p>
            <w:pPr>
              <w:pStyle w:val="13"/>
            </w:pPr>
            <w:r>
              <w:t>1.24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2070199</w:t>
            </w:r>
          </w:p>
        </w:tc>
        <w:tc>
          <w:tcPr>
            <w:tcW w:w="1095" w:type="dxa"/>
            <w:vAlign w:val="center"/>
          </w:tcPr>
          <w:p>
            <w:pPr>
              <w:pStyle w:val="14"/>
            </w:pPr>
            <w:r>
              <w:t>其他文化和旅游支出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141.21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141.21</w:t>
            </w:r>
          </w:p>
        </w:tc>
        <w:tc>
          <w:tcPr>
            <w:tcW w:w="1232" w:type="dxa"/>
            <w:vAlign w:val="center"/>
          </w:tcPr>
          <w:p>
            <w:pPr>
              <w:pStyle w:val="13"/>
            </w:pPr>
            <w:r>
              <w:t>141.21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141.21</w:t>
            </w:r>
          </w:p>
        </w:tc>
        <w:tc>
          <w:tcPr>
            <w:tcW w:w="1232" w:type="dxa"/>
            <w:vAlign w:val="center"/>
          </w:tcPr>
          <w:p>
            <w:pPr>
              <w:pStyle w:val="16"/>
            </w:pPr>
            <w:r>
              <w:t>本年支出合计</w:t>
            </w:r>
          </w:p>
        </w:tc>
        <w:tc>
          <w:tcPr>
            <w:tcW w:w="1232" w:type="dxa"/>
            <w:vAlign w:val="center"/>
          </w:tcPr>
          <w:p>
            <w:pPr>
              <w:pStyle w:val="17"/>
            </w:pPr>
            <w:r>
              <w:t>141.21</w:t>
            </w:r>
          </w:p>
        </w:tc>
        <w:tc>
          <w:tcPr>
            <w:tcW w:w="1232" w:type="dxa"/>
            <w:vAlign w:val="center"/>
          </w:tcPr>
          <w:p>
            <w:pPr>
              <w:pStyle w:val="17"/>
            </w:pPr>
            <w:r>
              <w:t>141.21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141.21</w:t>
            </w:r>
          </w:p>
        </w:tc>
        <w:tc>
          <w:tcPr>
            <w:tcW w:w="1232" w:type="dxa"/>
            <w:vAlign w:val="center"/>
          </w:tcPr>
          <w:p>
            <w:pPr>
              <w:pStyle w:val="16"/>
            </w:pPr>
            <w:r>
              <w:t>支出总计</w:t>
            </w:r>
          </w:p>
        </w:tc>
        <w:tc>
          <w:tcPr>
            <w:tcW w:w="1232" w:type="dxa"/>
            <w:vAlign w:val="center"/>
          </w:tcPr>
          <w:p>
            <w:pPr>
              <w:pStyle w:val="17"/>
            </w:pPr>
            <w:r>
              <w:t>141.21</w:t>
            </w:r>
          </w:p>
        </w:tc>
        <w:tc>
          <w:tcPr>
            <w:tcW w:w="1232" w:type="dxa"/>
            <w:vAlign w:val="center"/>
          </w:tcPr>
          <w:p>
            <w:pPr>
              <w:pStyle w:val="17"/>
            </w:pPr>
            <w:r>
              <w:t>141.21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141.21</w:t>
            </w:r>
          </w:p>
        </w:tc>
        <w:tc>
          <w:tcPr>
            <w:tcW w:w="1643" w:type="dxa"/>
            <w:vAlign w:val="center"/>
          </w:tcPr>
          <w:p>
            <w:pPr>
              <w:pStyle w:val="17"/>
            </w:pPr>
            <w:r>
              <w:t>134.97</w:t>
            </w:r>
          </w:p>
        </w:tc>
        <w:tc>
          <w:tcPr>
            <w:tcW w:w="1643" w:type="dxa"/>
            <w:vAlign w:val="center"/>
          </w:tcPr>
          <w:p>
            <w:pPr>
              <w:pStyle w:val="17"/>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141.21</w:t>
            </w:r>
          </w:p>
        </w:tc>
        <w:tc>
          <w:tcPr>
            <w:tcW w:w="1643" w:type="dxa"/>
            <w:vAlign w:val="center"/>
          </w:tcPr>
          <w:p>
            <w:pPr>
              <w:pStyle w:val="13"/>
            </w:pPr>
            <w:r>
              <w:t>134.97</w:t>
            </w: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20701</w:t>
            </w:r>
          </w:p>
        </w:tc>
        <w:tc>
          <w:tcPr>
            <w:tcW w:w="1643" w:type="dxa"/>
            <w:vAlign w:val="center"/>
          </w:tcPr>
          <w:p>
            <w:pPr>
              <w:pStyle w:val="14"/>
            </w:pPr>
            <w:r>
              <w:t>文化和旅游</w:t>
            </w:r>
          </w:p>
        </w:tc>
        <w:tc>
          <w:tcPr>
            <w:tcW w:w="1643" w:type="dxa"/>
            <w:vAlign w:val="center"/>
          </w:tcPr>
          <w:p>
            <w:pPr>
              <w:pStyle w:val="13"/>
            </w:pPr>
            <w:r>
              <w:t>141.21</w:t>
            </w:r>
          </w:p>
        </w:tc>
        <w:tc>
          <w:tcPr>
            <w:tcW w:w="1643" w:type="dxa"/>
            <w:vAlign w:val="center"/>
          </w:tcPr>
          <w:p>
            <w:pPr>
              <w:pStyle w:val="13"/>
            </w:pPr>
            <w:r>
              <w:t>134.97</w:t>
            </w: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2070101</w:t>
            </w:r>
          </w:p>
        </w:tc>
        <w:tc>
          <w:tcPr>
            <w:tcW w:w="1643" w:type="dxa"/>
            <w:vAlign w:val="center"/>
          </w:tcPr>
          <w:p>
            <w:pPr>
              <w:pStyle w:val="14"/>
            </w:pPr>
            <w:r>
              <w:t>行政运行</w:t>
            </w:r>
          </w:p>
        </w:tc>
        <w:tc>
          <w:tcPr>
            <w:tcW w:w="1643" w:type="dxa"/>
            <w:vAlign w:val="center"/>
          </w:tcPr>
          <w:p>
            <w:pPr>
              <w:pStyle w:val="13"/>
            </w:pPr>
            <w:r>
              <w:t>134.97</w:t>
            </w:r>
          </w:p>
        </w:tc>
        <w:tc>
          <w:tcPr>
            <w:tcW w:w="1643" w:type="dxa"/>
            <w:vAlign w:val="center"/>
          </w:tcPr>
          <w:p>
            <w:pPr>
              <w:pStyle w:val="13"/>
            </w:pPr>
            <w:r>
              <w:t>134.97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2070111</w:t>
            </w:r>
          </w:p>
        </w:tc>
        <w:tc>
          <w:tcPr>
            <w:tcW w:w="1643" w:type="dxa"/>
            <w:vAlign w:val="center"/>
          </w:tcPr>
          <w:p>
            <w:pPr>
              <w:pStyle w:val="14"/>
            </w:pPr>
            <w:r>
              <w:t>文化创作与保护</w:t>
            </w:r>
          </w:p>
        </w:tc>
        <w:tc>
          <w:tcPr>
            <w:tcW w:w="1643" w:type="dxa"/>
            <w:vAlign w:val="center"/>
          </w:tcPr>
          <w:p>
            <w:pPr>
              <w:pStyle w:val="13"/>
            </w:pPr>
            <w:r>
              <w:t>1.24</w:t>
            </w:r>
          </w:p>
        </w:tc>
        <w:tc>
          <w:tcPr>
            <w:tcW w:w="1643" w:type="dxa"/>
            <w:vAlign w:val="center"/>
          </w:tcPr>
          <w:p>
            <w:pPr>
              <w:pStyle w:val="13"/>
            </w:pPr>
          </w:p>
        </w:tc>
        <w:tc>
          <w:tcPr>
            <w:tcW w:w="1643" w:type="dxa"/>
            <w:vAlign w:val="center"/>
          </w:tcPr>
          <w:p>
            <w:pPr>
              <w:pStyle w:val="13"/>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2070199</w:t>
            </w:r>
          </w:p>
        </w:tc>
        <w:tc>
          <w:tcPr>
            <w:tcW w:w="1643" w:type="dxa"/>
            <w:vAlign w:val="center"/>
          </w:tcPr>
          <w:p>
            <w:pPr>
              <w:pStyle w:val="14"/>
            </w:pPr>
            <w:r>
              <w:t>其他文化和旅游支出</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134.97</w:t>
            </w:r>
          </w:p>
        </w:tc>
        <w:tc>
          <w:tcPr>
            <w:tcW w:w="1643" w:type="dxa"/>
            <w:vAlign w:val="center"/>
          </w:tcPr>
          <w:p>
            <w:pPr>
              <w:pStyle w:val="17"/>
            </w:pPr>
            <w:r>
              <w:t>122.04</w:t>
            </w:r>
          </w:p>
        </w:tc>
        <w:tc>
          <w:tcPr>
            <w:tcW w:w="1643" w:type="dxa"/>
            <w:vAlign w:val="center"/>
          </w:tcPr>
          <w:p>
            <w:pPr>
              <w:pStyle w:val="17"/>
            </w:pPr>
            <w:r>
              <w:t>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122.04</w:t>
            </w:r>
          </w:p>
        </w:tc>
        <w:tc>
          <w:tcPr>
            <w:tcW w:w="1643" w:type="dxa"/>
            <w:vAlign w:val="center"/>
          </w:tcPr>
          <w:p>
            <w:pPr>
              <w:pStyle w:val="13"/>
            </w:pPr>
            <w:r>
              <w:t>122.04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30.22</w:t>
            </w:r>
          </w:p>
        </w:tc>
        <w:tc>
          <w:tcPr>
            <w:tcW w:w="1643" w:type="dxa"/>
            <w:vAlign w:val="center"/>
          </w:tcPr>
          <w:p>
            <w:pPr>
              <w:pStyle w:val="13"/>
            </w:pPr>
            <w:r>
              <w:t>30.22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49.92</w:t>
            </w:r>
          </w:p>
        </w:tc>
        <w:tc>
          <w:tcPr>
            <w:tcW w:w="1643" w:type="dxa"/>
            <w:vAlign w:val="center"/>
          </w:tcPr>
          <w:p>
            <w:pPr>
              <w:pStyle w:val="13"/>
            </w:pPr>
            <w:r>
              <w:t>49.92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2.52</w:t>
            </w:r>
          </w:p>
        </w:tc>
        <w:tc>
          <w:tcPr>
            <w:tcW w:w="1643" w:type="dxa"/>
            <w:vAlign w:val="center"/>
          </w:tcPr>
          <w:p>
            <w:pPr>
              <w:pStyle w:val="13"/>
            </w:pPr>
            <w:r>
              <w:t>2.52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w:t>
            </w:r>
            <w:r>
              <w:rPr>
                <w:rFonts w:hint="eastAsia"/>
                <w:lang w:eastAsia="zh-CN"/>
              </w:rPr>
              <w:t>单位</w:t>
            </w:r>
            <w:r>
              <w:t>基本养老保险缴费</w:t>
            </w:r>
          </w:p>
        </w:tc>
        <w:tc>
          <w:tcPr>
            <w:tcW w:w="1643" w:type="dxa"/>
            <w:vAlign w:val="center"/>
          </w:tcPr>
          <w:p>
            <w:pPr>
              <w:pStyle w:val="13"/>
            </w:pPr>
            <w:r>
              <w:t>10.93</w:t>
            </w:r>
          </w:p>
        </w:tc>
        <w:tc>
          <w:tcPr>
            <w:tcW w:w="1643" w:type="dxa"/>
            <w:vAlign w:val="center"/>
          </w:tcPr>
          <w:p>
            <w:pPr>
              <w:pStyle w:val="13"/>
            </w:pPr>
            <w:r>
              <w:t>10.93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5.74</w:t>
            </w:r>
          </w:p>
        </w:tc>
        <w:tc>
          <w:tcPr>
            <w:tcW w:w="1643" w:type="dxa"/>
            <w:vAlign w:val="center"/>
          </w:tcPr>
          <w:p>
            <w:pPr>
              <w:pStyle w:val="13"/>
            </w:pPr>
            <w:r>
              <w:t>5.74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4.44</w:t>
            </w:r>
          </w:p>
        </w:tc>
        <w:tc>
          <w:tcPr>
            <w:tcW w:w="1643" w:type="dxa"/>
            <w:vAlign w:val="center"/>
          </w:tcPr>
          <w:p>
            <w:pPr>
              <w:pStyle w:val="13"/>
            </w:pPr>
            <w:r>
              <w:t>4.44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9.22</w:t>
            </w:r>
          </w:p>
        </w:tc>
        <w:tc>
          <w:tcPr>
            <w:tcW w:w="1643" w:type="dxa"/>
            <w:vAlign w:val="center"/>
          </w:tcPr>
          <w:p>
            <w:pPr>
              <w:pStyle w:val="13"/>
            </w:pPr>
            <w:r>
              <w:t>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9.05</w:t>
            </w:r>
          </w:p>
        </w:tc>
        <w:tc>
          <w:tcPr>
            <w:tcW w:w="1643" w:type="dxa"/>
            <w:vAlign w:val="center"/>
          </w:tcPr>
          <w:p>
            <w:pPr>
              <w:pStyle w:val="13"/>
            </w:pPr>
            <w:r>
              <w:t>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12.93</w:t>
            </w:r>
          </w:p>
        </w:tc>
        <w:tc>
          <w:tcPr>
            <w:tcW w:w="1643" w:type="dxa"/>
            <w:vAlign w:val="center"/>
          </w:tcPr>
          <w:p>
            <w:pPr>
              <w:pStyle w:val="13"/>
            </w:pPr>
          </w:p>
        </w:tc>
        <w:tc>
          <w:tcPr>
            <w:tcW w:w="1643" w:type="dxa"/>
            <w:vAlign w:val="center"/>
          </w:tcPr>
          <w:p>
            <w:pPr>
              <w:pStyle w:val="13"/>
            </w:pPr>
            <w:r>
              <w:t>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2.10</w:t>
            </w:r>
          </w:p>
        </w:tc>
        <w:tc>
          <w:tcPr>
            <w:tcW w:w="1643"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3.96</w:t>
            </w:r>
          </w:p>
        </w:tc>
        <w:tc>
          <w:tcPr>
            <w:tcW w:w="1643" w:type="dxa"/>
            <w:vAlign w:val="center"/>
          </w:tcPr>
          <w:p>
            <w:pPr>
              <w:pStyle w:val="13"/>
            </w:pPr>
          </w:p>
        </w:tc>
        <w:tc>
          <w:tcPr>
            <w:tcW w:w="1643"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0.64</w:t>
            </w:r>
          </w:p>
        </w:tc>
        <w:tc>
          <w:tcPr>
            <w:tcW w:w="1643" w:type="dxa"/>
            <w:vAlign w:val="center"/>
          </w:tcPr>
          <w:p>
            <w:pPr>
              <w:pStyle w:val="13"/>
            </w:pPr>
          </w:p>
        </w:tc>
        <w:tc>
          <w:tcPr>
            <w:tcW w:w="1643" w:type="dxa"/>
            <w:vAlign w:val="center"/>
          </w:tcPr>
          <w:p>
            <w:pPr>
              <w:pStyle w:val="13"/>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0.07</w:t>
            </w:r>
          </w:p>
        </w:tc>
        <w:tc>
          <w:tcPr>
            <w:tcW w:w="1643" w:type="dxa"/>
            <w:vAlign w:val="center"/>
          </w:tcPr>
          <w:p>
            <w:pPr>
              <w:pStyle w:val="13"/>
            </w:pPr>
          </w:p>
        </w:tc>
        <w:tc>
          <w:tcPr>
            <w:tcW w:w="1643" w:type="dxa"/>
            <w:vAlign w:val="center"/>
          </w:tcPr>
          <w:p>
            <w:pPr>
              <w:pStyle w:val="13"/>
            </w:pPr>
            <w:r>
              <w:t>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257" w:firstLineChars="10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石家庄市藁城区文学艺术界联合会本级2022年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按照《预算法》、《地方预决算公开操作规程》和《关于进一步推进预算公开工作的实施意见》规定，现将石家庄市藁城区文学艺术界联合会本级2022年</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rPr>
                <w:rFonts w:hint="eastAsia"/>
                <w:lang w:eastAsia="zh-CN"/>
              </w:rPr>
              <w:t>单位</w:t>
            </w:r>
            <w:r>
              <w:t>名称</w:t>
            </w:r>
          </w:p>
        </w:tc>
        <w:tc>
          <w:tcPr>
            <w:tcW w:w="2464" w:type="dxa"/>
            <w:vAlign w:val="center"/>
          </w:tcPr>
          <w:p>
            <w:pPr>
              <w:pStyle w:val="12"/>
            </w:pPr>
            <w:r>
              <w:rPr>
                <w:rFonts w:hint="eastAsia"/>
                <w:lang w:eastAsia="zh-CN"/>
              </w:rPr>
              <w:t>单位</w:t>
            </w:r>
            <w:r>
              <w:t>性质</w:t>
            </w:r>
          </w:p>
        </w:tc>
        <w:tc>
          <w:tcPr>
            <w:tcW w:w="2464" w:type="dxa"/>
            <w:vAlign w:val="center"/>
          </w:tcPr>
          <w:p>
            <w:pPr>
              <w:pStyle w:val="12"/>
            </w:pPr>
            <w:r>
              <w:rPr>
                <w:rFonts w:hint="eastAsia"/>
                <w:lang w:eastAsia="zh-CN"/>
              </w:rPr>
              <w:t>单位</w:t>
            </w:r>
            <w:r>
              <w:t>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石家庄市藁城区文学艺术界联合会本级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line="460" w:lineRule="exact"/>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本单位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134.97</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122.04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12.93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6.24</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文联联络交流经费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w:t>
      </w:r>
      <w:r>
        <w:rPr>
          <w:rFonts w:hint="eastAsia" w:eastAsia="仿宋" w:cs="Times New Roman"/>
          <w:sz w:val="32"/>
          <w:szCs w:val="32"/>
          <w:lang w:eastAsia="zh-CN"/>
        </w:rPr>
        <w:t>文联办公经费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1.24</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color w:val="000000"/>
          <w:sz w:val="32"/>
          <w:szCs w:val="32"/>
          <w:lang w:val="en-US" w:eastAsia="zh-CN"/>
        </w:rPr>
        <w:t>141.21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51.14</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45.9</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eastAsia="仿宋" w:cs="Times New Roman"/>
          <w:sz w:val="32"/>
          <w:szCs w:val="32"/>
          <w:lang w:val="en-US" w:eastAsia="zh-CN"/>
        </w:rPr>
        <w:t>2人</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5.24</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1名正科级领导需购置办公设备保证其办公，需1.24万元购买；另文艺联络交流经费增4万元，因对标北京朝阳区文联，开展文艺志愿服务，实施企业文联试点建设，庆祝党的二十大系列活动，纪念石家庄解放75周年等，需资金支持</w:t>
      </w:r>
      <w:r>
        <w:rPr>
          <w:rFonts w:hint="eastAsia" w:ascii="Times New Roman" w:hAnsi="Times New Roman" w:eastAsia="仿宋" w:cs="Times New Roman"/>
          <w:sz w:val="32"/>
          <w:szCs w:val="32"/>
        </w:rPr>
        <w:t>；其他支出无增减变化。</w:t>
      </w:r>
    </w:p>
    <w:p>
      <w:pPr>
        <w:numPr>
          <w:ilvl w:val="0"/>
          <w:numId w:val="0"/>
        </w:numPr>
        <w:spacing w:before="10" w:after="10" w:line="240" w:lineRule="auto"/>
        <w:ind w:left="72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640"/>
        <w:jc w:val="left"/>
        <w:outlineLvl w:val="5"/>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12.93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1"/>
        </w:numPr>
        <w:spacing w:before="10" w:after="10" w:line="240" w:lineRule="auto"/>
        <w:ind w:left="8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2"/>
        <w:rPr>
          <w:rFonts w:ascii="黑体" w:hAnsi="黑体" w:eastAsia="黑体" w:cs="黑体"/>
          <w:color w:val="000000"/>
          <w:sz w:val="32"/>
        </w:rPr>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1、文联办公经费绩效目标表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办公设备购置</w:t>
            </w:r>
          </w:p>
          <w:p>
            <w:pPr>
              <w:pStyle w:val="28"/>
            </w:pPr>
          </w:p>
        </w:tc>
        <w:tc>
          <w:tcPr>
            <w:tcW w:w="2466" w:type="dxa"/>
            <w:vAlign w:val="center"/>
          </w:tcPr>
          <w:p>
            <w:pPr>
              <w:pStyle w:val="28"/>
            </w:pPr>
            <w:r>
              <w:t>按《藁城区行政事业</w:t>
            </w:r>
            <w:r>
              <w:rPr>
                <w:rFonts w:hint="eastAsia"/>
                <w:lang w:eastAsia="zh-CN"/>
              </w:rPr>
              <w:t>单位</w:t>
            </w:r>
            <w:r>
              <w:t>国有资产配置管理办法》标准配置，保障新增人员正常办工，机关工作正常运转。</w:t>
            </w:r>
          </w:p>
        </w:tc>
        <w:tc>
          <w:tcPr>
            <w:tcW w:w="2466" w:type="dxa"/>
            <w:vAlign w:val="center"/>
          </w:tcPr>
          <w:p>
            <w:pPr>
              <w:pStyle w:val="28"/>
            </w:pPr>
            <w:r>
              <w:t>6套</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覆盖率</w:t>
            </w:r>
          </w:p>
        </w:tc>
        <w:tc>
          <w:tcPr>
            <w:tcW w:w="2466" w:type="dxa"/>
            <w:vAlign w:val="center"/>
          </w:tcPr>
          <w:p>
            <w:pPr>
              <w:pStyle w:val="28"/>
            </w:pPr>
            <w:r>
              <w:t>新增人员办公覆盖情况</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办公设备购置完成率</w:t>
            </w:r>
          </w:p>
        </w:tc>
        <w:tc>
          <w:tcPr>
            <w:tcW w:w="2466" w:type="dxa"/>
            <w:vAlign w:val="center"/>
          </w:tcPr>
          <w:p>
            <w:pPr>
              <w:pStyle w:val="28"/>
            </w:pPr>
            <w:r>
              <w:t>购置办公用品完成情况</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项目预算控制数</w:t>
            </w:r>
          </w:p>
        </w:tc>
        <w:tc>
          <w:tcPr>
            <w:tcW w:w="2466" w:type="dxa"/>
            <w:vAlign w:val="center"/>
          </w:tcPr>
          <w:p>
            <w:pPr>
              <w:pStyle w:val="28"/>
            </w:pPr>
            <w:r>
              <w:t>不超过财政支持经费规模</w:t>
            </w:r>
          </w:p>
        </w:tc>
        <w:tc>
          <w:tcPr>
            <w:tcW w:w="2466" w:type="dxa"/>
            <w:vAlign w:val="center"/>
          </w:tcPr>
          <w:p>
            <w:pPr>
              <w:pStyle w:val="28"/>
            </w:pPr>
            <w:r>
              <w:t>≤1.24万元</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办公用品发放使用量占购置量的比例</w:t>
            </w:r>
          </w:p>
        </w:tc>
        <w:tc>
          <w:tcPr>
            <w:tcW w:w="2466" w:type="dxa"/>
            <w:vAlign w:val="center"/>
          </w:tcPr>
          <w:p>
            <w:pPr>
              <w:pStyle w:val="28"/>
            </w:pPr>
            <w:r>
              <w:t>办公用品发放使用量占购置量的比例</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新增人员满意度</w:t>
            </w:r>
          </w:p>
        </w:tc>
        <w:tc>
          <w:tcPr>
            <w:tcW w:w="2466" w:type="dxa"/>
            <w:vAlign w:val="center"/>
          </w:tcPr>
          <w:p>
            <w:pPr>
              <w:pStyle w:val="28"/>
            </w:pPr>
            <w:r>
              <w:t>新增人员对办公环境的整体满意度</w:t>
            </w:r>
          </w:p>
        </w:tc>
        <w:tc>
          <w:tcPr>
            <w:tcW w:w="2466" w:type="dxa"/>
            <w:vAlign w:val="center"/>
          </w:tcPr>
          <w:p>
            <w:pPr>
              <w:pStyle w:val="28"/>
            </w:pPr>
            <w:r>
              <w:t>≥98%</w:t>
            </w:r>
          </w:p>
        </w:tc>
        <w:tc>
          <w:tcPr>
            <w:tcW w:w="2466" w:type="dxa"/>
            <w:vAlign w:val="center"/>
          </w:tcPr>
          <w:p>
            <w:pPr>
              <w:pStyle w:val="28"/>
            </w:pPr>
            <w:r>
              <w:t>年度工作工作计划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2、文艺联络交流经费绩效目标表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组织活动的场次</w:t>
            </w:r>
          </w:p>
        </w:tc>
        <w:tc>
          <w:tcPr>
            <w:tcW w:w="2466" w:type="dxa"/>
            <w:vAlign w:val="center"/>
          </w:tcPr>
          <w:p>
            <w:pPr>
              <w:pStyle w:val="28"/>
            </w:pPr>
            <w:r>
              <w:t>举办各艺术门类业务活动场次</w:t>
            </w:r>
          </w:p>
        </w:tc>
        <w:tc>
          <w:tcPr>
            <w:tcW w:w="2466" w:type="dxa"/>
            <w:vAlign w:val="center"/>
          </w:tcPr>
          <w:p>
            <w:pPr>
              <w:pStyle w:val="28"/>
            </w:pPr>
            <w:r>
              <w:t>≥5次</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组织艺术家创作次数</w:t>
            </w:r>
          </w:p>
        </w:tc>
        <w:tc>
          <w:tcPr>
            <w:tcW w:w="2466" w:type="dxa"/>
            <w:vAlign w:val="center"/>
          </w:tcPr>
          <w:p>
            <w:pPr>
              <w:pStyle w:val="28"/>
            </w:pPr>
            <w:r>
              <w:t>艺术创作次数</w:t>
            </w:r>
          </w:p>
        </w:tc>
        <w:tc>
          <w:tcPr>
            <w:tcW w:w="2466" w:type="dxa"/>
            <w:vAlign w:val="center"/>
          </w:tcPr>
          <w:p>
            <w:pPr>
              <w:pStyle w:val="28"/>
            </w:pPr>
            <w:r>
              <w:t>≥2次</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组织研讨推介活动次数</w:t>
            </w:r>
          </w:p>
        </w:tc>
        <w:tc>
          <w:tcPr>
            <w:tcW w:w="2466" w:type="dxa"/>
            <w:vAlign w:val="center"/>
          </w:tcPr>
          <w:p>
            <w:pPr>
              <w:pStyle w:val="28"/>
            </w:pPr>
            <w:r>
              <w:t>组织活动次数</w:t>
            </w:r>
          </w:p>
        </w:tc>
        <w:tc>
          <w:tcPr>
            <w:tcW w:w="2466" w:type="dxa"/>
            <w:vAlign w:val="center"/>
          </w:tcPr>
          <w:p>
            <w:pPr>
              <w:pStyle w:val="28"/>
            </w:pPr>
            <w:r>
              <w:t>≥2次</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媒体宣传、信息数量(篇)</w:t>
            </w:r>
          </w:p>
        </w:tc>
        <w:tc>
          <w:tcPr>
            <w:tcW w:w="2466" w:type="dxa"/>
            <w:vAlign w:val="center"/>
          </w:tcPr>
          <w:p>
            <w:pPr>
              <w:pStyle w:val="28"/>
            </w:pPr>
            <w:r>
              <w:t>对外宣传信息的篇幅</w:t>
            </w:r>
          </w:p>
        </w:tc>
        <w:tc>
          <w:tcPr>
            <w:tcW w:w="2466" w:type="dxa"/>
            <w:vAlign w:val="center"/>
          </w:tcPr>
          <w:p>
            <w:pPr>
              <w:pStyle w:val="28"/>
            </w:pPr>
            <w:r>
              <w:t>≥3篇</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组织对外、民间文化交流次数</w:t>
            </w:r>
          </w:p>
        </w:tc>
        <w:tc>
          <w:tcPr>
            <w:tcW w:w="2466" w:type="dxa"/>
            <w:vAlign w:val="center"/>
          </w:tcPr>
          <w:p>
            <w:pPr>
              <w:pStyle w:val="28"/>
            </w:pPr>
            <w:r>
              <w:t>组织对外、民间文化交流次数</w:t>
            </w:r>
          </w:p>
        </w:tc>
        <w:tc>
          <w:tcPr>
            <w:tcW w:w="2466" w:type="dxa"/>
            <w:vAlign w:val="center"/>
          </w:tcPr>
          <w:p>
            <w:pPr>
              <w:pStyle w:val="28"/>
            </w:pPr>
            <w:r>
              <w:t>≥2次</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文艺精品生产数量</w:t>
            </w:r>
          </w:p>
        </w:tc>
        <w:tc>
          <w:tcPr>
            <w:tcW w:w="2466" w:type="dxa"/>
            <w:vAlign w:val="center"/>
          </w:tcPr>
          <w:p>
            <w:pPr>
              <w:pStyle w:val="28"/>
            </w:pPr>
            <w:r>
              <w:t>生产文艺精品的数量</w:t>
            </w:r>
          </w:p>
        </w:tc>
        <w:tc>
          <w:tcPr>
            <w:tcW w:w="2466" w:type="dxa"/>
            <w:vAlign w:val="center"/>
          </w:tcPr>
          <w:p>
            <w:pPr>
              <w:pStyle w:val="28"/>
            </w:pPr>
            <w:r>
              <w:t>≥2个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文艺研修教育人数</w:t>
            </w:r>
          </w:p>
        </w:tc>
        <w:tc>
          <w:tcPr>
            <w:tcW w:w="2466" w:type="dxa"/>
            <w:vAlign w:val="center"/>
          </w:tcPr>
          <w:p>
            <w:pPr>
              <w:pStyle w:val="28"/>
            </w:pPr>
            <w:r>
              <w:t>参加省市文艺研修及教育的人数</w:t>
            </w:r>
          </w:p>
        </w:tc>
        <w:tc>
          <w:tcPr>
            <w:tcW w:w="2466" w:type="dxa"/>
            <w:vAlign w:val="center"/>
          </w:tcPr>
          <w:p>
            <w:pPr>
              <w:pStyle w:val="28"/>
            </w:pPr>
            <w:r>
              <w:t>≥2人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文艺人才资源库人数</w:t>
            </w:r>
          </w:p>
        </w:tc>
        <w:tc>
          <w:tcPr>
            <w:tcW w:w="2466" w:type="dxa"/>
            <w:vAlign w:val="center"/>
          </w:tcPr>
          <w:p>
            <w:pPr>
              <w:pStyle w:val="28"/>
            </w:pPr>
            <w:r>
              <w:t>被省市文艺人才网资源库纳入的艺术家人数</w:t>
            </w:r>
          </w:p>
        </w:tc>
        <w:tc>
          <w:tcPr>
            <w:tcW w:w="2466" w:type="dxa"/>
            <w:vAlign w:val="center"/>
          </w:tcPr>
          <w:p>
            <w:pPr>
              <w:pStyle w:val="28"/>
            </w:pPr>
            <w:r>
              <w:t>≥1人</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综合事务完成率</w:t>
            </w:r>
          </w:p>
        </w:tc>
        <w:tc>
          <w:tcPr>
            <w:tcW w:w="2466" w:type="dxa"/>
            <w:vAlign w:val="center"/>
          </w:tcPr>
          <w:p>
            <w:pPr>
              <w:pStyle w:val="28"/>
            </w:pPr>
            <w:r>
              <w:t>综合事务管理工作完成情况，保证机关工作有序正常高效运转。</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计划完成及时率</w:t>
            </w:r>
          </w:p>
        </w:tc>
        <w:tc>
          <w:tcPr>
            <w:tcW w:w="2466" w:type="dxa"/>
            <w:vAlign w:val="center"/>
          </w:tcPr>
          <w:p>
            <w:pPr>
              <w:pStyle w:val="28"/>
            </w:pPr>
            <w:r>
              <w:t>按要求及时完成各项文艺活动计划</w:t>
            </w:r>
          </w:p>
        </w:tc>
        <w:tc>
          <w:tcPr>
            <w:tcW w:w="2466" w:type="dxa"/>
            <w:vAlign w:val="center"/>
          </w:tcPr>
          <w:p>
            <w:pPr>
              <w:pStyle w:val="28"/>
            </w:pPr>
            <w:r>
              <w:t>≥95%</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项目预算控制数</w:t>
            </w:r>
          </w:p>
        </w:tc>
        <w:tc>
          <w:tcPr>
            <w:tcW w:w="2466" w:type="dxa"/>
            <w:vAlign w:val="center"/>
          </w:tcPr>
          <w:p>
            <w:pPr>
              <w:pStyle w:val="28"/>
            </w:pPr>
            <w:r>
              <w:t>不超过财政支持经费规模</w:t>
            </w:r>
          </w:p>
        </w:tc>
        <w:tc>
          <w:tcPr>
            <w:tcW w:w="2466" w:type="dxa"/>
            <w:vAlign w:val="center"/>
          </w:tcPr>
          <w:p>
            <w:pPr>
              <w:pStyle w:val="28"/>
            </w:pPr>
            <w:r>
              <w:t>≤100%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宣传文化提高人民文化水平</w:t>
            </w:r>
          </w:p>
        </w:tc>
        <w:tc>
          <w:tcPr>
            <w:tcW w:w="2466" w:type="dxa"/>
            <w:vAlign w:val="center"/>
          </w:tcPr>
          <w:p>
            <w:pPr>
              <w:pStyle w:val="28"/>
            </w:pPr>
            <w:r>
              <w:t>通过演出文化培训创作优秀作品交流等，达到丰富人民精神生活，弘扬社会主义核心价值观，增强文化自信，不断满足群众日益增长的精神文化生活需要</w:t>
            </w:r>
          </w:p>
        </w:tc>
        <w:tc>
          <w:tcPr>
            <w:tcW w:w="2466" w:type="dxa"/>
            <w:vAlign w:val="center"/>
          </w:tcPr>
          <w:p>
            <w:pPr>
              <w:pStyle w:val="28"/>
            </w:pPr>
            <w:r>
              <w:t>宣传文化提高人民文化水平</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对群众进行走访调查谈心了解满意程度</w:t>
            </w:r>
          </w:p>
        </w:tc>
        <w:tc>
          <w:tcPr>
            <w:tcW w:w="2466" w:type="dxa"/>
            <w:vAlign w:val="center"/>
          </w:tcPr>
          <w:p>
            <w:pPr>
              <w:pStyle w:val="28"/>
            </w:pPr>
            <w:r>
              <w:t>≥90%</w:t>
            </w:r>
          </w:p>
        </w:tc>
        <w:tc>
          <w:tcPr>
            <w:tcW w:w="2466" w:type="dxa"/>
            <w:vAlign w:val="center"/>
          </w:tcPr>
          <w:p>
            <w:pPr>
              <w:pStyle w:val="28"/>
            </w:pPr>
            <w:r>
              <w:t>年度工作计划</w:t>
            </w:r>
          </w:p>
        </w:tc>
      </w:tr>
    </w:tbl>
    <w:p>
      <w:pPr>
        <w:pStyle w:val="26"/>
        <w:sectPr>
          <w:pgSz w:w="16840" w:h="11900" w:orient="landscape"/>
          <w:pgMar w:top="1361" w:right="1020" w:bottom="1361"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2022年，石家庄市藁城区文学艺术界联合会本级安排政府采购预算3.34万元。具体内容见下表。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8316" w:type="dxa"/>
            <w:gridSpan w:val="9"/>
            <w:tcBorders>
              <w:top w:val="single" w:color="FFFFFF" w:sz="6" w:space="0"/>
              <w:left w:val="single" w:color="FFFFFF" w:sz="6" w:space="0"/>
              <w:right w:val="single" w:color="FFFFFF" w:sz="6" w:space="0"/>
            </w:tcBorders>
            <w:vAlign w:val="center"/>
          </w:tcPr>
          <w:p>
            <w:pPr>
              <w:pStyle w:val="30"/>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rPr>
                <w:rFonts w:hint="eastAsia" w:eastAsia="方正书宋_GBK"/>
                <w:lang w:eastAsia="zh-CN"/>
              </w:rPr>
            </w:pPr>
            <w:r>
              <w:t xml:space="preserve">计量  </w:t>
            </w:r>
            <w:r>
              <w:rPr>
                <w:rFonts w:hint="eastAsia"/>
                <w:lang w:eastAsia="zh-CN"/>
              </w:rPr>
              <w:t>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rPr>
                <w:rFonts w:hint="eastAsia"/>
                <w:lang w:eastAsia="zh-CN"/>
              </w:rPr>
              <w:t>单位</w:t>
            </w:r>
            <w:r>
              <w:t xml:space="preserve">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3.34</w:t>
            </w:r>
          </w:p>
        </w:tc>
        <w:tc>
          <w:tcPr>
            <w:tcW w:w="924" w:type="dxa"/>
            <w:vAlign w:val="center"/>
          </w:tcPr>
          <w:p>
            <w:pPr>
              <w:pStyle w:val="17"/>
            </w:pPr>
            <w:r>
              <w:t>3.34</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石家庄市藁城区文学艺术界联合会本级小计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3.34</w:t>
            </w:r>
          </w:p>
        </w:tc>
        <w:tc>
          <w:tcPr>
            <w:tcW w:w="924" w:type="dxa"/>
            <w:vAlign w:val="center"/>
          </w:tcPr>
          <w:p>
            <w:pPr>
              <w:pStyle w:val="17"/>
            </w:pPr>
            <w:r>
              <w:t>3.34</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12.93</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20</w:t>
            </w:r>
          </w:p>
        </w:tc>
        <w:tc>
          <w:tcPr>
            <w:tcW w:w="924" w:type="dxa"/>
            <w:vAlign w:val="center"/>
          </w:tcPr>
          <w:p>
            <w:pPr>
              <w:pStyle w:val="13"/>
            </w:pPr>
            <w:r>
              <w:t>0.02</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 xml:space="preserve">台 </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其他办公设备</w:t>
            </w:r>
          </w:p>
        </w:tc>
        <w:tc>
          <w:tcPr>
            <w:tcW w:w="924" w:type="dxa"/>
            <w:vAlign w:val="center"/>
          </w:tcPr>
          <w:p>
            <w:pPr>
              <w:pStyle w:val="14"/>
            </w:pPr>
            <w:r>
              <w:t>A020299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木制台、桌类</w:t>
            </w:r>
          </w:p>
        </w:tc>
        <w:tc>
          <w:tcPr>
            <w:tcW w:w="924" w:type="dxa"/>
            <w:vAlign w:val="center"/>
          </w:tcPr>
          <w:p>
            <w:pPr>
              <w:pStyle w:val="14"/>
            </w:pPr>
            <w:r>
              <w:t>A060205</w:t>
            </w:r>
          </w:p>
        </w:tc>
        <w:tc>
          <w:tcPr>
            <w:tcW w:w="924" w:type="dxa"/>
            <w:vAlign w:val="center"/>
          </w:tcPr>
          <w:p>
            <w:pPr>
              <w:pStyle w:val="15"/>
            </w:pPr>
            <w:r>
              <w:t>套</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木骨架为主的椅凳类</w:t>
            </w:r>
          </w:p>
        </w:tc>
        <w:tc>
          <w:tcPr>
            <w:tcW w:w="924" w:type="dxa"/>
            <w:vAlign w:val="center"/>
          </w:tcPr>
          <w:p>
            <w:pPr>
              <w:pStyle w:val="14"/>
            </w:pPr>
            <w:r>
              <w:t>A060302</w:t>
            </w:r>
          </w:p>
        </w:tc>
        <w:tc>
          <w:tcPr>
            <w:tcW w:w="924" w:type="dxa"/>
            <w:vAlign w:val="center"/>
          </w:tcPr>
          <w:p>
            <w:pPr>
              <w:pStyle w:val="15"/>
            </w:pPr>
            <w:r>
              <w:t>把</w:t>
            </w:r>
          </w:p>
        </w:tc>
        <w:tc>
          <w:tcPr>
            <w:tcW w:w="924" w:type="dxa"/>
            <w:vAlign w:val="center"/>
          </w:tcPr>
          <w:p>
            <w:pPr>
              <w:pStyle w:val="13"/>
            </w:pPr>
            <w:r>
              <w:t>1</w:t>
            </w:r>
          </w:p>
        </w:tc>
        <w:tc>
          <w:tcPr>
            <w:tcW w:w="924" w:type="dxa"/>
            <w:vAlign w:val="center"/>
          </w:tcPr>
          <w:p>
            <w:pPr>
              <w:pStyle w:val="13"/>
            </w:pPr>
            <w:r>
              <w:t>0.04</w:t>
            </w:r>
          </w:p>
        </w:tc>
        <w:tc>
          <w:tcPr>
            <w:tcW w:w="924" w:type="dxa"/>
            <w:vAlign w:val="center"/>
          </w:tcPr>
          <w:p>
            <w:pPr>
              <w:pStyle w:val="13"/>
            </w:pPr>
            <w:r>
              <w:t>0.04</w:t>
            </w:r>
          </w:p>
        </w:tc>
        <w:tc>
          <w:tcPr>
            <w:tcW w:w="924" w:type="dxa"/>
            <w:vAlign w:val="center"/>
          </w:tcPr>
          <w:p>
            <w:pPr>
              <w:pStyle w:val="13"/>
            </w:pPr>
            <w:r>
              <w:t>0.04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木质柜类</w:t>
            </w:r>
          </w:p>
        </w:tc>
        <w:tc>
          <w:tcPr>
            <w:tcW w:w="924" w:type="dxa"/>
            <w:vAlign w:val="center"/>
          </w:tcPr>
          <w:p>
            <w:pPr>
              <w:pStyle w:val="14"/>
            </w:pPr>
            <w:r>
              <w:t>A060501</w:t>
            </w:r>
          </w:p>
        </w:tc>
        <w:tc>
          <w:tcPr>
            <w:tcW w:w="924" w:type="dxa"/>
            <w:vAlign w:val="center"/>
          </w:tcPr>
          <w:p>
            <w:pPr>
              <w:pStyle w:val="15"/>
            </w:pPr>
            <w:r>
              <w:t xml:space="preserve">个 </w:t>
            </w:r>
          </w:p>
        </w:tc>
        <w:tc>
          <w:tcPr>
            <w:tcW w:w="924" w:type="dxa"/>
            <w:vAlign w:val="center"/>
          </w:tcPr>
          <w:p>
            <w:pPr>
              <w:pStyle w:val="13"/>
            </w:pPr>
            <w:r>
              <w:t>1</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文联办公经费</w:t>
            </w:r>
          </w:p>
        </w:tc>
        <w:tc>
          <w:tcPr>
            <w:tcW w:w="924" w:type="dxa"/>
            <w:vAlign w:val="center"/>
          </w:tcPr>
          <w:p>
            <w:pPr>
              <w:pStyle w:val="13"/>
            </w:pPr>
            <w:r>
              <w:t>1.24</w:t>
            </w:r>
          </w:p>
        </w:tc>
        <w:tc>
          <w:tcPr>
            <w:tcW w:w="924" w:type="dxa"/>
            <w:vAlign w:val="center"/>
          </w:tcPr>
          <w:p>
            <w:pPr>
              <w:pStyle w:val="14"/>
            </w:pPr>
            <w:r>
              <w:t>其他柜类</w:t>
            </w:r>
          </w:p>
        </w:tc>
        <w:tc>
          <w:tcPr>
            <w:tcW w:w="924" w:type="dxa"/>
            <w:vAlign w:val="center"/>
          </w:tcPr>
          <w:p>
            <w:pPr>
              <w:pStyle w:val="14"/>
            </w:pPr>
            <w:r>
              <w:t>A060599</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文艺联络交流经费</w:t>
            </w:r>
          </w:p>
        </w:tc>
        <w:tc>
          <w:tcPr>
            <w:tcW w:w="924" w:type="dxa"/>
            <w:vAlign w:val="center"/>
          </w:tcPr>
          <w:p>
            <w:pPr>
              <w:pStyle w:val="13"/>
            </w:pPr>
            <w:r>
              <w:t>5.00</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平方米</w:t>
            </w:r>
          </w:p>
        </w:tc>
        <w:tc>
          <w:tcPr>
            <w:tcW w:w="924" w:type="dxa"/>
            <w:vAlign w:val="center"/>
          </w:tcPr>
          <w:p>
            <w:pPr>
              <w:pStyle w:val="13"/>
            </w:pPr>
            <w:r>
              <w:t>40</w:t>
            </w:r>
          </w:p>
        </w:tc>
        <w:tc>
          <w:tcPr>
            <w:tcW w:w="924" w:type="dxa"/>
            <w:vAlign w:val="center"/>
          </w:tcPr>
          <w:p>
            <w:pPr>
              <w:pStyle w:val="13"/>
            </w:pPr>
            <w:r>
              <w:t>0.05</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石家庄市藁城区文学艺术界联合会本级上年末固定资产金额为5.26万元（详见下表）。本年度拟购置固定资产总额为0.94万元，已按要求列入政府采购预算，详见政府采购预算表。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721001石家庄市藁城区文学艺术界联合会本级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w:t>
            </w: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19</w:t>
            </w:r>
          </w:p>
        </w:tc>
        <w:tc>
          <w:tcPr>
            <w:tcW w:w="4933" w:type="dxa"/>
            <w:vAlign w:val="center"/>
          </w:tcPr>
          <w:p>
            <w:pPr>
              <w:pStyle w:val="13"/>
            </w:pPr>
            <w:r>
              <w:t>6.20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FD512E"/>
    <w:multiLevelType w:val="singleLevel"/>
    <w:tmpl w:val="94FD512E"/>
    <w:lvl w:ilvl="0" w:tentative="0">
      <w:start w:val="3"/>
      <w:numFmt w:val="chineseCounting"/>
      <w:suff w:val="nothing"/>
      <w:lvlText w:val="%1、"/>
      <w:lvlJc w:val="left"/>
      <w:pPr>
        <w:ind w:left="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6404D4"/>
    <w:rsid w:val="062F006F"/>
    <w:rsid w:val="0AE92D87"/>
    <w:rsid w:val="0C937D21"/>
    <w:rsid w:val="110E7BFC"/>
    <w:rsid w:val="113B2EFE"/>
    <w:rsid w:val="161E69E4"/>
    <w:rsid w:val="1C230B69"/>
    <w:rsid w:val="23E77E53"/>
    <w:rsid w:val="24EE11A5"/>
    <w:rsid w:val="2D22340F"/>
    <w:rsid w:val="348543F7"/>
    <w:rsid w:val="34973422"/>
    <w:rsid w:val="36A50B28"/>
    <w:rsid w:val="38067DF5"/>
    <w:rsid w:val="38551D0B"/>
    <w:rsid w:val="44D20789"/>
    <w:rsid w:val="46547BCF"/>
    <w:rsid w:val="47ED58C0"/>
    <w:rsid w:val="4A5F5010"/>
    <w:rsid w:val="4A7D5035"/>
    <w:rsid w:val="4B713E33"/>
    <w:rsid w:val="4DFD1A86"/>
    <w:rsid w:val="509C5A43"/>
    <w:rsid w:val="51676DBD"/>
    <w:rsid w:val="5ADF35F7"/>
    <w:rsid w:val="5F4500FC"/>
    <w:rsid w:val="61BB7BAC"/>
    <w:rsid w:val="61FB3252"/>
    <w:rsid w:val="62D1247F"/>
    <w:rsid w:val="652D4B7C"/>
    <w:rsid w:val="67BA76A8"/>
    <w:rsid w:val="684B33E8"/>
    <w:rsid w:val="6ACE3308"/>
    <w:rsid w:val="720278AA"/>
    <w:rsid w:val="72501AF0"/>
    <w:rsid w:val="73F35381"/>
    <w:rsid w:val="76DC5160"/>
    <w:rsid w:val="76F46F47"/>
    <w:rsid w:val="7780426B"/>
    <w:rsid w:val="79D847B3"/>
    <w:rsid w:val="7A4A51E7"/>
    <w:rsid w:val="7FB35C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51e251d0-98f6-437e-bcf7-5c95e97dd6aa"/>
    <w:qFormat/>
    <w:uiPriority w:val="0"/>
    <w:rPr>
      <w:rFonts w:ascii="Times New Roman" w:hAnsi="Times New Roman" w:eastAsia="Times New Roman" w:cstheme="minorBidi"/>
      <w:sz w:val="24"/>
      <w:szCs w:val="24"/>
      <w:lang w:val="en-US" w:eastAsia="uk-UA" w:bidi="ar-SA"/>
    </w:rPr>
  </w:style>
  <w:style w:type="paragraph" w:customStyle="1" w:styleId="27">
    <w:name w:val="单元格样式1_21ca871d-581b-43c6-b5c6-b09eb24c141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eb5ad51-71f0-41bd-b910-f8bf87e4edf1"/>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df30838-3363-4eea-a143-2ea70d6948e8"/>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2022-02-14T17:48:24Z</dcterms:created>
  <dcterms:modified xsi:type="dcterms:W3CDTF">2022-02-14T09:48:24Z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2022-02-14T17:48:23Z</dcterms:created>
  <dcterms:modified xsi:type="dcterms:W3CDTF">2022-02-14T09:48:23Z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2022-02-14T17:48:19Z</dcterms:created>
  <dcterms:modified xsi:type="dcterms:W3CDTF">2022-02-14T09:48:19Z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2022-02-14T17:48:17Z</dcterms:created>
  <dcterms:modified xsi:type="dcterms:W3CDTF">2022-02-14T09:48:17Z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7b6d13-ed11-408d-b4d7-1337371d598d}">
  <ds:schemaRefs/>
</ds:datastoreItem>
</file>

<file path=customXml/itemProps3.xml><?xml version="1.0" encoding="utf-8"?>
<ds:datastoreItem xmlns:ds="http://schemas.openxmlformats.org/officeDocument/2006/customXml" ds:itemID="{447270dc-b57f-4452-9206-b611a5406dd3}">
  <ds:schemaRefs/>
</ds:datastoreItem>
</file>

<file path=customXml/itemProps4.xml><?xml version="1.0" encoding="utf-8"?>
<ds:datastoreItem xmlns:ds="http://schemas.openxmlformats.org/officeDocument/2006/customXml" ds:itemID="{8978902e-8f1c-4a80-9b3e-d8806acf7ebe}">
  <ds:schemaRefs/>
</ds:datastoreItem>
</file>

<file path=customXml/itemProps5.xml><?xml version="1.0" encoding="utf-8"?>
<ds:datastoreItem xmlns:ds="http://schemas.openxmlformats.org/officeDocument/2006/customXml" ds:itemID="{b9370875-28d2-4ed1-a3d3-0f806e9d1271}">
  <ds:schemaRefs/>
</ds:datastoreItem>
</file>

<file path=customXml/itemProps6.xml><?xml version="1.0" encoding="utf-8"?>
<ds:datastoreItem xmlns:ds="http://schemas.openxmlformats.org/officeDocument/2006/customXml" ds:itemID="{b0282077-b6f6-45a7-8f0b-0276e528a367}">
  <ds:schemaRefs/>
</ds:datastoreItem>
</file>

<file path=customXml/itemProps7.xml><?xml version="1.0" encoding="utf-8"?>
<ds:datastoreItem xmlns:ds="http://schemas.openxmlformats.org/officeDocument/2006/customXml" ds:itemID="{1a928320-0c1b-41b8-9bb9-a1815151cb34}">
  <ds:schemaRefs/>
</ds:datastoreItem>
</file>

<file path=customXml/itemProps8.xml><?xml version="1.0" encoding="utf-8"?>
<ds:datastoreItem xmlns:ds="http://schemas.openxmlformats.org/officeDocument/2006/customXml" ds:itemID="{880e1b3a-19aa-4076-8a6b-f51c0ba69878}">
  <ds:schemaRefs/>
</ds:datastoreItem>
</file>

<file path=customXml/itemProps9.xml><?xml version="1.0" encoding="utf-8"?>
<ds:datastoreItem xmlns:ds="http://schemas.openxmlformats.org/officeDocument/2006/customXml" ds:itemID="{7e6931e7-9dfb-4637-8085-8bea673ff490}">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Administrator</dc:creator>
  <cp:lastModifiedBy>Administrator</cp:lastModifiedBy>
  <dcterms:modified xsi:type="dcterms:W3CDTF">2023-09-04T08:29:08Z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