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288EA8D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附件</w:t>
      </w:r>
      <w:r>
        <w:rPr>
          <w:rFonts w:hint="eastAsia" w:ascii="黑体" w:hAnsi="黑体" w:eastAsia="黑体" w:cs="黑体"/>
          <w:sz w:val="32"/>
          <w:szCs w:val="32"/>
          <w:lang w:val="en-US" w:eastAsia="zh-CN"/>
        </w:rPr>
        <w:t>4</w:t>
      </w:r>
    </w:p>
    <w:p w14:paraId="6BC809D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textAlignment w:val="auto"/>
        <w:rPr>
          <w:rFonts w:hint="eastAsia" w:ascii="黑体" w:hAnsi="黑体" w:eastAsia="黑体" w:cs="黑体"/>
          <w:sz w:val="32"/>
          <w:szCs w:val="32"/>
          <w:lang w:val="en-US" w:eastAsia="zh-CN"/>
        </w:rPr>
      </w:pPr>
    </w:p>
    <w:p w14:paraId="45EBF03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eastAsia="zh-CN"/>
        </w:rPr>
        <w:t>石家庄市藁城区财政局</w:t>
      </w:r>
    </w:p>
    <w:p w14:paraId="4A404F01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</w:pP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202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  <w:lang w:val="en-US" w:eastAsia="zh-CN"/>
        </w:rPr>
        <w:t>3</w:t>
      </w:r>
      <w:r>
        <w:rPr>
          <w:rFonts w:hint="eastAsia" w:ascii="方正小标宋简体" w:hAnsi="方正小标宋简体" w:eastAsia="方正小标宋简体" w:cs="方正小标宋简体"/>
          <w:b w:val="0"/>
          <w:bCs w:val="0"/>
          <w:sz w:val="44"/>
          <w:szCs w:val="44"/>
        </w:rPr>
        <w:t>年度整体支出绩效自评工作报告</w:t>
      </w:r>
    </w:p>
    <w:p w14:paraId="7D7FF630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0" w:leftChars="0" w:right="0"/>
        <w:jc w:val="center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</w:rPr>
      </w:pPr>
    </w:p>
    <w:p w14:paraId="13F3D1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 w:val="0"/>
        <w:snapToGrid w:val="0"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lang w:eastAsia="zh-CN"/>
        </w:rPr>
        <w:t>贯彻落实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区委区政府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《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关于全面落实预算绩效管理的实施意见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》（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藁发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〔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2019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〕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9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号）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文件精神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</w:rPr>
        <w:t>，</w:t>
      </w:r>
      <w:r>
        <w:rPr>
          <w:rFonts w:hint="eastAsia" w:ascii="仿宋_GB2312" w:hAnsi="仿宋_GB2312" w:eastAsia="仿宋_GB2312" w:cs="仿宋_GB2312"/>
          <w:sz w:val="32"/>
          <w:szCs w:val="32"/>
        </w:rPr>
        <w:t>遵循“科学性、规范性、客观性和公正性”的原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则，对石家庄市藁城区财政局202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val="en-US" w:eastAsia="zh-CN"/>
        </w:rPr>
        <w:t>3</w:t>
      </w: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年整体支出情况实施了财政支出绩效自评价，形成本评价报告。</w:t>
      </w:r>
    </w:p>
    <w:p w14:paraId="6F2E340A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</w:rPr>
        <w:t>一、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部门基本情况</w:t>
      </w:r>
    </w:p>
    <w:p w14:paraId="4918C10A">
      <w:pPr>
        <w:pStyle w:val="8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石家庄市藁城区财政局的主要职责是：</w:t>
      </w:r>
    </w:p>
    <w:p w14:paraId="59DEEF42">
      <w:pPr>
        <w:pStyle w:val="8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（一）办公室</w:t>
      </w:r>
    </w:p>
    <w:p w14:paraId="6C11C595">
      <w:pPr>
        <w:pStyle w:val="8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综合协调、管理局机关日常政务；负责有关重要会议的组织：起草和修改有关重要报告和文件；研究财政政策；负责局机关的人事工资管理；负责全区财政系统干部队伍建设、精神文明建设和法制宣传工作；负责文电、机要保密、档案、信访、办公自动化及机关后勤服务等工作；负责重要事项的督查督办。</w:t>
      </w:r>
    </w:p>
    <w:p w14:paraId="20CAA0A2">
      <w:pPr>
        <w:pStyle w:val="8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（二）预算股</w:t>
      </w:r>
    </w:p>
    <w:p w14:paraId="2F962B39">
      <w:pPr>
        <w:pStyle w:val="8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负责编制年度区本级预算、汇总全区总预算，组织预算的执行，编制全区决算；执行国家预算管理体制和管理制度，研究地方预算体制改革；拟定区对乡财政管理体 ，研究制订增收节支和平衡预算的措施；负责审核批复部门（单位）的年度预决算。</w:t>
      </w:r>
    </w:p>
    <w:p w14:paraId="3D869CC8">
      <w:pPr>
        <w:pStyle w:val="8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（三）事业社保股</w:t>
      </w:r>
    </w:p>
    <w:p w14:paraId="3A15603A">
      <w:pPr>
        <w:pStyle w:val="8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负责全区行政政法、财政教科文、财政社会保障财务管理事业单位财务管理。参与研究社会保障制度改革，会同有关部门研究建立社会保障预算和社会保障资金收支体系。</w:t>
      </w:r>
    </w:p>
    <w:p w14:paraId="7CCBB8DA">
      <w:pPr>
        <w:pStyle w:val="8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（四）农业股</w:t>
      </w:r>
    </w:p>
    <w:p w14:paraId="2634E734">
      <w:pPr>
        <w:pStyle w:val="8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负责全区农业、林业、水利、畜牧、农机、农经、气象等单位的收支计划的落实及财务监督、管理工作；负责指导有关支农资金的分配和使用；汇总全区农口部门的年度收支预决算。负责农业综合开发项目专项资金的管理与监督。</w:t>
      </w:r>
    </w:p>
    <w:p w14:paraId="49ED6551">
      <w:pPr>
        <w:pStyle w:val="8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（五）会计股</w:t>
      </w:r>
    </w:p>
    <w:p w14:paraId="482FFEBC">
      <w:pPr>
        <w:pStyle w:val="8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管理全区会计工作，研究提出加强会计工作的建议；贯彻实施国家会计法规、制度和“会计准则”；组织和管理会计人员业务培训；负责全区会计专业技术职务申报工作；指导和监督会计电算化工作等。</w:t>
      </w:r>
    </w:p>
    <w:p w14:paraId="23C832C4">
      <w:pPr>
        <w:pStyle w:val="8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（六）监察股</w:t>
      </w:r>
    </w:p>
    <w:p w14:paraId="35828C37">
      <w:pPr>
        <w:pStyle w:val="8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拟订财政监督检查制度并组织实施；监督检查财税法规、政策的执行情况，监督检查会计信息质量工作，依法查处违反财政法规的行为；组织协调全区财政监督工作，组织全区日常和专项财政收支的监督检查；负责对财政部门内部财经制度执行情况的监督检查。监督预算执行，检查各项财政收入的征管和财政资金分配使用效益情况；查处违反财经纪律行为。负责全区政府采购工作；负责全区控购工作及行政、事业和社会团体公车编制管理</w:t>
      </w:r>
    </w:p>
    <w:p w14:paraId="223E14A8">
      <w:pPr>
        <w:pStyle w:val="8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（七）企业股</w:t>
      </w:r>
    </w:p>
    <w:p w14:paraId="37FB66BA">
      <w:pPr>
        <w:pStyle w:val="8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负责经济建设资金、粮食风险基金、中小企业发展资金、地方国有企业财务的监督与管理，参与管理世界银行在我区的贷款项目；拟定土地收支管理制度并组织实施，拟定全区政府性债务管理制度并组织实施；编制区级政府性债务预算，统筹债务资金的安排使用，对全区政府性债务投资项目实施台账管理和分类指导，对政府性债务实施统计监督和评估预警，拟定化解政府性债务的政策措施，落实监督和债务偿还责任。负责归口管理的行政事业单位预算、决算编制；负责土地收支预算、决算；负责全区固定资产投资、粮食风险基金、国有企业及在统的集体企业决算的编制和上报。</w:t>
      </w:r>
    </w:p>
    <w:p w14:paraId="13252AE7">
      <w:pPr>
        <w:pStyle w:val="8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（八）国库股</w:t>
      </w:r>
    </w:p>
    <w:p w14:paraId="012D3C13">
      <w:pPr>
        <w:pStyle w:val="8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组织预算执行及相关事宜协调；组织实施总预算会计、行政事业单位会计及政府会计制度；组织拟订全区国库管理制度、国库集中收付制度，推行国库管理制度改革；汇编全区财政总决算和部门决算；管理和核算财政专户资金，负责国库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账户</w:t>
      </w:r>
      <w:r>
        <w:rPr>
          <w:rFonts w:hint="eastAsia" w:ascii="仿宋" w:hAnsi="仿宋" w:eastAsia="仿宋" w:cs="仿宋"/>
          <w:sz w:val="32"/>
          <w:szCs w:val="32"/>
        </w:rPr>
        <w:t>的管理和各类财政性资金开设银行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账户</w:t>
      </w:r>
      <w:bookmarkStart w:id="0" w:name="_GoBack"/>
      <w:bookmarkEnd w:id="0"/>
      <w:r>
        <w:rPr>
          <w:rFonts w:hint="eastAsia" w:ascii="仿宋" w:hAnsi="仿宋" w:eastAsia="仿宋" w:cs="仿宋"/>
          <w:sz w:val="32"/>
          <w:szCs w:val="32"/>
        </w:rPr>
        <w:t xml:space="preserve">的审批、建档工作。 </w:t>
      </w:r>
    </w:p>
    <w:p w14:paraId="3804369C">
      <w:pPr>
        <w:pStyle w:val="8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（九）综合股</w:t>
      </w:r>
    </w:p>
    <w:p w14:paraId="4D5B834B">
      <w:pPr>
        <w:pStyle w:val="8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承担区级住房保障、交通运输等方面的部门预算审核和年度预算执行分析、监督，管理住房改革预算资金，承担彩票管理的有关工作。</w:t>
      </w:r>
    </w:p>
    <w:p w14:paraId="49DD45D3">
      <w:pPr>
        <w:pStyle w:val="8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（十）非税收入中心负责全区非税收入的项目审批、征缴管理、票据管理及监督检查工作。</w:t>
      </w:r>
    </w:p>
    <w:p w14:paraId="453E7DCB">
      <w:pPr>
        <w:pStyle w:val="8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十一）农村综合改革办公室：负责村级公益事业建设一事一议财政奖补、农村公共服务运行维护机制建设试点工作;负责乡镇、村级财政转移支付资金的监督与管理;负责乡镇财政所标准化建设;负责农村公益性乡村债务化解工作;承担农村综合改革有关方面的工作，参与农民负担监管工作。</w:t>
      </w:r>
    </w:p>
    <w:p w14:paraId="3CF5D3E1">
      <w:pPr>
        <w:pStyle w:val="8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（十二）综合治税中心：负责组织、协调国税、地税等部门，加强税收综合治理；负责税政及承担与处理综合治税日常工作。</w:t>
      </w:r>
    </w:p>
    <w:p w14:paraId="4FDD699C">
      <w:pPr>
        <w:pStyle w:val="8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（十三）财政集中支付中心：负责全区财政集中支付改革，负责区直所有纳入集中支付的行政、事业单位的日常经费、专项经费及专项工程建设资金的支付监督等。</w:t>
      </w:r>
    </w:p>
    <w:p w14:paraId="1BE6BFF1">
      <w:pPr>
        <w:pStyle w:val="8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（十四）采购中心：负责统一组织纳入预算管理的国家机关、事业单位、社会团体的纳入集中采购目录的采购业务。</w:t>
      </w:r>
    </w:p>
    <w:p w14:paraId="6D202D2E">
      <w:pPr>
        <w:pStyle w:val="8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（十五）财政投资评审中心：负责对财政性资金投资的建设项目进行跟踪评审等相关工作。</w:t>
      </w:r>
    </w:p>
    <w:p w14:paraId="3DDCC19C">
      <w:pPr>
        <w:pStyle w:val="8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（十六）财政信息中心：负责财政“金财工程”的实施，财政系统的信息及网络管理，财政干部教育培训工作。</w:t>
      </w:r>
    </w:p>
    <w:p w14:paraId="68DD654A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（十七）国有资产管理办公室：贯彻执行国家有关国有资产管理的法律、法规和政策；负责全区国有资产管理、监督和处置工作；负责全区国有资产的产权登记、配置使用、资产评估、资产清查、产权纠纷调处、资产统计报告、监督检查和信息化管理等工作；负责本级国有资产收益的监督和管理，负责向本级政府和上级有关部门报告有关国有资产管理工作。负责区本级城建投资及政府投融资平台监督和管理工作。</w:t>
      </w:r>
    </w:p>
    <w:p w14:paraId="0A94D39B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2023年单位年度预算收入为2960万元，预算支出为2960万元；2023年单位年度决算收入为2960万元，决算支出为2960万元。</w:t>
      </w:r>
    </w:p>
    <w:p w14:paraId="291958FD">
      <w:pPr>
        <w:keepNext w:val="0"/>
        <w:keepLines w:val="0"/>
        <w:pageBreakBefore w:val="0"/>
        <w:widowControl w:val="0"/>
        <w:numPr>
          <w:ilvl w:val="0"/>
          <w:numId w:val="1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</w:rPr>
      </w:pPr>
      <w:r>
        <w:rPr>
          <w:rFonts w:hint="eastAsia" w:ascii="黑体" w:hAnsi="黑体" w:eastAsia="黑体" w:cs="黑体"/>
          <w:sz w:val="32"/>
          <w:szCs w:val="32"/>
        </w:rPr>
        <w:t>绩效</w:t>
      </w:r>
      <w:r>
        <w:rPr>
          <w:rFonts w:hint="eastAsia" w:ascii="黑体" w:hAnsi="黑体" w:eastAsia="黑体" w:cs="黑体"/>
          <w:sz w:val="32"/>
          <w:szCs w:val="32"/>
          <w:lang w:eastAsia="zh-CN"/>
        </w:rPr>
        <w:t>自评工作开展</w:t>
      </w:r>
      <w:r>
        <w:rPr>
          <w:rFonts w:hint="eastAsia" w:ascii="黑体" w:hAnsi="黑体" w:eastAsia="黑体" w:cs="黑体"/>
          <w:sz w:val="32"/>
          <w:szCs w:val="32"/>
        </w:rPr>
        <w:t>情况</w:t>
      </w:r>
    </w:p>
    <w:p w14:paraId="503CF136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val="en-US" w:eastAsia="zh-CN"/>
        </w:rPr>
      </w:pPr>
      <w:r>
        <w:rPr>
          <w:rFonts w:hint="eastAsia" w:ascii="仿宋" w:hAnsi="仿宋" w:eastAsia="仿宋" w:cs="宋体"/>
          <w:sz w:val="32"/>
          <w:szCs w:val="32"/>
        </w:rPr>
        <w:t>为</w:t>
      </w:r>
      <w:r>
        <w:rPr>
          <w:rFonts w:hint="eastAsia" w:ascii="仿宋" w:hAnsi="仿宋" w:eastAsia="仿宋" w:cs="仿宋_GB2312"/>
          <w:sz w:val="32"/>
          <w:szCs w:val="32"/>
        </w:rPr>
        <w:t>进一步推进我</w:t>
      </w:r>
      <w:r>
        <w:rPr>
          <w:rFonts w:hint="eastAsia" w:ascii="仿宋" w:hAnsi="仿宋" w:eastAsia="仿宋" w:cs="仿宋_GB2312"/>
          <w:sz w:val="32"/>
          <w:szCs w:val="32"/>
          <w:lang w:eastAsia="zh-CN"/>
        </w:rPr>
        <w:t>区</w:t>
      </w:r>
      <w:r>
        <w:rPr>
          <w:rFonts w:hint="eastAsia" w:ascii="仿宋" w:hAnsi="仿宋" w:eastAsia="仿宋" w:cs="仿宋_GB2312"/>
          <w:sz w:val="32"/>
          <w:szCs w:val="32"/>
        </w:rPr>
        <w:t>绩效预算管理工作，提高财政资金使用效益和财政管理科学化、精细化水平</w:t>
      </w:r>
      <w:r>
        <w:rPr>
          <w:rFonts w:hint="eastAsia" w:ascii="仿宋" w:hAnsi="仿宋" w:eastAsia="仿宋" w:cs="宋体"/>
          <w:sz w:val="32"/>
          <w:szCs w:val="32"/>
        </w:rPr>
        <w:t>，</w:t>
      </w:r>
      <w:r>
        <w:rPr>
          <w:rFonts w:hint="eastAsia" w:ascii="仿宋" w:hAnsi="仿宋" w:eastAsia="仿宋" w:cs="仿宋_GB2312"/>
          <w:sz w:val="32"/>
          <w:szCs w:val="32"/>
        </w:rPr>
        <w:t>根据</w:t>
      </w:r>
      <w:r>
        <w:rPr>
          <w:rFonts w:hint="eastAsia" w:ascii="仿宋" w:hAnsi="仿宋" w:eastAsia="仿宋" w:cs="宋体"/>
          <w:sz w:val="32"/>
          <w:szCs w:val="32"/>
        </w:rPr>
        <w:t>《石家庄市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藁城区区</w:t>
      </w:r>
      <w:r>
        <w:rPr>
          <w:rFonts w:hint="eastAsia" w:ascii="仿宋" w:hAnsi="仿宋" w:eastAsia="仿宋" w:cs="宋体"/>
          <w:sz w:val="32"/>
          <w:szCs w:val="32"/>
        </w:rPr>
        <w:t>级部门预算项目绩效自评管理办法》（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藁财字</w:t>
      </w:r>
      <w:r>
        <w:rPr>
          <w:rFonts w:hint="eastAsia" w:ascii="仿宋" w:hAnsi="仿宋" w:eastAsia="仿宋" w:cs="仿宋"/>
          <w:sz w:val="32"/>
          <w:szCs w:val="32"/>
        </w:rPr>
        <w:t>〔2020〕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23</w:t>
      </w:r>
      <w:r>
        <w:rPr>
          <w:rFonts w:hint="eastAsia" w:ascii="仿宋" w:hAnsi="仿宋" w:eastAsia="仿宋" w:cs="仿宋"/>
          <w:sz w:val="32"/>
          <w:szCs w:val="32"/>
        </w:rPr>
        <w:t>号</w:t>
      </w:r>
      <w:r>
        <w:rPr>
          <w:rFonts w:hint="eastAsia" w:ascii="仿宋" w:hAnsi="仿宋" w:eastAsia="仿宋" w:cs="宋体"/>
          <w:sz w:val="32"/>
          <w:szCs w:val="32"/>
        </w:rPr>
        <w:t>）</w:t>
      </w:r>
      <w:r>
        <w:rPr>
          <w:rFonts w:hint="eastAsia" w:ascii="仿宋" w:hAnsi="仿宋" w:eastAsia="仿宋" w:cs="宋体"/>
          <w:sz w:val="32"/>
          <w:szCs w:val="32"/>
          <w:lang w:eastAsia="zh-CN"/>
        </w:rPr>
        <w:t>要求</w:t>
      </w:r>
      <w:r>
        <w:rPr>
          <w:rFonts w:hint="eastAsia" w:ascii="仿宋" w:hAnsi="仿宋" w:eastAsia="仿宋"/>
          <w:sz w:val="32"/>
          <w:szCs w:val="32"/>
        </w:rPr>
        <w:t>，遵循“科学性、规范性、客观性和公正性”的原则，</w:t>
      </w:r>
      <w:r>
        <w:rPr>
          <w:rFonts w:hint="eastAsia" w:ascii="仿宋" w:hAnsi="仿宋" w:eastAsia="仿宋" w:cs="仿宋"/>
          <w:sz w:val="32"/>
          <w:szCs w:val="32"/>
        </w:rPr>
        <w:t>我局认真开展了202</w:t>
      </w: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3</w:t>
      </w:r>
      <w:r>
        <w:rPr>
          <w:rFonts w:hint="eastAsia" w:ascii="仿宋" w:hAnsi="仿宋" w:eastAsia="仿宋" w:cs="仿宋"/>
          <w:sz w:val="32"/>
          <w:szCs w:val="32"/>
        </w:rPr>
        <w:t>年度预算绩效自评工作。</w:t>
      </w:r>
      <w:r>
        <w:rPr>
          <w:rFonts w:hint="eastAsia" w:ascii="仿宋" w:hAnsi="仿宋" w:eastAsia="仿宋" w:cs="仿宋"/>
          <w:sz w:val="32"/>
          <w:szCs w:val="32"/>
          <w:lang w:eastAsia="zh-CN"/>
        </w:rPr>
        <w:t>为保证绩效评价工作顺利开展，我单位成立了绩效评价工作小组，负责绩效评价的组织管理和实施工作。评价小组对我单位年度绩效的相关资料进行收集、梳理，并撰写绩效评价报告。</w:t>
      </w:r>
    </w:p>
    <w:p w14:paraId="633D37E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按照上级文件的有关要求，结合我单位实际情况，经局办公会研究决定，成立了以李辉局长为组长的自评领导小组，明确了主管领导及业务科室等相关负责人，制定了2023年自评工作方案，为自评工作做好准备。</w:t>
      </w:r>
    </w:p>
    <w:p w14:paraId="4A0455A1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580" w:leftChars="0" w:right="0" w:rightChars="0" w:firstLine="0" w:firstLineChars="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实施过程</w:t>
      </w:r>
    </w:p>
    <w:p w14:paraId="7AFDE99D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2023年我单位绩效自评项目共有14个，由自评工作小组负责实施项目绩效自评工作，首先对2023年度14个项目的实际完成情况进行了解，与年初预算制定的绩效目标相比较，均已完成年初预算绩效目标；其次对项目资金的使用情况进行评价，通过查阅有关项目收入支出明细账，审核项目资金是否专款专用、支出进度是否达到年初计划；最后，对项目实施过程中存在的问题进行分析讨论，并提出可行性建议和措施。</w:t>
      </w:r>
    </w:p>
    <w:p w14:paraId="68FE0758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580" w:leftChars="0" w:right="0" w:rightChars="0" w:firstLine="0" w:firstLineChars="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预算资金安排</w:t>
      </w:r>
    </w:p>
    <w:p w14:paraId="28271B0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经自评得出，2023年我单位自评项目共14个，其中，一般公共预算项目13个，政府性基金项目1个；自评项目资金1377.68万元，所有项目资金安排都较为合理。</w:t>
      </w:r>
    </w:p>
    <w:p w14:paraId="79967ECA">
      <w:pPr>
        <w:keepNext w:val="0"/>
        <w:keepLines w:val="0"/>
        <w:pageBreakBefore w:val="0"/>
        <w:widowControl w:val="0"/>
        <w:numPr>
          <w:ilvl w:val="0"/>
          <w:numId w:val="2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left="580" w:leftChars="0" w:right="0" w:rightChars="0" w:firstLine="0" w:firstLineChars="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审计部门意见</w:t>
      </w:r>
    </w:p>
    <w:p w14:paraId="1B1E2EE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区审计局对我单位2023年账目进行了审查，未发现项目执行情况存在问题。</w:t>
      </w:r>
    </w:p>
    <w:p w14:paraId="7B8B6D9B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三、部门整体支出绩效目标实现情况及指标分析</w:t>
      </w:r>
    </w:p>
    <w:p w14:paraId="2D197494">
      <w:pPr>
        <w:widowControl w:val="0"/>
        <w:numPr>
          <w:ilvl w:val="0"/>
          <w:numId w:val="0"/>
        </w:numPr>
        <w:wordWrap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2023年我单位较高效率地使用了各专项资金，基本完成了各项目的绩效目标，圆满完成了一事一议、审计专项经费等各项工作，项目综合评价绝大部分为优秀。</w:t>
      </w:r>
    </w:p>
    <w:p w14:paraId="00B0D120">
      <w:pPr>
        <w:widowControl w:val="0"/>
        <w:numPr>
          <w:ilvl w:val="0"/>
          <w:numId w:val="3"/>
        </w:numPr>
        <w:wordWrap/>
        <w:adjustRightInd/>
        <w:snapToGrid w:val="0"/>
        <w:spacing w:line="560" w:lineRule="exact"/>
        <w:ind w:left="0" w:leftChars="0" w:right="0" w:rightChars="0" w:firstLine="320" w:firstLineChars="10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专项资金和具体预算支出项目的完成情况</w:t>
      </w:r>
    </w:p>
    <w:p w14:paraId="2D1EE385">
      <w:pPr>
        <w:widowControl w:val="0"/>
        <w:numPr>
          <w:ilvl w:val="0"/>
          <w:numId w:val="4"/>
        </w:numPr>
        <w:wordWrap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购买行政事业性收费票据项目。2023年该项目预算5万，支付到位0.52万，预算执行率10.40%，资金到位率100%。</w:t>
      </w:r>
    </w:p>
    <w:p w14:paraId="55D2A314">
      <w:pPr>
        <w:widowControl w:val="0"/>
        <w:numPr>
          <w:ilvl w:val="0"/>
          <w:numId w:val="4"/>
        </w:numPr>
        <w:wordWrap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财政支付系统网络租赁及一体化信息维护费项目。2023年该项目预算11.55万，支付到位11.55万，预算执行率100%，资金到位率100%。</w:t>
      </w:r>
    </w:p>
    <w:p w14:paraId="7A4A325F">
      <w:pPr>
        <w:widowControl w:val="0"/>
        <w:numPr>
          <w:ilvl w:val="0"/>
          <w:numId w:val="4"/>
        </w:numPr>
        <w:wordWrap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财政综合管理经费项目。2023年该项目预算52.95万，支付到位52.924656万，预算执行率99.95%，资金到位率100%。</w:t>
      </w:r>
    </w:p>
    <w:p w14:paraId="30B4CB82">
      <w:pPr>
        <w:widowControl w:val="0"/>
        <w:numPr>
          <w:ilvl w:val="0"/>
          <w:numId w:val="4"/>
        </w:numPr>
        <w:wordWrap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劳务派遣及聘用人员经费项目。2023年该目预算125万，支付到位107.943076万，预算执行率86.35%，资金到位率100%。</w:t>
      </w:r>
    </w:p>
    <w:p w14:paraId="33E2CA2D">
      <w:pPr>
        <w:widowControl w:val="0"/>
        <w:numPr>
          <w:ilvl w:val="0"/>
          <w:numId w:val="4"/>
        </w:numPr>
        <w:wordWrap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评审中心办公费及评审经费项目。2023年该项目预算914.617036万，支付到位914.617036万，预算执行率100%，资金到位率100%。</w:t>
      </w:r>
    </w:p>
    <w:p w14:paraId="77D6134C">
      <w:pPr>
        <w:widowControl w:val="0"/>
        <w:numPr>
          <w:ilvl w:val="0"/>
          <w:numId w:val="4"/>
        </w:numPr>
        <w:wordWrap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石财农【2021】101号关于提前下达2022年省级农村综合改革转移支付预算的通知项目。2023年该项目预算7.117655万，支付到位7.117655万，预算执行率100%，资金到位率100%。</w:t>
      </w:r>
    </w:p>
    <w:p w14:paraId="134D72E6">
      <w:pPr>
        <w:widowControl w:val="0"/>
        <w:numPr>
          <w:ilvl w:val="0"/>
          <w:numId w:val="4"/>
        </w:numPr>
        <w:wordWrap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石财农[2023]12号下达省级农村综合改革转移支付资金项目。2023年该项目预算11万，支付到位10.955671万，预算执行率99.60%，资金到位率100%。</w:t>
      </w:r>
    </w:p>
    <w:p w14:paraId="1056185C">
      <w:pPr>
        <w:widowControl w:val="0"/>
        <w:numPr>
          <w:ilvl w:val="0"/>
          <w:numId w:val="4"/>
        </w:numPr>
        <w:wordWrap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农综改一事一议工作经费项目。2023年该项目预算15万，支付到位15万，预算执行率100%，资金到位率100%。</w:t>
      </w:r>
    </w:p>
    <w:p w14:paraId="5C409C55">
      <w:pPr>
        <w:widowControl w:val="0"/>
        <w:numPr>
          <w:ilvl w:val="0"/>
          <w:numId w:val="4"/>
        </w:numPr>
        <w:wordWrap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审计专项经费项目。2023年该项目预算14.65万，支付到位14.65万，预算执行率100%，资金到位率100%。</w:t>
      </w:r>
    </w:p>
    <w:p w14:paraId="295B1D34">
      <w:pPr>
        <w:widowControl w:val="0"/>
        <w:numPr>
          <w:ilvl w:val="0"/>
          <w:numId w:val="4"/>
        </w:numPr>
        <w:wordWrap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各单位向上征引奖励资金项目。2023年该项目预算18万，支付到位18万，预算执行率100%，资金到位率100%。</w:t>
      </w:r>
    </w:p>
    <w:p w14:paraId="1B720F0B">
      <w:pPr>
        <w:widowControl w:val="0"/>
        <w:numPr>
          <w:ilvl w:val="0"/>
          <w:numId w:val="4"/>
        </w:numPr>
        <w:wordWrap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default" w:ascii="仿宋" w:hAnsi="仿宋" w:eastAsia="仿宋" w:cs="仿宋"/>
          <w:sz w:val="32"/>
          <w:szCs w:val="32"/>
          <w:lang w:val="en-US"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土地增值税清算费用项目。2023年该项目预算29.6万，支付到位29.6万，预算执行率100%，资金到位率100%。</w:t>
      </w:r>
    </w:p>
    <w:p w14:paraId="27350096">
      <w:pPr>
        <w:widowControl w:val="0"/>
        <w:numPr>
          <w:ilvl w:val="0"/>
          <w:numId w:val="4"/>
        </w:numPr>
        <w:wordWrap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公务仓购置费用项目。2023年该项目预算40万，支付到位35.3345万，预算执行率88.34%，资金到位率100%。</w:t>
      </w:r>
    </w:p>
    <w:p w14:paraId="05D343AE">
      <w:pPr>
        <w:widowControl w:val="0"/>
        <w:numPr>
          <w:ilvl w:val="0"/>
          <w:numId w:val="4"/>
        </w:numPr>
        <w:wordWrap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第三方服务机构服务费项目。2023年该项目预算43.5万，支付到位43万，预算执行率98.85%，资金到位率100%。</w:t>
      </w:r>
    </w:p>
    <w:p w14:paraId="779E4D91">
      <w:pPr>
        <w:widowControl w:val="0"/>
        <w:numPr>
          <w:ilvl w:val="0"/>
          <w:numId w:val="4"/>
        </w:numPr>
        <w:wordWrap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仿宋" w:hAnsi="仿宋" w:eastAsia="仿宋" w:cs="仿宋"/>
          <w:sz w:val="32"/>
          <w:szCs w:val="32"/>
          <w:lang w:val="en-US" w:eastAsia="zh-CN"/>
        </w:rPr>
        <w:t>投融资咨询服务费项目。2023年该项目预算89.7万，支付到位89.7万，预算执行率100%，资金到位率100%。</w:t>
      </w:r>
    </w:p>
    <w:p w14:paraId="6FB58C4E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 w:cs="黑体"/>
          <w:sz w:val="32"/>
          <w:szCs w:val="32"/>
          <w:lang w:eastAsia="zh-CN"/>
        </w:rPr>
      </w:pPr>
      <w:r>
        <w:rPr>
          <w:rFonts w:hint="eastAsia" w:ascii="黑体" w:hAnsi="黑体" w:eastAsia="黑体" w:cs="黑体"/>
          <w:sz w:val="32"/>
          <w:szCs w:val="32"/>
          <w:lang w:eastAsia="zh-CN"/>
        </w:rPr>
        <w:t>四、评价结论和评价等级</w:t>
      </w:r>
    </w:p>
    <w:p w14:paraId="263FBF44">
      <w:pPr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line="560" w:lineRule="exact"/>
        <w:ind w:firstLine="640" w:firstLineChars="200"/>
        <w:textAlignment w:val="auto"/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</w:pPr>
      <w:r>
        <w:rPr>
          <w:rFonts w:hint="eastAsia" w:ascii="仿宋_GB2312" w:hAnsi="仿宋_GB2312" w:eastAsia="仿宋_GB2312" w:cs="仿宋_GB2312"/>
          <w:sz w:val="32"/>
          <w:szCs w:val="32"/>
          <w:highlight w:val="none"/>
          <w:lang w:eastAsia="zh-CN"/>
        </w:rPr>
        <w:t>根据部门职责定位和各项工作履职情况进行综合评价，给出总得分，满分100分，得出综合绩效评价等级。部门整体支出综合绩效评价分为4个等级：得分≥85分为优秀；75≤得分＜85分为良好；60≤得分＜75分为一般；得分＜60分为较差。</w:t>
      </w:r>
    </w:p>
    <w:p w14:paraId="3D06CF3C">
      <w:pPr>
        <w:keepNext w:val="0"/>
        <w:keepLines w:val="0"/>
        <w:pageBreakBefore w:val="0"/>
        <w:widowControl w:val="0"/>
        <w:numPr>
          <w:ilvl w:val="0"/>
          <w:numId w:val="5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  <w:r>
        <w:rPr>
          <w:rFonts w:hint="eastAsia" w:ascii="黑体" w:hAnsi="黑体" w:eastAsia="黑体"/>
          <w:sz w:val="32"/>
          <w:szCs w:val="32"/>
        </w:rPr>
        <w:t>存在的问题及改进措施</w:t>
      </w:r>
    </w:p>
    <w:p w14:paraId="071A4CC8">
      <w:pPr>
        <w:widowControl w:val="0"/>
        <w:wordWrap/>
        <w:adjustRightInd/>
        <w:snapToGrid w:val="0"/>
        <w:spacing w:line="560" w:lineRule="exact"/>
        <w:ind w:left="0" w:leftChars="0" w:right="0" w:firstLine="640" w:firstLineChars="200"/>
        <w:textAlignment w:val="auto"/>
        <w:outlineLvl w:val="9"/>
        <w:rPr>
          <w:rFonts w:hint="eastAsia" w:ascii="仿宋" w:hAnsi="仿宋" w:eastAsia="仿宋" w:cs="仿宋"/>
          <w:sz w:val="32"/>
          <w:szCs w:val="32"/>
        </w:rPr>
      </w:pPr>
      <w:r>
        <w:rPr>
          <w:rFonts w:hint="eastAsia" w:ascii="仿宋" w:hAnsi="仿宋" w:eastAsia="仿宋" w:cs="仿宋"/>
          <w:sz w:val="32"/>
          <w:szCs w:val="32"/>
        </w:rPr>
        <w:t>针对存在的问题，研究制定的整改思路和工作措施，在</w:t>
      </w: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健全制度、完善政策、改进管理、优化</w:t>
      </w:r>
      <w:r>
        <w:rPr>
          <w:rFonts w:hint="eastAsia" w:ascii="仿宋" w:hAnsi="仿宋" w:eastAsia="仿宋" w:cs="仿宋"/>
          <w:sz w:val="32"/>
          <w:szCs w:val="32"/>
        </w:rPr>
        <w:t>流程等提高部门绩效方面的具体做法，在</w:t>
      </w:r>
      <w:r>
        <w:rPr>
          <w:rFonts w:hint="eastAsia" w:ascii="仿宋" w:hAnsi="仿宋" w:eastAsia="仿宋" w:cs="仿宋"/>
          <w:kern w:val="0"/>
          <w:sz w:val="32"/>
          <w:szCs w:val="32"/>
          <w:lang w:val="zh-CN"/>
        </w:rPr>
        <w:t>整合资金、调整项目及改善投向等优化部门支出结构方面的安排，在提高绩效目标设置质量方面的打算</w:t>
      </w:r>
      <w:r>
        <w:rPr>
          <w:rFonts w:hint="eastAsia" w:ascii="仿宋" w:hAnsi="仿宋" w:eastAsia="仿宋" w:cs="仿宋"/>
          <w:sz w:val="32"/>
          <w:szCs w:val="32"/>
        </w:rPr>
        <w:t>。</w:t>
      </w:r>
    </w:p>
    <w:p w14:paraId="10202FF5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 w:firstLine="640" w:firstLineChars="200"/>
        <w:textAlignment w:val="auto"/>
        <w:outlineLvl w:val="9"/>
        <w:rPr>
          <w:rFonts w:hint="eastAsia" w:ascii="黑体" w:hAnsi="黑体" w:eastAsia="黑体"/>
          <w:sz w:val="32"/>
          <w:szCs w:val="32"/>
        </w:rPr>
      </w:pPr>
    </w:p>
    <w:p w14:paraId="35E4ACA7">
      <w:pPr>
        <w:keepNext w:val="0"/>
        <w:keepLines w:val="0"/>
        <w:pageBreakBefore w:val="0"/>
        <w:widowControl w:val="0"/>
        <w:numPr>
          <w:ilvl w:val="0"/>
          <w:numId w:val="0"/>
        </w:numPr>
        <w:kinsoku/>
        <w:wordWrap/>
        <w:overflowPunct/>
        <w:topLinePunct w:val="0"/>
        <w:autoSpaceDE/>
        <w:autoSpaceDN/>
        <w:bidi w:val="0"/>
        <w:adjustRightInd/>
        <w:snapToGrid w:val="0"/>
        <w:spacing w:line="560" w:lineRule="exact"/>
        <w:ind w:right="0" w:rightChars="0"/>
        <w:textAlignment w:val="auto"/>
        <w:outlineLvl w:val="9"/>
        <w:rPr>
          <w:rFonts w:hint="eastAsia" w:ascii="仿宋_GB2312" w:hAnsi="仿宋_GB2312" w:eastAsia="仿宋_GB2312" w:cs="仿宋_GB2312"/>
          <w:sz w:val="32"/>
          <w:szCs w:val="32"/>
          <w:lang w:eastAsia="zh-CN"/>
        </w:rPr>
      </w:pPr>
    </w:p>
    <w:sectPr>
      <w:headerReference r:id="rId3" w:type="default"/>
      <w:footerReference r:id="rId4" w:type="default"/>
      <w:pgSz w:w="11906" w:h="16838"/>
      <w:pgMar w:top="2098" w:right="1474" w:bottom="1984" w:left="1587" w:header="851" w:footer="992" w:gutter="0"/>
      <w:pgNumType w:fmt="numberInDash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方正小标宋简体">
    <w:altName w:val="方正舒体"/>
    <w:panose1 w:val="02000000000000000000"/>
    <w:charset w:val="86"/>
    <w:family w:val="auto"/>
    <w:pitch w:val="default"/>
    <w:sig w:usb0="00000000" w:usb1="00000000" w:usb2="00000012" w:usb3="00000000" w:csb0="00040001" w:csb1="00000000"/>
  </w:font>
  <w:font w:name="仿宋_GB2312">
    <w:altName w:val="仿宋"/>
    <w:panose1 w:val="02010609030101010101"/>
    <w:charset w:val="86"/>
    <w:family w:val="auto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方正舒体">
    <w:panose1 w:val="02010601030101010101"/>
    <w:charset w:val="86"/>
    <w:family w:val="auto"/>
    <w:pitch w:val="default"/>
    <w:sig w:usb0="00000003" w:usb1="080E0000" w:usb2="00000000" w:usb3="00000000" w:csb0="0004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78FA73ED">
    <w:r>
      <w:rPr>
        <w:rFonts w:ascii="Times New Roman" w:hAnsi="Times New Roman" w:eastAsia="宋体" w:cs="Times New Roman"/>
        <w:kern w:val="2"/>
        <w:sz w:val="21"/>
        <w:szCs w:val="24"/>
        <w:lang w:val="en-US" w:eastAsia="zh-CN" w:bidi="ar-SA"/>
      </w:rPr>
      <mc:AlternateContent>
        <mc:Choice Requires="wps">
          <w:drawing>
            <wp:anchor distT="0" distB="0" distL="114300" distR="114300" simplePos="0" relativeHeight="251659264" behindDoc="0" locked="0" layoutInCell="1" allowOverlap="1">
              <wp:simplePos x="0" y="0"/>
              <wp:positionH relativeFrom="margin">
                <wp:align>center</wp:align>
              </wp:positionH>
              <wp:positionV relativeFrom="paragraph">
                <wp:posOffset>0</wp:posOffset>
              </wp:positionV>
              <wp:extent cx="1828800" cy="1828800"/>
              <wp:effectExtent l="0" t="0" r="0" b="0"/>
              <wp:wrapNone/>
              <wp:docPr id="1" name="Quad Arrow 3073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1828800" cy="1828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</wps:spPr>
                    <wps:txbx>
                      <w:txbxContent>
                        <w:p w14:paraId="04B0086B">
                          <w:pPr>
                            <w:snapToGrid w:val="0"/>
                            <w:rPr>
                              <w:sz w:val="18"/>
                            </w:rPr>
                          </w:pPr>
                          <w:r>
                            <w:rPr>
                              <w:rFonts w:hint="eastAsia"/>
                              <w:sz w:val="18"/>
                            </w:rPr>
                            <w:fldChar w:fldCharType="begin"/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instrText xml:space="preserve"> PAGE  \* MERGEFORMAT </w:instrTex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separate"/>
                          </w:r>
                          <w:r>
                            <w:t>- 1 -</w:t>
                          </w:r>
                          <w:r>
                            <w:rPr>
                              <w:rFonts w:hint="eastAsia"/>
                              <w:sz w:val="18"/>
                            </w:rPr>
                            <w:fldChar w:fldCharType="end"/>
                          </w:r>
                        </w:p>
                      </w:txbxContent>
                    </wps:txbx>
                    <wps:bodyPr wrap="none" lIns="0" tIns="0" rIns="0" bIns="0" upright="1">
                      <a:spAutoFit/>
                    </wps:bodyPr>
                  </wps:wsp>
                </a:graphicData>
              </a:graphic>
            </wp:anchor>
          </w:drawing>
        </mc:Choice>
        <mc:Fallback>
          <w:pict>
            <v:shape id="Quad Arrow 3073" o:spid="_x0000_s1026" o:spt="202" type="#_x0000_t202" style="position:absolute;left:0pt;margin-top:0pt;height:144pt;width:144pt;mso-position-horizontal:center;mso-position-horizontal-relative:margin;mso-wrap-style:none;z-index:251659264;mso-width-relative:page;mso-height-relative:page;" filled="f" stroked="f" coordsize="21600,21600" o:gfxdata="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">
              <v:fill on="f" focussize="0,0"/>
              <v:stroke on="f"/>
              <v:imagedata o:title=""/>
              <o:lock v:ext="edit" aspectratio="f"/>
              <v:textbox inset="0mm,0mm,0mm,0mm" style="mso-fit-shape-to-text:t;">
                <w:txbxContent>
                  <w:p w14:paraId="04B0086B">
                    <w:pPr>
                      <w:snapToGrid w:val="0"/>
                      <w:rPr>
                        <w:sz w:val="18"/>
                      </w:rPr>
                    </w:pPr>
                    <w:r>
                      <w:rPr>
                        <w:rFonts w:hint="eastAsia"/>
                        <w:sz w:val="18"/>
                      </w:rPr>
                      <w:fldChar w:fldCharType="begin"/>
                    </w:r>
                    <w:r>
                      <w:rPr>
                        <w:rFonts w:hint="eastAsia"/>
                        <w:sz w:val="18"/>
                      </w:rPr>
                      <w:instrText xml:space="preserve"> PAGE  \* MERGEFORMAT </w:instrText>
                    </w:r>
                    <w:r>
                      <w:rPr>
                        <w:rFonts w:hint="eastAsia"/>
                        <w:sz w:val="18"/>
                      </w:rPr>
                      <w:fldChar w:fldCharType="separate"/>
                    </w:r>
                    <w:r>
                      <w:t>- 1 -</w:t>
                    </w:r>
                    <w:r>
                      <w:rPr>
                        <w:rFonts w:hint="eastAsia"/>
                        <w:sz w:val="18"/>
                      </w:rPr>
                      <w:fldChar w:fldCharType="end"/>
                    </w:r>
                  </w:p>
                </w:txbxContent>
              </v:textbox>
            </v:shape>
          </w:pict>
        </mc:Fallback>
      </mc:AlternateContent>
    </w:r>
  </w:p>
</w:ftr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0632EB02">
    <w:pPr>
      <w:pStyle w:val="3"/>
      <w:pBdr>
        <w:bottom w:val="none" w:color="auto" w:sz="0" w:space="1"/>
      </w:pBdr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98E0822F"/>
    <w:multiLevelType w:val="singleLevel"/>
    <w:tmpl w:val="98E0822F"/>
    <w:lvl w:ilvl="0" w:tentative="0">
      <w:start w:val="2"/>
      <w:numFmt w:val="chineseCounting"/>
      <w:suff w:val="nothing"/>
      <w:lvlText w:val="%1、"/>
      <w:lvlJc w:val="left"/>
      <w:rPr>
        <w:rFonts w:hint="eastAsia"/>
      </w:rPr>
    </w:lvl>
  </w:abstractNum>
  <w:abstractNum w:abstractNumId="1">
    <w:nsid w:val="C5886CD6"/>
    <w:multiLevelType w:val="singleLevel"/>
    <w:tmpl w:val="C5886CD6"/>
    <w:lvl w:ilvl="0" w:tentative="0">
      <w:start w:val="1"/>
      <w:numFmt w:val="decimal"/>
      <w:lvlText w:val="%1."/>
      <w:lvlJc w:val="left"/>
      <w:pPr>
        <w:tabs>
          <w:tab w:val="left" w:pos="312"/>
        </w:tabs>
      </w:pPr>
    </w:lvl>
  </w:abstractNum>
  <w:abstractNum w:abstractNumId="2">
    <w:nsid w:val="F4E341E2"/>
    <w:multiLevelType w:val="singleLevel"/>
    <w:tmpl w:val="F4E341E2"/>
    <w:lvl w:ilvl="0" w:tentative="0">
      <w:start w:val="1"/>
      <w:numFmt w:val="chineseCounting"/>
      <w:suff w:val="nothing"/>
      <w:lvlText w:val="（%1）"/>
      <w:lvlJc w:val="left"/>
      <w:rPr>
        <w:rFonts w:hint="eastAsia"/>
      </w:rPr>
    </w:lvl>
  </w:abstractNum>
  <w:abstractNum w:abstractNumId="3">
    <w:nsid w:val="0CE3AC2F"/>
    <w:multiLevelType w:val="singleLevel"/>
    <w:tmpl w:val="0CE3AC2F"/>
    <w:lvl w:ilvl="0" w:tentative="0">
      <w:start w:val="1"/>
      <w:numFmt w:val="chineseCounting"/>
      <w:suff w:val="nothing"/>
      <w:lvlText w:val="（%1）"/>
      <w:lvlJc w:val="left"/>
      <w:pPr>
        <w:ind w:left="580" w:leftChars="0" w:firstLine="0" w:firstLineChars="0"/>
      </w:pPr>
      <w:rPr>
        <w:rFonts w:hint="eastAsia"/>
      </w:rPr>
    </w:lvl>
  </w:abstractNum>
  <w:abstractNum w:abstractNumId="4">
    <w:nsid w:val="330718AF"/>
    <w:multiLevelType w:val="singleLevel"/>
    <w:tmpl w:val="330718AF"/>
    <w:lvl w:ilvl="0" w:tentative="0">
      <w:start w:val="5"/>
      <w:numFmt w:val="chineseCounting"/>
      <w:suff w:val="nothing"/>
      <w:lvlText w:val="%1、"/>
      <w:lvlJc w:val="left"/>
      <w:rPr>
        <w:rFonts w:hint="eastAsia"/>
      </w:rPr>
    </w:lvl>
  </w:abstractNum>
  <w:num w:numId="1">
    <w:abstractNumId w:val="0"/>
  </w:num>
  <w:num w:numId="2">
    <w:abstractNumId w:val="3"/>
  </w:num>
  <w:num w:numId="3">
    <w:abstractNumId w:val="2"/>
  </w:num>
  <w:num w:numId="4">
    <w:abstractNumId w:val="1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0"/>
  <w:bordersDoNotSurroundFooter w:val="0"/>
  <w:documentProtection w:enforcement="0"/>
  <w:defaultTabStop w:val="420"/>
  <w:drawingGridHorizontalSpacing w:val="105"/>
  <w:drawingGridVerticalSpacing w:val="156"/>
  <w:displayHorizontalDrawingGridEvery w:val="1"/>
  <w:displayVerticalDrawingGridEvery w:val="1"/>
  <w:noPunctuationKerning w:val="1"/>
  <w:characterSpacingControl w:val="compressPunctuation"/>
  <w:hdrShapeDefaults>
    <o:shapelayout v:ext="edit">
      <o:idmap v:ext="edit" data="3,4"/>
    </o:shapelayout>
  </w:hdrShapeDefaults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commondata" w:val="eyJoZGlkIjoiNGE2ZDVhYjFkNzNmZjA0ZTExM2M2ODcxZGVjNWRjNGEifQ=="/>
  </w:docVars>
  <w:rsids>
    <w:rsidRoot w:val="00EF16A3"/>
    <w:rsid w:val="000D193E"/>
    <w:rsid w:val="000D29F1"/>
    <w:rsid w:val="001627CF"/>
    <w:rsid w:val="001646B1"/>
    <w:rsid w:val="00176210"/>
    <w:rsid w:val="001D2D4C"/>
    <w:rsid w:val="00383AC5"/>
    <w:rsid w:val="003B412A"/>
    <w:rsid w:val="00432709"/>
    <w:rsid w:val="0043554E"/>
    <w:rsid w:val="004919BA"/>
    <w:rsid w:val="00491FCD"/>
    <w:rsid w:val="004E6C05"/>
    <w:rsid w:val="004F6F9F"/>
    <w:rsid w:val="00546BCB"/>
    <w:rsid w:val="005B610E"/>
    <w:rsid w:val="005C236C"/>
    <w:rsid w:val="005E6EC9"/>
    <w:rsid w:val="00656B2A"/>
    <w:rsid w:val="00665896"/>
    <w:rsid w:val="006F351D"/>
    <w:rsid w:val="0071336C"/>
    <w:rsid w:val="0071475B"/>
    <w:rsid w:val="0077251A"/>
    <w:rsid w:val="00793214"/>
    <w:rsid w:val="007D43DA"/>
    <w:rsid w:val="007E50DB"/>
    <w:rsid w:val="007E661D"/>
    <w:rsid w:val="007F5EE6"/>
    <w:rsid w:val="007F7CC2"/>
    <w:rsid w:val="0081530B"/>
    <w:rsid w:val="008C31C3"/>
    <w:rsid w:val="008E0E58"/>
    <w:rsid w:val="00941865"/>
    <w:rsid w:val="00966800"/>
    <w:rsid w:val="00986803"/>
    <w:rsid w:val="0099577A"/>
    <w:rsid w:val="009F1522"/>
    <w:rsid w:val="00A06D88"/>
    <w:rsid w:val="00AB70A8"/>
    <w:rsid w:val="00AF5C06"/>
    <w:rsid w:val="00B723C7"/>
    <w:rsid w:val="00B8177D"/>
    <w:rsid w:val="00B86365"/>
    <w:rsid w:val="00BE032C"/>
    <w:rsid w:val="00C242EC"/>
    <w:rsid w:val="00CE156F"/>
    <w:rsid w:val="00DA58E7"/>
    <w:rsid w:val="00DE50A2"/>
    <w:rsid w:val="00DF6FF4"/>
    <w:rsid w:val="00E03726"/>
    <w:rsid w:val="00E17D5D"/>
    <w:rsid w:val="00E61BFC"/>
    <w:rsid w:val="00E841B7"/>
    <w:rsid w:val="00ED5E84"/>
    <w:rsid w:val="00EF16A3"/>
    <w:rsid w:val="00F57E52"/>
    <w:rsid w:val="00FB4297"/>
    <w:rsid w:val="055B525F"/>
    <w:rsid w:val="13B61930"/>
    <w:rsid w:val="17DB7712"/>
    <w:rsid w:val="1A3B21A2"/>
    <w:rsid w:val="1BAF1154"/>
    <w:rsid w:val="1C655171"/>
    <w:rsid w:val="20276775"/>
    <w:rsid w:val="269810DD"/>
    <w:rsid w:val="26B75F6B"/>
    <w:rsid w:val="275B3E42"/>
    <w:rsid w:val="2E180F5C"/>
    <w:rsid w:val="2F2C2A40"/>
    <w:rsid w:val="344704E1"/>
    <w:rsid w:val="38802451"/>
    <w:rsid w:val="39744C0B"/>
    <w:rsid w:val="3AEF6FE7"/>
    <w:rsid w:val="441F3676"/>
    <w:rsid w:val="44C85508"/>
    <w:rsid w:val="47304522"/>
    <w:rsid w:val="493B718D"/>
    <w:rsid w:val="53A42ADD"/>
    <w:rsid w:val="563B01B4"/>
    <w:rsid w:val="56604927"/>
    <w:rsid w:val="590F0BE0"/>
    <w:rsid w:val="5C4A315B"/>
    <w:rsid w:val="661D3074"/>
    <w:rsid w:val="6B1C1E0E"/>
    <w:rsid w:val="6BDE7164"/>
    <w:rsid w:val="759E707F"/>
  </w:rsids>
  <m:mathPr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uiCompat97To2003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0" w:name="index 1"/>
    <w:lsdException w:uiPriority="0" w:name="index 2"/>
    <w:lsdException w:uiPriority="0" w:name="index 3"/>
    <w:lsdException w:uiPriority="0" w:name="index 4"/>
    <w:lsdException w:uiPriority="0" w:name="index 5"/>
    <w:lsdException w:uiPriority="0" w:name="index 6"/>
    <w:lsdException w:uiPriority="0" w:name="index 7"/>
    <w:lsdException w:uiPriority="0" w:name="index 8"/>
    <w:lsdException w:uiPriority="0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0" w:name="Normal Indent"/>
    <w:lsdException w:uiPriority="0" w:name="footnote text"/>
    <w:lsdException w:uiPriority="0" w:name="annotation text"/>
    <w:lsdException w:qFormat="1" w:uiPriority="99" w:semiHidden="0" w:name="header"/>
    <w:lsdException w:qFormat="1" w:uiPriority="99" w:semiHidden="0" w:name="footer"/>
    <w:lsdException w:uiPriority="0" w:name="index heading"/>
    <w:lsdException w:qFormat="1" w:uiPriority="35" w:name="caption"/>
    <w:lsdException w:uiPriority="0" w:name="table of figures"/>
    <w:lsdException w:uiPriority="0" w:name="envelope address"/>
    <w:lsdException w:uiPriority="0" w:name="envelope return"/>
    <w:lsdException w:uiPriority="0" w:name="footnote reference"/>
    <w:lsdException w:uiPriority="0" w:name="annotation reference"/>
    <w:lsdException w:uiPriority="0" w:name="line number"/>
    <w:lsdException w:uiPriority="0" w:name="page number"/>
    <w:lsdException w:uiPriority="0" w:name="endnote reference"/>
    <w:lsdException w:uiPriority="0" w:name="endnote text"/>
    <w:lsdException w:uiPriority="0" w:name="table of authorities"/>
    <w:lsdException w:uiPriority="0" w:name="macro"/>
    <w:lsdException w:uiPriority="0" w:name="toa heading"/>
    <w:lsdException w:uiPriority="0" w:name="List"/>
    <w:lsdException w:uiPriority="0" w:name="List Bullet"/>
    <w:lsdException w:uiPriority="0" w:name="List Number"/>
    <w:lsdException w:uiPriority="0" w:name="List 2"/>
    <w:lsdException w:uiPriority="0" w:name="List 3"/>
    <w:lsdException w:uiPriority="0" w:name="List 4"/>
    <w:lsdException w:uiPriority="0" w:name="List 5"/>
    <w:lsdException w:uiPriority="0" w:name="List Bullet 2"/>
    <w:lsdException w:uiPriority="0" w:name="List Bullet 3"/>
    <w:lsdException w:uiPriority="0" w:name="List Bullet 4"/>
    <w:lsdException w:uiPriority="0" w:name="List Bullet 5"/>
    <w:lsdException w:uiPriority="0" w:name="List Number 2"/>
    <w:lsdException w:uiPriority="0" w:name="List Number 3"/>
    <w:lsdException w:uiPriority="0" w:name="List Number 4"/>
    <w:lsdException w:uiPriority="0" w:name="List Number 5"/>
    <w:lsdException w:qFormat="1" w:unhideWhenUsed="0" w:uiPriority="10" w:semiHidden="0" w:name="Title"/>
    <w:lsdException w:uiPriority="0" w:name="Closing"/>
    <w:lsdException w:uiPriority="0" w:name="Signature"/>
    <w:lsdException w:qFormat="1" w:uiPriority="1" w:semiHidden="0" w:name="Default Paragraph Font"/>
    <w:lsdException w:uiPriority="0" w:name="Body Text"/>
    <w:lsdException w:uiPriority="0" w:name="Body Text Indent"/>
    <w:lsdException w:uiPriority="0" w:name="List Continue"/>
    <w:lsdException w:uiPriority="0" w:name="List Continue 2"/>
    <w:lsdException w:uiPriority="0" w:name="List Continue 3"/>
    <w:lsdException w:uiPriority="0" w:name="List Continue 4"/>
    <w:lsdException w:uiPriority="0" w:name="List Continue 5"/>
    <w:lsdException w:uiPriority="0" w:name="Message Header"/>
    <w:lsdException w:qFormat="1" w:unhideWhenUsed="0" w:uiPriority="11" w:semiHidden="0" w:name="Subtitle"/>
    <w:lsdException w:uiPriority="0" w:name="Salutation"/>
    <w:lsdException w:uiPriority="0" w:name="Date"/>
    <w:lsdException w:uiPriority="0" w:name="Body Text First Indent"/>
    <w:lsdException w:uiPriority="0" w:name="Body Text First Indent 2"/>
    <w:lsdException w:uiPriority="0" w:name="Note Heading"/>
    <w:lsdException w:uiPriority="0" w:name="Body Text 2"/>
    <w:lsdException w:uiPriority="0" w:name="Body Text 3"/>
    <w:lsdException w:uiPriority="0" w:name="Body Text Indent 2"/>
    <w:lsdException w:uiPriority="0" w:name="Body Text Indent 3"/>
    <w:lsdException w:uiPriority="0" w:name="Block Text"/>
    <w:lsdException w:uiPriority="0" w:name="Hyperlink"/>
    <w:lsdException w:uiPriority="0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0" w:name="Document Map"/>
    <w:lsdException w:uiPriority="0" w:name="Plain Text"/>
    <w:lsdException w:uiPriority="0" w:name="E-mail Signature"/>
    <w:lsdException w:uiPriority="0" w:name="Normal (Web)"/>
    <w:lsdException w:uiPriority="0" w:name="HTML Acronym"/>
    <w:lsdException w:uiPriority="0" w:name="HTML Address"/>
    <w:lsdException w:uiPriority="0" w:name="HTML Cite"/>
    <w:lsdException w:uiPriority="0" w:name="HTML Code"/>
    <w:lsdException w:uiPriority="0" w:name="HTML Definition"/>
    <w:lsdException w:uiPriority="0" w:name="HTML Keyboard"/>
    <w:lsdException w:uiPriority="0" w:name="HTML Preformatted"/>
    <w:lsdException w:uiPriority="0" w:name="HTML Sample"/>
    <w:lsdException w:uiPriority="0" w:name="HTML Typewriter"/>
    <w:lsdException w:uiPriority="0" w:name="HTML Variable"/>
    <w:lsdException w:qFormat="1" w:uiPriority="99" w:semiHidden="0" w:name="Normal Table"/>
    <w:lsdException w:uiPriority="0" w:name="annotation subject"/>
    <w:lsdException w:uiPriority="0" w:name="Table Simple 1"/>
    <w:lsdException w:uiPriority="0" w:name="Table Simple 2"/>
    <w:lsdException w:uiPriority="0" w:name="Table Simple 3"/>
    <w:lsdException w:uiPriority="0" w:name="Table Classic 1"/>
    <w:lsdException w:uiPriority="0" w:name="Table Classic 2"/>
    <w:lsdException w:uiPriority="0" w:name="Table Classic 3"/>
    <w:lsdException w:uiPriority="0" w:name="Table Classic 4"/>
    <w:lsdException w:uiPriority="0" w:name="Table Colorful 1"/>
    <w:lsdException w:uiPriority="0" w:name="Table Colorful 2"/>
    <w:lsdException w:uiPriority="0" w:name="Table Colorful 3"/>
    <w:lsdException w:uiPriority="0" w:name="Table Columns 1"/>
    <w:lsdException w:uiPriority="0" w:name="Table Columns 2"/>
    <w:lsdException w:uiPriority="0" w:name="Table Columns 3"/>
    <w:lsdException w:uiPriority="0" w:name="Table Columns 4"/>
    <w:lsdException w:uiPriority="0" w:name="Table Columns 5"/>
    <w:lsdException w:uiPriority="0" w:name="Table Grid 1"/>
    <w:lsdException w:uiPriority="0" w:name="Table Grid 2"/>
    <w:lsdException w:uiPriority="0" w:name="Table Grid 3"/>
    <w:lsdException w:uiPriority="0" w:name="Table Grid 4"/>
    <w:lsdException w:uiPriority="0" w:name="Table Grid 5"/>
    <w:lsdException w:uiPriority="0" w:name="Table Grid 6"/>
    <w:lsdException w:uiPriority="0" w:name="Table Grid 7"/>
    <w:lsdException w:uiPriority="0" w:name="Table Grid 8"/>
    <w:lsdException w:uiPriority="0" w:name="Table List 1"/>
    <w:lsdException w:uiPriority="0" w:name="Table List 2"/>
    <w:lsdException w:uiPriority="0" w:name="Table List 3"/>
    <w:lsdException w:uiPriority="0" w:name="Table List 4"/>
    <w:lsdException w:uiPriority="0" w:name="Table List 5"/>
    <w:lsdException w:uiPriority="0" w:name="Table List 6"/>
    <w:lsdException w:uiPriority="0" w:name="Table List 7"/>
    <w:lsdException w:uiPriority="0" w:name="Table List 8"/>
    <w:lsdException w:uiPriority="0" w:name="Table 3D effects 1"/>
    <w:lsdException w:uiPriority="0" w:name="Table 3D effects 2"/>
    <w:lsdException w:uiPriority="0" w:name="Table 3D effects 3"/>
    <w:lsdException w:uiPriority="0" w:name="Table Contemporary"/>
    <w:lsdException w:uiPriority="0" w:name="Table Elegant"/>
    <w:lsdException w:uiPriority="0" w:name="Table Professional"/>
    <w:lsdException w:uiPriority="0" w:name="Table Subtle 1"/>
    <w:lsdException w:uiPriority="0" w:name="Table Subtle 2"/>
    <w:lsdException w:uiPriority="0" w:name="Table Web 1"/>
    <w:lsdException w:uiPriority="0" w:name="Table Web 2"/>
    <w:lsdException w:uiPriority="0" w:name="Table Web 3"/>
    <w:lsdException w:uiPriority="0" w:name="Balloon Text"/>
    <w:lsdException w:unhideWhenUsed="0" w:uiPriority="59" w:semiHidden="0" w:name="Table Grid"/>
    <w:lsdException w:uiPriority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5">
    <w:name w:val="Default Paragraph Font"/>
    <w:unhideWhenUsed/>
    <w:qFormat/>
    <w:uiPriority w:val="1"/>
  </w:style>
  <w:style w:type="table" w:default="1" w:styleId="4">
    <w:name w:val="Normal Table"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link w:val="7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3">
    <w:name w:val="header"/>
    <w:basedOn w:val="1"/>
    <w:link w:val="6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6">
    <w:name w:val="页眉 Char"/>
    <w:basedOn w:val="5"/>
    <w:link w:val="3"/>
    <w:qFormat/>
    <w:uiPriority w:val="99"/>
    <w:rPr>
      <w:sz w:val="18"/>
      <w:szCs w:val="18"/>
    </w:rPr>
  </w:style>
  <w:style w:type="character" w:customStyle="1" w:styleId="7">
    <w:name w:val="页脚 Char"/>
    <w:basedOn w:val="5"/>
    <w:link w:val="2"/>
    <w:qFormat/>
    <w:uiPriority w:val="99"/>
    <w:rPr>
      <w:sz w:val="18"/>
      <w:szCs w:val="18"/>
    </w:rPr>
  </w:style>
  <w:style w:type="paragraph" w:customStyle="1" w:styleId="8">
    <w:name w:val="插入文本样式-插入部门职责文件"/>
    <w:basedOn w:val="1"/>
    <w:qFormat/>
    <w:uiPriority w:val="0"/>
    <w:pPr>
      <w:spacing w:before="0" w:beforeLines="0" w:after="0" w:afterLines="0" w:line="500" w:lineRule="exact"/>
      <w:ind w:firstLine="560"/>
      <w:jc w:val="left"/>
      <w:outlineLvl w:val="9"/>
    </w:pPr>
    <w:rPr>
      <w:sz w:val="28"/>
    </w:rPr>
  </w:style>
</w:style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7" Type="http://schemas.openxmlformats.org/officeDocument/2006/relationships/numbering" Target="numbering.xml"/><Relationship Id="rId6" Type="http://schemas.openxmlformats.org/officeDocument/2006/relationships/customXml" Target="../customXml/item1.xml"/><Relationship Id="rId5" Type="http://schemas.openxmlformats.org/officeDocument/2006/relationships/theme" Target="theme/theme1.xml"/><Relationship Id="rId4" Type="http://schemas.openxmlformats.org/officeDocument/2006/relationships/footer" Target="footer1.xml"/><Relationship Id="rId3" Type="http://schemas.openxmlformats.org/officeDocument/2006/relationships/header" Target="head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Tahoma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Ｐゴシック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Tahoma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atMod val="350000"/>
                <a:shade val="99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Lenovo</Company>
  <Pages>8</Pages>
  <Words>3627</Words>
  <Characters>3960</Characters>
  <Lines>3</Lines>
  <Paragraphs>1</Paragraphs>
  <TotalTime>1</TotalTime>
  <ScaleCrop>false</ScaleCrop>
  <LinksUpToDate>false</LinksUpToDate>
  <CharactersWithSpaces>3962</CharactersWithSpaces>
  <Application>WPS Office_12.1.0.20305_F1E327BC-269C-435d-A152-05C5408002CA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2019-11-14T00:58:00Z</dcterms:created>
  <dc:creator>user</dc:creator>
  <cp:lastModifiedBy>13323011735</cp:lastModifiedBy>
  <cp:lastPrinted>2021-02-24T05:43:00Z</cp:lastPrinted>
  <dcterms:modified xsi:type="dcterms:W3CDTF">2025-03-25T07:34:13Z</dcterms:modified>
  <dc:title>附件2： </dc:titl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2052-12.1.0.20305</vt:lpwstr>
  </property>
  <property fmtid="{D5CDD505-2E9C-101B-9397-08002B2CF9AE}" pid="3" name="ICV">
    <vt:lpwstr>28C64EFCB758481798A31117B3E7B5E3</vt:lpwstr>
  </property>
  <property fmtid="{D5CDD505-2E9C-101B-9397-08002B2CF9AE}" pid="4" name="KSOTemplateDocerSaveRecord">
    <vt:lpwstr>eyJoZGlkIjoiZTNhMzhmNjU3NDU2YjNiYWExNDJlM2Y4YTNjMzYyNWIiLCJ1c2VySWQiOiIxNTUwMjQwMDk2In0=</vt:lpwstr>
  </property>
</Properties>
</file>