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中共石家庄市藁城区委宣传部</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中共石家庄市藁城区委宣传部</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中共石家庄市藁城区委员会宣传部为区委主管意识形态方面工作的职能部门，</w:t>
      </w:r>
      <w:r>
        <w:rPr>
          <w:rFonts w:hint="eastAsia" w:ascii="仿宋_GB2312" w:hAnsi="仿宋_GB2312" w:eastAsia="仿宋_GB2312" w:cs="仿宋_GB2312"/>
          <w:i w:val="0"/>
          <w:iCs w:val="0"/>
          <w:caps w:val="0"/>
          <w:color w:val="000000"/>
          <w:spacing w:val="0"/>
          <w:sz w:val="32"/>
          <w:szCs w:val="32"/>
        </w:rPr>
        <w:t>设有办公室、理论教育股、新闻股、宣传股、外宣股、文明创建股、国防教育办公室等股室，下辖股级事业单位藁城区新时代文明实践指导中心。</w:t>
      </w:r>
      <w:r>
        <w:rPr>
          <w:rFonts w:hint="eastAsia" w:ascii="仿宋_GB2312" w:hAnsi="仿宋_GB2312" w:eastAsia="仿宋_GB2312" w:cs="仿宋_GB2312"/>
          <w:i w:val="0"/>
          <w:iCs w:val="0"/>
          <w:caps w:val="0"/>
          <w:color w:val="000000"/>
          <w:spacing w:val="0"/>
          <w:sz w:val="32"/>
          <w:szCs w:val="32"/>
          <w:lang w:eastAsia="zh-CN"/>
        </w:rPr>
        <w:t>分管事业单位梅花惨案纪念馆。</w:t>
      </w:r>
      <w:r>
        <w:rPr>
          <w:rFonts w:hint="eastAsia" w:ascii="仿宋_GB2312" w:hAnsi="仿宋_GB2312" w:eastAsia="仿宋_GB2312" w:cs="仿宋_GB2312"/>
          <w:sz w:val="32"/>
          <w:szCs w:val="32"/>
          <w:lang w:val="en-US" w:eastAsia="zh-CN"/>
        </w:rPr>
        <w:t>部门收入全部为财政资金，我部门严格按照财政收支管理规定全部支出专项资金。</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藁城区委宣传部成立了由副部长张建岗任组长、副部长赵晓磊任副组长，部务会成员为成员的绩效自评工作小组，通过实地查看、核对账务对2023年项目资金的收入、支出、日常财务管理等项目绩效实施情况作了系统、全面的评价。</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今年以来，按照省委、市委部署要求</w:t>
      </w:r>
      <w:r>
        <w:rPr>
          <w:rFonts w:hint="eastAsia" w:ascii="仿宋_GB2312" w:hAnsi="仿宋_GB2312" w:eastAsia="仿宋_GB2312" w:cs="仿宋_GB2312"/>
          <w:b w:val="0"/>
          <w:bCs w:val="0"/>
          <w:color w:val="auto"/>
          <w:sz w:val="32"/>
          <w:szCs w:val="32"/>
          <w:highlight w:val="none"/>
        </w:rPr>
        <w:t>，</w:t>
      </w:r>
      <w:r>
        <w:rPr>
          <w:rFonts w:hint="eastAsia" w:ascii="仿宋_GB2312" w:hAnsi="仿宋_GB2312" w:eastAsia="仿宋_GB2312" w:cs="仿宋_GB2312"/>
          <w:b w:val="0"/>
          <w:bCs w:val="0"/>
          <w:color w:val="auto"/>
          <w:sz w:val="32"/>
          <w:szCs w:val="32"/>
          <w:highlight w:val="none"/>
          <w:lang w:val="en-US" w:eastAsia="zh-CN"/>
        </w:rPr>
        <w:t>藁城</w:t>
      </w:r>
      <w:r>
        <w:rPr>
          <w:rFonts w:hint="eastAsia" w:ascii="仿宋_GB2312" w:hAnsi="仿宋_GB2312" w:eastAsia="仿宋_GB2312" w:cs="仿宋_GB2312"/>
          <w:b w:val="0"/>
          <w:bCs w:val="0"/>
          <w:color w:val="auto"/>
          <w:sz w:val="32"/>
          <w:szCs w:val="32"/>
          <w:highlight w:val="none"/>
        </w:rPr>
        <w:t>区委宣传部</w:t>
      </w:r>
      <w:r>
        <w:rPr>
          <w:rFonts w:hint="eastAsia" w:ascii="仿宋_GB2312" w:hAnsi="仿宋_GB2312" w:eastAsia="仿宋_GB2312" w:cs="仿宋_GB2312"/>
          <w:b w:val="0"/>
          <w:bCs w:val="0"/>
          <w:color w:val="auto"/>
          <w:sz w:val="32"/>
          <w:szCs w:val="32"/>
          <w:highlight w:val="none"/>
          <w:lang w:val="en-US" w:eastAsia="zh-CN"/>
        </w:rPr>
        <w:t>坚持以习近平新时代中国特色社会主义思想为指导，</w:t>
      </w:r>
      <w:r>
        <w:rPr>
          <w:rFonts w:hint="eastAsia" w:ascii="仿宋_GB2312" w:hAnsi="仿宋_GB2312" w:eastAsia="仿宋_GB2312" w:cs="仿宋_GB2312"/>
          <w:b w:val="0"/>
          <w:bCs w:val="0"/>
          <w:color w:val="auto"/>
          <w:sz w:val="32"/>
          <w:szCs w:val="32"/>
          <w:highlight w:val="none"/>
        </w:rPr>
        <w:t>学习宣传贯彻</w:t>
      </w:r>
      <w:r>
        <w:rPr>
          <w:rFonts w:hint="eastAsia" w:ascii="仿宋_GB2312" w:hAnsi="仿宋_GB2312" w:eastAsia="仿宋_GB2312" w:cs="仿宋_GB2312"/>
          <w:b w:val="0"/>
          <w:bCs w:val="0"/>
          <w:color w:val="auto"/>
          <w:sz w:val="32"/>
          <w:szCs w:val="32"/>
          <w:highlight w:val="none"/>
          <w:lang w:val="en-US" w:eastAsia="zh-CN"/>
        </w:rPr>
        <w:t>党的</w:t>
      </w:r>
      <w:r>
        <w:rPr>
          <w:rFonts w:hint="eastAsia" w:ascii="仿宋_GB2312" w:hAnsi="仿宋_GB2312" w:eastAsia="仿宋_GB2312" w:cs="仿宋_GB2312"/>
          <w:b w:val="0"/>
          <w:bCs w:val="0"/>
          <w:color w:val="auto"/>
          <w:sz w:val="32"/>
          <w:szCs w:val="32"/>
          <w:highlight w:val="none"/>
        </w:rPr>
        <w:t>二十大精神</w:t>
      </w:r>
      <w:r>
        <w:rPr>
          <w:rFonts w:hint="eastAsia" w:ascii="仿宋_GB2312" w:hAnsi="仿宋_GB2312" w:eastAsia="仿宋_GB2312" w:cs="仿宋_GB2312"/>
          <w:b w:val="0"/>
          <w:bCs w:val="0"/>
          <w:color w:val="auto"/>
          <w:sz w:val="32"/>
          <w:szCs w:val="32"/>
          <w:highlight w:val="none"/>
          <w:lang w:val="en-US" w:eastAsia="zh-CN"/>
        </w:rPr>
        <w:t>，围绕举旗帜、聚民心、育新人、兴文化、展形象的使命任务，凝心聚力，主动作为，推动宣传思想文化工作再上新台阶，为谱写中国式现代化建设藁城篇章贡献力量。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一是</w:t>
      </w:r>
      <w:r>
        <w:rPr>
          <w:rFonts w:hint="eastAsia" w:ascii="仿宋_GB2312" w:hAnsi="仿宋_GB2312" w:eastAsia="仿宋_GB2312" w:cs="仿宋_GB2312"/>
          <w:b w:val="0"/>
          <w:bCs w:val="0"/>
          <w:color w:val="auto"/>
          <w:sz w:val="32"/>
          <w:szCs w:val="32"/>
          <w:highlight w:val="none"/>
        </w:rPr>
        <w:t>党委（党组）理论学习中心组学习进一步规范。强化区委理论学习中心组学习管理，认真落实《中国共产党党委（党组）理论学习中心组学习规则》和省委指导意见，印制下发《2023年全区党委（党组）理论学习中心组专题学习重点内容安排》，督促各乡镇、区委各单位党委（党组）结合工作实际，制定本单位年度学习计划并规范开展学习，同时将学习计划上报市委宣传部、市委组织部备案。</w:t>
      </w:r>
      <w:r>
        <w:rPr>
          <w:rFonts w:hint="eastAsia" w:ascii="仿宋_GB2312" w:hAnsi="仿宋_GB2312" w:eastAsia="仿宋_GB2312" w:cs="仿宋_GB2312"/>
          <w:b w:val="0"/>
          <w:bCs w:val="0"/>
          <w:color w:val="auto"/>
          <w:sz w:val="32"/>
          <w:szCs w:val="32"/>
          <w:highlight w:val="none"/>
          <w:lang w:eastAsia="zh-CN"/>
        </w:rPr>
        <w:t>二是习近平新时代中国特色社会主义思想“六进”工作深入推进。</w:t>
      </w:r>
      <w:r>
        <w:rPr>
          <w:rFonts w:hint="eastAsia" w:ascii="仿宋_GB2312" w:hAnsi="Times New Roman" w:eastAsia="仿宋_GB2312" w:cs="Times New Roman"/>
          <w:b w:val="0"/>
          <w:bCs w:val="0"/>
          <w:color w:val="auto"/>
          <w:sz w:val="32"/>
          <w:szCs w:val="32"/>
          <w:highlight w:val="none"/>
          <w:lang w:val="en-US" w:eastAsia="zh-CN"/>
        </w:rPr>
        <w:t>充分利用十大类区级直属宣讲团，常态化开展理论宣讲工作，持续兴起学习宣传贯彻党的创新理论热潮。</w:t>
      </w:r>
      <w:r>
        <w:rPr>
          <w:rFonts w:hint="eastAsia" w:ascii="仿宋_GB2312" w:hAnsi="仿宋_GB2312" w:eastAsia="仿宋_GB2312" w:cs="仿宋_GB2312"/>
          <w:b w:val="0"/>
          <w:bCs w:val="0"/>
          <w:color w:val="auto"/>
          <w:sz w:val="32"/>
          <w:szCs w:val="32"/>
          <w:highlight w:val="none"/>
        </w:rPr>
        <w:t>开展宣讲</w:t>
      </w:r>
      <w:r>
        <w:rPr>
          <w:rFonts w:hint="eastAsia" w:ascii="仿宋_GB2312" w:hAnsi="仿宋_GB2312" w:eastAsia="仿宋_GB2312" w:cs="仿宋_GB2312"/>
          <w:b w:val="0"/>
          <w:bCs w:val="0"/>
          <w:color w:val="auto"/>
          <w:sz w:val="32"/>
          <w:szCs w:val="32"/>
          <w:highlight w:val="none"/>
          <w:lang w:eastAsia="zh-CN"/>
        </w:rPr>
        <w:t>活动</w:t>
      </w:r>
      <w:r>
        <w:rPr>
          <w:rFonts w:hint="eastAsia" w:ascii="仿宋_GB2312" w:hAnsi="仿宋_GB2312" w:eastAsia="仿宋_GB2312" w:cs="仿宋_GB2312"/>
          <w:b w:val="0"/>
          <w:bCs w:val="0"/>
          <w:color w:val="auto"/>
          <w:sz w:val="32"/>
          <w:szCs w:val="32"/>
          <w:highlight w:val="none"/>
          <w:lang w:val="en-US" w:eastAsia="zh-CN"/>
        </w:rPr>
        <w:t>900余</w:t>
      </w:r>
      <w:r>
        <w:rPr>
          <w:rFonts w:hint="eastAsia" w:ascii="仿宋_GB2312" w:hAnsi="仿宋_GB2312" w:eastAsia="仿宋_GB2312" w:cs="仿宋_GB2312"/>
          <w:b w:val="0"/>
          <w:bCs w:val="0"/>
          <w:color w:val="auto"/>
          <w:sz w:val="32"/>
          <w:szCs w:val="32"/>
          <w:highlight w:val="none"/>
        </w:rPr>
        <w:t>场次，受众人数达</w:t>
      </w:r>
      <w:r>
        <w:rPr>
          <w:rFonts w:hint="eastAsia" w:ascii="仿宋_GB2312" w:hAnsi="仿宋_GB2312" w:eastAsia="仿宋_GB2312" w:cs="仿宋_GB2312"/>
          <w:b w:val="0"/>
          <w:bCs w:val="0"/>
          <w:color w:val="auto"/>
          <w:sz w:val="32"/>
          <w:szCs w:val="32"/>
          <w:highlight w:val="none"/>
          <w:lang w:val="en-US" w:eastAsia="zh-CN"/>
        </w:rPr>
        <w:t>12万</w:t>
      </w:r>
      <w:r>
        <w:rPr>
          <w:rFonts w:hint="eastAsia" w:ascii="仿宋_GB2312" w:hAnsi="仿宋_GB2312" w:eastAsia="仿宋_GB2312" w:cs="仿宋_GB2312"/>
          <w:b w:val="0"/>
          <w:bCs w:val="0"/>
          <w:color w:val="auto"/>
          <w:sz w:val="32"/>
          <w:szCs w:val="32"/>
          <w:highlight w:val="none"/>
        </w:rPr>
        <w:t>余人次。</w:t>
      </w:r>
      <w:r>
        <w:rPr>
          <w:rFonts w:hint="eastAsia" w:ascii="仿宋_GB2312" w:hAnsi="仿宋_GB2312" w:eastAsia="仿宋_GB2312" w:cs="仿宋_GB2312"/>
          <w:b w:val="0"/>
          <w:bCs w:val="0"/>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eastAsia="zh-CN"/>
        </w:rPr>
        <w:t>意识形态领域安全得到有力维护。</w:t>
      </w:r>
      <w:r>
        <w:rPr>
          <w:rFonts w:hint="eastAsia" w:ascii="仿宋_GB2312" w:hAnsi="仿宋_GB2312" w:eastAsia="仿宋_GB2312" w:cs="仿宋_GB2312"/>
          <w:b w:val="0"/>
          <w:bCs w:val="0"/>
          <w:color w:val="auto"/>
          <w:sz w:val="32"/>
          <w:szCs w:val="32"/>
          <w:highlight w:val="none"/>
        </w:rPr>
        <w:t>根据省委巡视反馈意见和领导干部人事变动情况，对区委意识形态工作领导小组进行调整，下发《关于调整藁城区委意识形态工作领导小组的通知》，并督促各单位根据实际情况调整本单位领导小组。</w:t>
      </w:r>
      <w:r>
        <w:rPr>
          <w:rFonts w:hint="eastAsia" w:ascii="仿宋_GB2312" w:hAnsi="仿宋_GB2312" w:eastAsia="仿宋_GB2312" w:cs="仿宋_GB2312"/>
          <w:b w:val="0"/>
          <w:bCs w:val="0"/>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rPr>
        <w:t>省市级媒体报道持续发力。密切关注我区各项工作最新动态，在河北日报、河北电视台、长城新媒体、石家庄日报、石家庄电视台等省市级媒体推出系列主题宣传、成就宣传、典型宣传。截止目前，共在省市级媒体刊发宣传藁城新闻稿件</w:t>
      </w:r>
      <w:r>
        <w:rPr>
          <w:rFonts w:hint="eastAsia" w:ascii="仿宋_GB2312" w:hAnsi="仿宋_GB2312" w:eastAsia="仿宋_GB2312" w:cs="仿宋_GB2312"/>
          <w:b w:val="0"/>
          <w:bCs w:val="0"/>
          <w:color w:val="auto"/>
          <w:sz w:val="32"/>
          <w:szCs w:val="32"/>
          <w:highlight w:val="none"/>
          <w:lang w:val="en-US" w:eastAsia="zh-CN"/>
        </w:rPr>
        <w:t>596</w:t>
      </w:r>
      <w:r>
        <w:rPr>
          <w:rFonts w:hint="eastAsia" w:ascii="仿宋_GB2312" w:hAnsi="仿宋_GB2312" w:eastAsia="仿宋_GB2312" w:cs="仿宋_GB2312"/>
          <w:b w:val="0"/>
          <w:bCs w:val="0"/>
          <w:color w:val="auto"/>
          <w:sz w:val="32"/>
          <w:szCs w:val="32"/>
          <w:highlight w:val="none"/>
        </w:rPr>
        <w:t>篇。</w:t>
      </w:r>
      <w:r>
        <w:rPr>
          <w:rFonts w:hint="eastAsia" w:ascii="仿宋_GB2312" w:hAnsi="仿宋_GB2312" w:eastAsia="仿宋_GB2312" w:cs="仿宋_GB2312"/>
          <w:b w:val="0"/>
          <w:bCs w:val="0"/>
          <w:color w:val="auto"/>
          <w:sz w:val="32"/>
          <w:szCs w:val="32"/>
          <w:highlight w:val="none"/>
          <w:lang w:eastAsia="zh-CN"/>
        </w:rPr>
        <w:t>一是</w:t>
      </w:r>
      <w:r>
        <w:rPr>
          <w:rFonts w:hint="eastAsia" w:ascii="仿宋_GB2312" w:hAnsi="仿宋_GB2312" w:eastAsia="仿宋_GB2312" w:cs="仿宋_GB2312"/>
          <w:b w:val="0"/>
          <w:bCs w:val="0"/>
          <w:color w:val="auto"/>
          <w:sz w:val="32"/>
          <w:szCs w:val="32"/>
          <w:highlight w:val="none"/>
        </w:rPr>
        <w:t>加快文化产业高质量发展。组织开展省级文化繁荣发展资金项目库项目、2023年省级文化产业发展引导资金申报</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rPr>
        <w:t>2024年度省级宣传文化发展专项资金项目申报工作</w:t>
      </w:r>
      <w:r>
        <w:rPr>
          <w:rFonts w:hint="eastAsia" w:ascii="仿宋_GB2312" w:hAnsi="仿宋_GB2312" w:eastAsia="仿宋_GB2312" w:cs="仿宋_GB2312"/>
          <w:b w:val="0"/>
          <w:bCs w:val="0"/>
          <w:color w:val="auto"/>
          <w:sz w:val="32"/>
          <w:szCs w:val="32"/>
          <w:highlight w:val="none"/>
          <w:lang w:val="en-US" w:eastAsia="zh-CN"/>
        </w:rPr>
        <w:t>。</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pStyle w:val="13"/>
        <w:rPr>
          <w:rFonts w:hint="eastAsia"/>
          <w:lang w:val="en-US" w:eastAsia="zh-CN"/>
        </w:rPr>
      </w:pPr>
      <w:r>
        <w:rPr>
          <w:rFonts w:hint="eastAsia" w:ascii="仿宋_GB2312" w:hAnsi="仿宋_GB2312" w:eastAsia="仿宋_GB2312" w:cs="仿宋_GB2312"/>
          <w:sz w:val="32"/>
          <w:szCs w:val="32"/>
          <w:lang w:val="en-US" w:eastAsia="zh-CN"/>
        </w:rPr>
        <w:t>通过2023年绩效自评，2023年年初绩效目标设定质量较好，</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我部门</w:t>
      </w:r>
      <w:r>
        <w:rPr>
          <w:rFonts w:hint="eastAsia" w:ascii="仿宋" w:hAnsi="仿宋" w:eastAsia="仿宋" w:cs="仿宋"/>
          <w:sz w:val="32"/>
          <w:szCs w:val="32"/>
        </w:rPr>
        <w:t>专项资金</w:t>
      </w:r>
      <w:r>
        <w:rPr>
          <w:rFonts w:hint="eastAsia" w:ascii="仿宋" w:hAnsi="仿宋" w:eastAsia="仿宋" w:cs="仿宋"/>
          <w:sz w:val="32"/>
          <w:szCs w:val="32"/>
          <w:lang w:val="en-US" w:eastAsia="zh-CN"/>
        </w:rPr>
        <w:t>到位率和支出率均达到100%，各</w:t>
      </w:r>
      <w:r>
        <w:rPr>
          <w:rFonts w:hint="eastAsia" w:ascii="仿宋" w:hAnsi="仿宋" w:eastAsia="仿宋" w:cs="仿宋"/>
          <w:sz w:val="32"/>
          <w:szCs w:val="32"/>
        </w:rPr>
        <w:t>项目的预期绩效目标完成</w:t>
      </w:r>
      <w:r>
        <w:rPr>
          <w:rFonts w:hint="eastAsia" w:ascii="仿宋" w:hAnsi="仿宋" w:eastAsia="仿宋" w:cs="仿宋"/>
          <w:sz w:val="32"/>
          <w:szCs w:val="32"/>
          <w:lang w:val="en-US" w:eastAsia="zh-CN"/>
        </w:rPr>
        <w:t>率在90%以上，评价结果为优秀。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主要问题：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sz w:val="32"/>
          <w:szCs w:val="32"/>
          <w:lang w:val="en-US" w:eastAsia="zh-CN"/>
        </w:rPr>
        <w:t>1.部分活动开展形式不够丰富，</w:t>
      </w:r>
      <w:r>
        <w:rPr>
          <w:rFonts w:hint="eastAsia" w:ascii="仿宋_GB2312" w:hAnsi="仿宋_GB2312" w:eastAsia="仿宋_GB2312" w:cs="仿宋_GB2312"/>
          <w:color w:val="auto"/>
          <w:sz w:val="32"/>
          <w:szCs w:val="32"/>
          <w:highlight w:val="none"/>
          <w:lang w:eastAsia="zh-CN"/>
        </w:rPr>
        <w:t>形式不够活泼，内容不够生动，</w:t>
      </w:r>
      <w:r>
        <w:rPr>
          <w:rFonts w:hint="eastAsia" w:ascii="仿宋_GB2312" w:hAnsi="仿宋_GB2312" w:eastAsia="仿宋_GB2312" w:cs="仿宋_GB2312"/>
          <w:sz w:val="32"/>
          <w:szCs w:val="32"/>
          <w:highlight w:val="none"/>
          <w:lang w:eastAsia="zh-CN"/>
        </w:rPr>
        <w:t>线上线下活动的融合</w:t>
      </w:r>
      <w:r>
        <w:rPr>
          <w:rFonts w:hint="eastAsia" w:ascii="仿宋_GB2312" w:hAnsi="仿宋_GB2312" w:eastAsia="仿宋_GB2312" w:cs="仿宋_GB2312"/>
          <w:sz w:val="32"/>
          <w:szCs w:val="32"/>
          <w:highlight w:val="none"/>
          <w:lang w:val="en-US" w:eastAsia="zh-CN"/>
        </w:rPr>
        <w:t>度</w:t>
      </w:r>
      <w:r>
        <w:rPr>
          <w:rFonts w:hint="eastAsia" w:ascii="仿宋_GB2312" w:hAnsi="仿宋_GB2312" w:eastAsia="仿宋_GB2312" w:cs="仿宋_GB2312"/>
          <w:sz w:val="32"/>
          <w:szCs w:val="32"/>
          <w:highlight w:val="none"/>
          <w:lang w:eastAsia="zh-CN"/>
        </w:rPr>
        <w:t>还不</w:t>
      </w:r>
      <w:r>
        <w:rPr>
          <w:rFonts w:hint="eastAsia" w:ascii="仿宋_GB2312" w:hAnsi="仿宋_GB2312" w:eastAsia="仿宋_GB2312" w:cs="仿宋_GB2312"/>
          <w:sz w:val="32"/>
          <w:szCs w:val="32"/>
          <w:highlight w:val="none"/>
          <w:lang w:val="en-US" w:eastAsia="zh-CN"/>
        </w:rPr>
        <w:t>到位</w:t>
      </w:r>
      <w:r>
        <w:rPr>
          <w:rFonts w:hint="eastAsia" w:ascii="仿宋_GB2312" w:hAnsi="仿宋_GB2312" w:eastAsia="仿宋_GB2312" w:cs="仿宋_GB2312"/>
          <w:sz w:val="32"/>
          <w:szCs w:val="32"/>
          <w:highlight w:val="none"/>
          <w:lang w:eastAsia="zh-CN"/>
        </w:rPr>
        <w:t>，效果不够理想。</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具体做法：</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_GB2312" w:hAnsi="仿宋_GB2312" w:eastAsia="仿宋_GB2312" w:cs="仿宋_GB2312"/>
          <w:sz w:val="32"/>
          <w:szCs w:val="32"/>
          <w:highlight w:val="none"/>
          <w:lang w:val="en-US" w:eastAsia="zh-CN"/>
        </w:rPr>
        <w:t>在创新内容、创新形式、创新手段上下功夫，在抓重点，抓工程、抓普及、抓提高上出成效，统筹组织开展各类特色文化活动，用心用力把宣传工作做到群众的心窝里，不断开创宣传群众、动员群众、服务群众的新局面。</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 w:cs="仿宋"/>
          <w:sz w:val="32"/>
          <w:szCs w:val="32"/>
          <w:lang w:val="en-US" w:eastAsia="zh-CN"/>
        </w:rPr>
        <w:t>2.</w:t>
      </w:r>
      <w:r>
        <w:rPr>
          <w:rFonts w:hint="eastAsia" w:ascii="仿宋_GB2312" w:hAnsi="仿宋_GB2312" w:eastAsia="仿宋_GB2312" w:cs="仿宋_GB2312"/>
          <w:sz w:val="32"/>
          <w:szCs w:val="32"/>
          <w:lang w:val="en-US" w:eastAsia="zh-CN"/>
        </w:rPr>
        <w:t>进一步加强预算资金管理，对预算的事前、事中、事后进行全过程控制，加大对预算编制与执行的监督管理力度，提高预算资金使用效率。</w:t>
      </w:r>
      <w:bookmarkStart w:id="0" w:name="_GoBack"/>
      <w:bookmarkEnd w:id="0"/>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主要包括姓名、工作单位、职务等。</w:t>
      </w:r>
    </w:p>
    <w:tbl>
      <w:tblPr>
        <w:tblStyle w:val="9"/>
        <w:tblpPr w:leftFromText="180" w:rightFromText="180" w:vertAnchor="text" w:horzAnchor="page" w:tblpX="2044" w:tblpY="464"/>
        <w:tblOverlap w:val="never"/>
        <w:tblW w:w="88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335"/>
        <w:gridCol w:w="1515"/>
        <w:gridCol w:w="3600"/>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序号</w:t>
            </w:r>
          </w:p>
        </w:tc>
        <w:tc>
          <w:tcPr>
            <w:tcW w:w="1335"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姓名</w:t>
            </w:r>
          </w:p>
        </w:tc>
        <w:tc>
          <w:tcPr>
            <w:tcW w:w="1515"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工作单位</w:t>
            </w:r>
          </w:p>
        </w:tc>
        <w:tc>
          <w:tcPr>
            <w:tcW w:w="3600"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职务</w:t>
            </w:r>
          </w:p>
        </w:tc>
        <w:tc>
          <w:tcPr>
            <w:tcW w:w="1530"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1</w:t>
            </w:r>
          </w:p>
        </w:tc>
        <w:tc>
          <w:tcPr>
            <w:tcW w:w="1335" w:type="dxa"/>
            <w:vAlign w:val="top"/>
          </w:tcPr>
          <w:p>
            <w:pPr>
              <w:adjustRightInd w:val="0"/>
              <w:snapToGrid w:val="0"/>
              <w:spacing w:line="560" w:lineRule="exact"/>
              <w:rPr>
                <w:rFonts w:ascii="仿宋_GB2312" w:eastAsia="仿宋_GB2312"/>
                <w:sz w:val="32"/>
                <w:szCs w:val="32"/>
                <w:highlight w:val="none"/>
              </w:rPr>
            </w:pPr>
            <w:r>
              <w:rPr>
                <w:rFonts w:hint="eastAsia" w:ascii="仿宋_GB2312" w:eastAsia="仿宋_GB2312"/>
                <w:sz w:val="32"/>
                <w:szCs w:val="32"/>
                <w:highlight w:val="none"/>
                <w:lang w:eastAsia="zh-CN"/>
              </w:rPr>
              <w:t>张建岗</w:t>
            </w:r>
          </w:p>
        </w:tc>
        <w:tc>
          <w:tcPr>
            <w:tcW w:w="1515" w:type="dxa"/>
            <w:vAlign w:val="top"/>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rPr>
              <w:t>宣传部</w:t>
            </w:r>
          </w:p>
        </w:tc>
        <w:tc>
          <w:tcPr>
            <w:tcW w:w="3600" w:type="dxa"/>
            <w:vAlign w:val="top"/>
          </w:tcPr>
          <w:p>
            <w:pPr>
              <w:adjustRightInd w:val="0"/>
              <w:snapToGrid w:val="0"/>
              <w:spacing w:line="560" w:lineRule="exact"/>
              <w:jc w:val="center"/>
              <w:rPr>
                <w:rFonts w:ascii="仿宋_GB2312" w:eastAsia="仿宋_GB2312"/>
                <w:sz w:val="32"/>
                <w:szCs w:val="32"/>
                <w:highlight w:val="none"/>
              </w:rPr>
            </w:pPr>
            <w:r>
              <w:rPr>
                <w:rFonts w:hint="eastAsia" w:ascii="仿宋_GB2312" w:eastAsia="仿宋_GB2312"/>
                <w:sz w:val="32"/>
                <w:szCs w:val="32"/>
                <w:highlight w:val="none"/>
                <w:lang w:eastAsia="zh-CN"/>
              </w:rPr>
              <w:t>副部长、融媒体中心主任</w:t>
            </w:r>
          </w:p>
        </w:tc>
        <w:tc>
          <w:tcPr>
            <w:tcW w:w="1530" w:type="dxa"/>
          </w:tcPr>
          <w:p>
            <w:pPr>
              <w:adjustRightInd w:val="0"/>
              <w:snapToGrid w:val="0"/>
              <w:spacing w:line="560" w:lineRule="exact"/>
              <w:ind w:firstLine="640" w:firstLineChars="200"/>
              <w:jc w:val="center"/>
              <w:rPr>
                <w:rFonts w:ascii="仿宋_GB2312" w:eastAsia="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adjustRightInd w:val="0"/>
              <w:snapToGrid w:val="0"/>
              <w:spacing w:line="560" w:lineRule="exact"/>
              <w:jc w:val="cente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w:t>
            </w:r>
          </w:p>
        </w:tc>
        <w:tc>
          <w:tcPr>
            <w:tcW w:w="1335" w:type="dxa"/>
            <w:vAlign w:val="top"/>
          </w:tcPr>
          <w:p>
            <w:pPr>
              <w:adjustRightInd w:val="0"/>
              <w:snapToGrid w:val="0"/>
              <w:spacing w:line="560" w:lineRule="exact"/>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赵晓磊</w:t>
            </w:r>
          </w:p>
        </w:tc>
        <w:tc>
          <w:tcPr>
            <w:tcW w:w="1515" w:type="dxa"/>
            <w:vAlign w:val="top"/>
          </w:tcPr>
          <w:p>
            <w:pPr>
              <w:adjustRightInd w:val="0"/>
              <w:snapToGrid w:val="0"/>
              <w:spacing w:line="560" w:lineRule="exact"/>
              <w:jc w:val="center"/>
              <w:rPr>
                <w:rFonts w:hint="eastAsia" w:ascii="仿宋_GB2312" w:eastAsia="仿宋_GB2312"/>
                <w:sz w:val="32"/>
                <w:szCs w:val="32"/>
                <w:highlight w:val="none"/>
              </w:rPr>
            </w:pPr>
            <w:r>
              <w:rPr>
                <w:rFonts w:hint="eastAsia" w:ascii="仿宋_GB2312" w:eastAsia="仿宋_GB2312"/>
                <w:sz w:val="32"/>
                <w:szCs w:val="32"/>
                <w:highlight w:val="none"/>
              </w:rPr>
              <w:t>宣传部</w:t>
            </w:r>
          </w:p>
        </w:tc>
        <w:tc>
          <w:tcPr>
            <w:tcW w:w="3600" w:type="dxa"/>
            <w:vAlign w:val="top"/>
          </w:tcPr>
          <w:p>
            <w:pPr>
              <w:adjustRightInd w:val="0"/>
              <w:snapToGrid w:val="0"/>
              <w:spacing w:line="560" w:lineRule="exact"/>
              <w:jc w:val="center"/>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副部长</w:t>
            </w:r>
          </w:p>
        </w:tc>
        <w:tc>
          <w:tcPr>
            <w:tcW w:w="1530" w:type="dxa"/>
          </w:tcPr>
          <w:p>
            <w:pPr>
              <w:adjustRightInd w:val="0"/>
              <w:snapToGrid w:val="0"/>
              <w:spacing w:line="560" w:lineRule="exact"/>
              <w:ind w:firstLine="640" w:firstLineChars="200"/>
              <w:jc w:val="center"/>
              <w:rPr>
                <w:rFonts w:ascii="仿宋_GB2312" w:eastAsia="仿宋_GB2312"/>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adjustRightInd w:val="0"/>
              <w:snapToGrid w:val="0"/>
              <w:spacing w:line="560" w:lineRule="exact"/>
              <w:jc w:val="cente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w:t>
            </w:r>
          </w:p>
        </w:tc>
        <w:tc>
          <w:tcPr>
            <w:tcW w:w="1335" w:type="dxa"/>
            <w:vAlign w:val="top"/>
          </w:tcPr>
          <w:p>
            <w:pPr>
              <w:adjustRightInd w:val="0"/>
              <w:snapToGrid w:val="0"/>
              <w:spacing w:line="560" w:lineRule="exact"/>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王翠敏</w:t>
            </w:r>
          </w:p>
        </w:tc>
        <w:tc>
          <w:tcPr>
            <w:tcW w:w="1515" w:type="dxa"/>
            <w:vAlign w:val="top"/>
          </w:tcPr>
          <w:p>
            <w:pPr>
              <w:adjustRightInd w:val="0"/>
              <w:snapToGrid w:val="0"/>
              <w:spacing w:line="560" w:lineRule="exact"/>
              <w:jc w:val="center"/>
              <w:rPr>
                <w:rFonts w:hint="eastAsia" w:ascii="仿宋_GB2312" w:eastAsia="仿宋_GB2312"/>
                <w:sz w:val="32"/>
                <w:szCs w:val="32"/>
                <w:highlight w:val="none"/>
              </w:rPr>
            </w:pPr>
            <w:r>
              <w:rPr>
                <w:rFonts w:hint="eastAsia" w:ascii="仿宋_GB2312" w:eastAsia="仿宋_GB2312"/>
                <w:sz w:val="32"/>
                <w:szCs w:val="32"/>
                <w:highlight w:val="none"/>
              </w:rPr>
              <w:t>宣传部</w:t>
            </w:r>
          </w:p>
        </w:tc>
        <w:tc>
          <w:tcPr>
            <w:tcW w:w="3600" w:type="dxa"/>
            <w:vAlign w:val="top"/>
          </w:tcPr>
          <w:p>
            <w:pPr>
              <w:adjustRightInd w:val="0"/>
              <w:snapToGrid w:val="0"/>
              <w:spacing w:line="560" w:lineRule="exact"/>
              <w:jc w:val="center"/>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部务会成员</w:t>
            </w:r>
          </w:p>
        </w:tc>
        <w:tc>
          <w:tcPr>
            <w:tcW w:w="1530" w:type="dxa"/>
          </w:tcPr>
          <w:p>
            <w:pPr>
              <w:adjustRightInd w:val="0"/>
              <w:snapToGrid w:val="0"/>
              <w:spacing w:line="560" w:lineRule="exact"/>
              <w:ind w:firstLine="640" w:firstLineChars="200"/>
              <w:jc w:val="center"/>
              <w:rPr>
                <w:rFonts w:ascii="仿宋_GB2312" w:eastAsia="仿宋_GB2312"/>
                <w:sz w:val="32"/>
                <w:szCs w:val="32"/>
                <w:highlight w:val="none"/>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仿宋_GB2312"/>
    <w:panose1 w:val="02000000000000000000"/>
    <w:charset w:val="86"/>
    <w:family w:val="auto"/>
    <w:pitch w:val="default"/>
    <w:sig w:usb0="00000000" w:usb1="00000000"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6F00733"/>
    <w:rsid w:val="0B9D4CB5"/>
    <w:rsid w:val="13B61930"/>
    <w:rsid w:val="1A3B21A2"/>
    <w:rsid w:val="1BAF1154"/>
    <w:rsid w:val="1C655171"/>
    <w:rsid w:val="20276775"/>
    <w:rsid w:val="24C32464"/>
    <w:rsid w:val="26B75F6B"/>
    <w:rsid w:val="2BE83F94"/>
    <w:rsid w:val="2F2C2A40"/>
    <w:rsid w:val="344704E1"/>
    <w:rsid w:val="39744C0B"/>
    <w:rsid w:val="3AEF6FE7"/>
    <w:rsid w:val="40016CB8"/>
    <w:rsid w:val="420D2EE6"/>
    <w:rsid w:val="441F3676"/>
    <w:rsid w:val="493B718D"/>
    <w:rsid w:val="53A42ADD"/>
    <w:rsid w:val="54017769"/>
    <w:rsid w:val="563B01B4"/>
    <w:rsid w:val="56604927"/>
    <w:rsid w:val="590F0BE0"/>
    <w:rsid w:val="5C4A315B"/>
    <w:rsid w:val="661D3074"/>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unhideWhenUsed/>
    <w:qFormat/>
    <w:uiPriority w:val="1"/>
  </w:style>
  <w:style w:type="table" w:default="1" w:styleId="8">
    <w:name w:val="Normal Table"/>
    <w:autoRedefine/>
    <w:unhideWhenUsed/>
    <w:qFormat/>
    <w:uiPriority w:val="99"/>
    <w:tblPr>
      <w:tblCellMar>
        <w:top w:w="0" w:type="dxa"/>
        <w:left w:w="108" w:type="dxa"/>
        <w:bottom w:w="0" w:type="dxa"/>
        <w:right w:w="108" w:type="dxa"/>
      </w:tblCellMar>
    </w:tblPr>
  </w:style>
  <w:style w:type="paragraph" w:customStyle="1" w:styleId="2">
    <w:name w:val="NormalIndent"/>
    <w:basedOn w:val="1"/>
    <w:autoRedefine/>
    <w:qFormat/>
    <w:uiPriority w:val="0"/>
    <w:pPr>
      <w:ind w:firstLine="420" w:firstLineChars="200"/>
      <w:jc w:val="both"/>
      <w:textAlignment w:val="baseline"/>
    </w:pPr>
  </w:style>
  <w:style w:type="paragraph" w:styleId="3">
    <w:name w:val="Body Text Indent"/>
    <w:basedOn w:val="1"/>
    <w:next w:val="4"/>
    <w:qFormat/>
    <w:uiPriority w:val="0"/>
    <w:pPr>
      <w:spacing w:after="120" w:afterLines="0" w:afterAutospacing="0"/>
      <w:ind w:left="420" w:leftChars="200"/>
    </w:pPr>
  </w:style>
  <w:style w:type="paragraph" w:styleId="4">
    <w:name w:val="Subtitle"/>
    <w:basedOn w:val="1"/>
    <w:next w:val="1"/>
    <w:qFormat/>
    <w:uiPriority w:val="11"/>
    <w:pPr>
      <w:wordWrap w:val="0"/>
      <w:spacing w:after="60" w:afterLines="0"/>
      <w:jc w:val="center"/>
    </w:pPr>
    <w:rPr>
      <w:rFonts w:ascii="Calibri" w:hAnsi="Calibri" w:eastAsia="宋体" w:cs="Times New Roman"/>
      <w:sz w:val="24"/>
      <w:szCs w:val="22"/>
      <w:lang w:val="en-US" w:eastAsia="zh-CN" w:bidi="ar-SA"/>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Body Text First Indent 2"/>
    <w:basedOn w:val="3"/>
    <w:next w:val="1"/>
    <w:qFormat/>
    <w:uiPriority w:val="0"/>
    <w:pPr>
      <w:ind w:firstLine="200" w:firstLineChars="200"/>
    </w:p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页眉 Char"/>
    <w:basedOn w:val="10"/>
    <w:link w:val="6"/>
    <w:qFormat/>
    <w:uiPriority w:val="99"/>
    <w:rPr>
      <w:sz w:val="18"/>
      <w:szCs w:val="18"/>
    </w:rPr>
  </w:style>
  <w:style w:type="character" w:customStyle="1" w:styleId="12">
    <w:name w:val="页脚 Char"/>
    <w:basedOn w:val="10"/>
    <w:link w:val="5"/>
    <w:qFormat/>
    <w:uiPriority w:val="99"/>
    <w:rPr>
      <w:sz w:val="18"/>
      <w:szCs w:val="18"/>
    </w:rPr>
  </w:style>
  <w:style w:type="paragraph" w:customStyle="1" w:styleId="13">
    <w:name w:val="Body Text First Indent 21"/>
    <w:basedOn w:val="14"/>
    <w:qFormat/>
    <w:uiPriority w:val="0"/>
    <w:pPr>
      <w:ind w:firstLine="420"/>
    </w:pPr>
    <w:rPr>
      <w:rFonts w:ascii="Calibri" w:hAnsi="Calibri" w:eastAsia="宋体" w:cs="Times New Roman"/>
    </w:rPr>
  </w:style>
  <w:style w:type="paragraph" w:customStyle="1" w:styleId="14">
    <w:name w:val="Body Text Indent1"/>
    <w:basedOn w:val="1"/>
    <w:qFormat/>
    <w:uiPriority w:val="0"/>
    <w:pPr>
      <w:spacing w:line="360" w:lineRule="auto"/>
      <w:ind w:firstLine="200" w:firstLineChars="200"/>
      <w:textAlignment w:val="baseline"/>
    </w:pPr>
    <w:rPr>
      <w:rFonts w:ascii="Calibri" w:hAnsi="Calibri" w:eastAsia="宋体" w:cs="Times New Roman"/>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1560</Words>
  <Characters>1600</Characters>
  <Lines>3</Lines>
  <Paragraphs>1</Paragraphs>
  <TotalTime>453</TotalTime>
  <ScaleCrop>false</ScaleCrop>
  <LinksUpToDate>false</LinksUpToDate>
  <CharactersWithSpaces>1600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Candise·聪·</cp:lastModifiedBy>
  <cp:lastPrinted>2021-02-24T05:43:00Z</cp:lastPrinted>
  <dcterms:modified xsi:type="dcterms:W3CDTF">2024-05-28T08:12:26Z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42442A8E59DA4F0782D1B9D0FA746CCA_13</vt:lpwstr>
  </property>
</Properties>
</file>