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政协石家庄市藁城区委员会办公室</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则，对政协石家庄市藁城区委员会办公室202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widowControl/>
        <w:suppressLineNumbers w:val="0"/>
        <w:ind w:firstLine="643" w:firstLineChars="200"/>
        <w:jc w:val="left"/>
        <w:rPr>
          <w:rFonts w:ascii="仿宋" w:hAnsi="仿宋" w:eastAsia="仿宋" w:cs="仿宋"/>
          <w:b/>
          <w:bCs/>
          <w:color w:val="000000"/>
          <w:kern w:val="0"/>
          <w:sz w:val="32"/>
          <w:szCs w:val="32"/>
          <w:lang w:val="en-US" w:eastAsia="zh-CN" w:bidi="ar"/>
        </w:rPr>
      </w:pPr>
      <w:r>
        <w:rPr>
          <w:rFonts w:ascii="仿宋" w:hAnsi="仿宋" w:eastAsia="仿宋" w:cs="仿宋"/>
          <w:b/>
          <w:bCs/>
          <w:color w:val="000000"/>
          <w:kern w:val="0"/>
          <w:sz w:val="32"/>
          <w:szCs w:val="32"/>
          <w:lang w:val="en-US" w:eastAsia="zh-CN" w:bidi="ar"/>
        </w:rPr>
        <w:t>1．主要职能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政治协商：就区大政方针以及政治、经济、文化、社会和生态文明中的重要问题在决策之前进行协商和就决策执行过程中的重要问题进行协商。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民主监督：履行民主监督职责。通过意见、建议批评的方式对国家法律法规的实施、执行、党委和政府的工作进行政治监督。完善民主监督机制，将社情民意、委员提案、委员视察、等活动中，提高民主监督质量和成效。</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b/>
          <w:bCs/>
          <w:color w:val="000000"/>
          <w:kern w:val="0"/>
          <w:sz w:val="32"/>
          <w:szCs w:val="32"/>
          <w:lang w:val="en-US" w:eastAsia="zh-CN" w:bidi="ar"/>
        </w:rPr>
      </w:pPr>
      <w:r>
        <w:rPr>
          <w:rFonts w:hint="eastAsia" w:ascii="仿宋_GB2312" w:hAnsi="仿宋_GB2312" w:eastAsia="仿宋_GB2312" w:cs="仿宋_GB2312"/>
          <w:sz w:val="32"/>
          <w:szCs w:val="32"/>
          <w:highlight w:val="none"/>
          <w:lang w:val="en-US" w:eastAsia="zh-CN"/>
        </w:rP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r>
        <w:rPr>
          <w:rFonts w:hint="eastAsia" w:ascii="仿宋" w:hAnsi="仿宋" w:eastAsia="仿宋" w:cs="仿宋"/>
          <w:b/>
          <w:bCs/>
          <w:color w:val="000000"/>
          <w:kern w:val="0"/>
          <w:sz w:val="32"/>
          <w:szCs w:val="32"/>
          <w:lang w:val="en-US" w:eastAsia="zh-CN" w:bidi="ar"/>
        </w:rPr>
        <w:t>2．机构情况</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2023年度，纳入本部门决算汇编范围的独立核算单位（以下简称“单位”）共1个：政协石家庄市藁城区委员会办公室。单位基本性质为行政单位，预算管理级次为本级预算单位。</w:t>
      </w:r>
    </w:p>
    <w:p>
      <w:pPr>
        <w:keepNext w:val="0"/>
        <w:keepLines w:val="0"/>
        <w:widowControl/>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3．人员情况</w:t>
      </w:r>
    </w:p>
    <w:p>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我单位202</w:t>
      </w:r>
      <w:r>
        <w:rPr>
          <w:rFonts w:hint="eastAsia" w:ascii="仿宋" w:hAnsi="仿宋" w:eastAsia="仿宋" w:cs="仿宋"/>
          <w:b w:val="0"/>
          <w:bCs w:val="0"/>
          <w:color w:val="auto"/>
          <w:kern w:val="0"/>
          <w:sz w:val="32"/>
          <w:szCs w:val="32"/>
          <w:lang w:val="en-US" w:eastAsia="zh-CN" w:bidi="ar"/>
        </w:rPr>
        <w:t>3年年末实有31人，其中：行政年末实有23人，行政工勤年末实有4人，事业年末实有4人。</w:t>
      </w:r>
    </w:p>
    <w:p>
      <w:pPr>
        <w:keepNext w:val="0"/>
        <w:keepLines w:val="0"/>
        <w:widowControl/>
        <w:numPr>
          <w:ilvl w:val="0"/>
          <w:numId w:val="1"/>
        </w:numPr>
        <w:suppressLineNumbers w:val="0"/>
        <w:ind w:firstLine="640" w:firstLineChars="200"/>
        <w:jc w:val="left"/>
        <w:rPr>
          <w:rFonts w:hint="eastAsia" w:ascii="楷体" w:hAnsi="楷体" w:eastAsia="楷体" w:cs="楷体"/>
          <w:b w:val="0"/>
          <w:bCs w:val="0"/>
          <w:color w:val="000000"/>
          <w:kern w:val="0"/>
          <w:sz w:val="32"/>
          <w:szCs w:val="32"/>
          <w:lang w:val="en-US" w:eastAsia="zh-CN" w:bidi="ar"/>
        </w:rPr>
      </w:pPr>
      <w:r>
        <w:rPr>
          <w:rFonts w:hint="eastAsia" w:ascii="楷体" w:hAnsi="楷体" w:eastAsia="楷体" w:cs="楷体"/>
          <w:b w:val="0"/>
          <w:bCs w:val="0"/>
          <w:color w:val="000000"/>
          <w:kern w:val="0"/>
          <w:sz w:val="32"/>
          <w:szCs w:val="32"/>
          <w:lang w:val="en-US" w:eastAsia="zh-CN" w:bidi="ar"/>
        </w:rPr>
        <w:t>部门收支预决算情况</w:t>
      </w:r>
    </w:p>
    <w:p>
      <w:pPr>
        <w:keepNext w:val="0"/>
        <w:keepLines w:val="0"/>
        <w:widowControl/>
        <w:numPr>
          <w:ilvl w:val="0"/>
          <w:numId w:val="0"/>
        </w:numPr>
        <w:suppressLineNumbers w:val="0"/>
        <w:ind w:firstLine="640" w:firstLineChars="200"/>
        <w:jc w:val="left"/>
        <w:rPr>
          <w:rFonts w:hint="default"/>
          <w:lang w:val="en-US"/>
        </w:rPr>
      </w:pPr>
      <w:r>
        <w:rPr>
          <w:rFonts w:hint="eastAsia" w:ascii="仿宋" w:hAnsi="仿宋" w:eastAsia="仿宋" w:cs="仿宋"/>
          <w:b w:val="0"/>
          <w:bCs w:val="0"/>
          <w:color w:val="000000"/>
          <w:kern w:val="0"/>
          <w:sz w:val="32"/>
          <w:szCs w:val="32"/>
          <w:lang w:val="en-US" w:eastAsia="zh-CN" w:bidi="ar"/>
        </w:rPr>
        <w:t>2023年项目经费调整预算数67.45万元，共4个项目，实际支出合计67.3645万元。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color w:val="000000"/>
          <w:kern w:val="0"/>
          <w:sz w:val="32"/>
          <w:szCs w:val="32"/>
          <w:lang w:val="en-US" w:eastAsia="zh-CN" w:bidi="ar"/>
        </w:rPr>
        <w:t>参照部门预算绩效文本中绩效目标、指标。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从整体情况看，我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严格按照年初预算进行部门整体支出，在支出过程中，严格遵守各项规章制度。项目经费做到专款专用，按项目实施计划进行资金拨付，执行先有预算后有执行的支付原则。</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rPr>
      </w:pPr>
      <w:r>
        <w:rPr>
          <w:rFonts w:hint="eastAsia" w:ascii="仿宋" w:hAnsi="仿宋" w:eastAsia="仿宋" w:cs="仿宋"/>
          <w:b w:val="0"/>
          <w:bCs w:val="0"/>
          <w:color w:val="000000"/>
          <w:sz w:val="32"/>
          <w:szCs w:val="32"/>
        </w:rPr>
        <w:t>成立了以办公室主任为组长的“财政专项资金绩效评价工作领导小组”，加强财政专项资金绩效自评工作的组织和领导，抽调</w:t>
      </w:r>
      <w:r>
        <w:rPr>
          <w:rFonts w:hint="eastAsia" w:ascii="仿宋" w:hAnsi="仿宋" w:eastAsia="仿宋" w:cs="仿宋"/>
          <w:b w:val="0"/>
          <w:bCs w:val="0"/>
          <w:color w:val="000000"/>
          <w:sz w:val="32"/>
          <w:szCs w:val="32"/>
          <w:lang w:val="en-US" w:eastAsia="zh-CN"/>
        </w:rPr>
        <w:t>3</w:t>
      </w:r>
      <w:r>
        <w:rPr>
          <w:rFonts w:hint="eastAsia" w:ascii="仿宋" w:hAnsi="仿宋" w:eastAsia="仿宋" w:cs="仿宋"/>
          <w:b w:val="0"/>
          <w:bCs w:val="0"/>
          <w:color w:val="000000"/>
          <w:sz w:val="32"/>
          <w:szCs w:val="32"/>
        </w:rPr>
        <w:t>名人员具体负责项目自评工作，确保绩效自评工作顺利进行。</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keepNext w:val="0"/>
        <w:keepLines w:val="0"/>
        <w:widowControl/>
        <w:suppressLineNumbers w:val="0"/>
        <w:ind w:firstLine="643" w:firstLineChars="200"/>
        <w:jc w:val="left"/>
      </w:pPr>
      <w:r>
        <w:rPr>
          <w:rFonts w:hint="eastAsia" w:ascii="仿宋" w:hAnsi="仿宋" w:eastAsia="仿宋" w:cs="仿宋"/>
          <w:b/>
          <w:bCs/>
          <w:color w:val="000000"/>
          <w:kern w:val="0"/>
          <w:sz w:val="32"/>
          <w:szCs w:val="32"/>
          <w:lang w:val="en-US" w:eastAsia="zh-CN" w:bidi="ar"/>
        </w:rPr>
        <w:t>1</w:t>
      </w:r>
      <w:r>
        <w:rPr>
          <w:rFonts w:ascii="仿宋" w:hAnsi="仿宋" w:eastAsia="仿宋" w:cs="仿宋"/>
          <w:b/>
          <w:bCs/>
          <w:color w:val="000000"/>
          <w:kern w:val="0"/>
          <w:sz w:val="32"/>
          <w:szCs w:val="32"/>
          <w:lang w:val="en-US" w:eastAsia="zh-CN" w:bidi="ar"/>
        </w:rPr>
        <w:t>、组织实施。</w:t>
      </w:r>
      <w:r>
        <w:rPr>
          <w:rFonts w:hint="eastAsia" w:ascii="仿宋" w:hAnsi="仿宋" w:eastAsia="仿宋" w:cs="仿宋"/>
          <w:b w:val="0"/>
          <w:bCs w:val="0"/>
          <w:color w:val="000000"/>
          <w:kern w:val="0"/>
          <w:sz w:val="32"/>
          <w:szCs w:val="32"/>
          <w:lang w:val="en-US" w:eastAsia="zh-CN" w:bidi="ar"/>
        </w:rPr>
        <w:t>按照区政协绩效评价领导小组的工作安排，研究了2023年度项目绩效评价工作方案，从时间安排、程序步骤、评价方法、工作分工等方面进行了明确，遵循“客观、公正、科学、规范”的原则开展项目绩效评价工作，对机关4个专项项目进行了绩效综合评价。项目绩效自评率达100%。</w:t>
      </w:r>
    </w:p>
    <w:p>
      <w:pPr>
        <w:keepNext w:val="0"/>
        <w:keepLines w:val="0"/>
        <w:widowControl/>
        <w:suppressLineNumbers w:val="0"/>
        <w:ind w:firstLine="643" w:firstLineChars="200"/>
        <w:jc w:val="left"/>
        <w:rPr>
          <w:rFonts w:hint="default" w:ascii="仿宋" w:hAnsi="仿宋" w:eastAsia="仿宋" w:cs="仿宋"/>
          <w:sz w:val="32"/>
          <w:szCs w:val="32"/>
          <w:lang w:val="en-US" w:eastAsia="zh-CN"/>
        </w:rPr>
      </w:pPr>
      <w:r>
        <w:rPr>
          <w:rFonts w:hint="eastAsia" w:ascii="仿宋" w:hAnsi="仿宋" w:eastAsia="仿宋" w:cs="仿宋"/>
          <w:b/>
          <w:bCs/>
          <w:color w:val="000000"/>
          <w:kern w:val="0"/>
          <w:sz w:val="32"/>
          <w:szCs w:val="32"/>
          <w:lang w:val="en-US" w:eastAsia="zh-CN" w:bidi="ar"/>
        </w:rPr>
        <w:t>2、分析评价。</w:t>
      </w:r>
      <w:r>
        <w:rPr>
          <w:rFonts w:hint="eastAsia" w:ascii="仿宋" w:hAnsi="仿宋" w:eastAsia="仿宋" w:cs="仿宋"/>
          <w:b w:val="0"/>
          <w:bCs w:val="0"/>
          <w:color w:val="000000"/>
          <w:kern w:val="0"/>
          <w:sz w:val="32"/>
          <w:szCs w:val="32"/>
          <w:lang w:val="en-US" w:eastAsia="zh-CN" w:bidi="ar"/>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bCs/>
          <w:color w:val="000000"/>
          <w:sz w:val="32"/>
          <w:szCs w:val="32"/>
        </w:rPr>
      </w:pPr>
      <w:r>
        <w:rPr>
          <w:rFonts w:ascii="仿宋" w:hAnsi="仿宋" w:eastAsia="仿宋" w:cs="仿宋"/>
          <w:b w:val="0"/>
          <w:bCs w:val="0"/>
          <w:color w:val="000000"/>
          <w:sz w:val="32"/>
          <w:szCs w:val="32"/>
        </w:rPr>
        <w:t>通过对2023年度专项项目进行绩效自评，</w:t>
      </w:r>
      <w:r>
        <w:rPr>
          <w:rFonts w:hint="eastAsia" w:ascii="仿宋" w:hAnsi="仿宋" w:eastAsia="仿宋" w:cs="仿宋"/>
          <w:b w:val="0"/>
          <w:bCs w:val="0"/>
          <w:color w:val="000000"/>
          <w:sz w:val="32"/>
          <w:szCs w:val="32"/>
          <w:lang w:val="en-US" w:eastAsia="zh-CN"/>
        </w:rPr>
        <w:t>4</w:t>
      </w:r>
      <w:r>
        <w:rPr>
          <w:rFonts w:ascii="仿宋" w:hAnsi="仿宋" w:eastAsia="仿宋" w:cs="仿宋"/>
          <w:b w:val="0"/>
          <w:bCs w:val="0"/>
          <w:color w:val="000000"/>
          <w:sz w:val="32"/>
          <w:szCs w:val="32"/>
        </w:rPr>
        <w:t>个项目的产出和效果指标都全部完成，自评得分全部为</w:t>
      </w:r>
      <w:r>
        <w:rPr>
          <w:rFonts w:hint="eastAsia" w:ascii="仿宋" w:hAnsi="仿宋" w:eastAsia="仿宋" w:cs="仿宋"/>
          <w:b w:val="0"/>
          <w:bCs w:val="0"/>
          <w:color w:val="000000"/>
          <w:sz w:val="32"/>
          <w:szCs w:val="32"/>
          <w:lang w:val="en-US" w:eastAsia="zh-CN"/>
        </w:rPr>
        <w:t>95</w:t>
      </w:r>
      <w:r>
        <w:rPr>
          <w:rFonts w:ascii="仿宋" w:hAnsi="仿宋" w:eastAsia="仿宋" w:cs="仿宋"/>
          <w:b w:val="0"/>
          <w:bCs w:val="0"/>
          <w:color w:val="000000"/>
          <w:sz w:val="32"/>
          <w:szCs w:val="32"/>
        </w:rPr>
        <w:t>分以上，自评结果为优秀。虽然完成率较好，但也存在部分指标设置不科学、不合理的问题，下一步将进一步优化。</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分项绩效目标实现情况及指标分析</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1.组织召开政协会议活动</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绩效目标：完善各项会议制度，规范会议程序，提高会议质量，提高政治协商水平。</w:t>
      </w:r>
    </w:p>
    <w:p>
      <w:pPr>
        <w:numPr>
          <w:ilvl w:val="0"/>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绩效指标：政协全体会议、政协常委会议等重要会议任务完成率达到100%。</w:t>
      </w:r>
    </w:p>
    <w:p>
      <w:pPr>
        <w:numPr>
          <w:ilvl w:val="0"/>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2.组织开展民主监督工作和提案办理</w:t>
      </w:r>
    </w:p>
    <w:p>
      <w:pPr>
        <w:numPr>
          <w:ilvl w:val="0"/>
          <w:numId w:val="0"/>
        </w:numPr>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绩效目标：紧扣区委、区政府决策部署和政策措施的贯彻落实民主监督，协助党委政府更好地解决问题、推动工作。完善提案审查、立案、办理、反馈和协商机制，做到提案程序更加规范，制度更加完善，委员提案质量和办理效果不断提高，政协委员履职作用更有成效。</w:t>
      </w:r>
    </w:p>
    <w:p>
      <w:pPr>
        <w:numPr>
          <w:ilvl w:val="0"/>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绩效指标：按照政协党组监督计划，组织委员开展监督活动。</w:t>
      </w:r>
    </w:p>
    <w:p>
      <w:pPr>
        <w:numPr>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3.组织开展专题调研活动、做好社情民意信息反映工作</w:t>
      </w:r>
    </w:p>
    <w:p>
      <w:pPr>
        <w:numPr>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目标：围绕全区大局和政协工作，深入开展调查研究，打牢协商议政和咨政建言的基础。通过调研提出客观、有价值、有份量、有影响的意见和建议，促进党委决策民主化和科学化。通过界别群众渠道密切联系群众，反映神情民意，努力做到协商关系化解矛盾，理顺情绪，增进社会各阶层不同利益群众群体和谐稳定。</w:t>
      </w:r>
    </w:p>
    <w:p>
      <w:pPr>
        <w:numPr>
          <w:ilvl w:val="0"/>
          <w:numId w:val="0"/>
        </w:numPr>
        <w:ind w:lef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绩效指标：按照政协党组调研计划，组织委员开展重点课题调研。协商调研视察报告和提案、大会发言等提交不少于100篇，重点采纳不少于10篇。</w:t>
      </w:r>
    </w:p>
    <w:p>
      <w:pPr>
        <w:numPr>
          <w:ilvl w:val="0"/>
          <w:numId w:val="0"/>
        </w:numPr>
        <w:ind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4.抓好机关建设，做好服务保障工作。</w:t>
      </w:r>
    </w:p>
    <w:p>
      <w:pPr>
        <w:numPr>
          <w:ilvl w:val="0"/>
          <w:numId w:val="0"/>
        </w:numPr>
        <w:ind w:left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绩效目标：加强政协机关自身建设，理论研究、干部管理、信息和宣传工作，政协自身建设质量更加扎实，理论研究成果丰硕，宣传报道工作成效明显，后勤服务保障更加有力，信息化能力更加提升 。</w:t>
      </w:r>
    </w:p>
    <w:p>
      <w:pPr>
        <w:numPr>
          <w:ilvl w:val="0"/>
          <w:numId w:val="0"/>
        </w:numPr>
        <w:ind w:lef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绩效指标：分批组织机关干部培训，组织开展政协理论研讨会。做好机关物业服务管理</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pPr>
      <w:r>
        <w:rPr>
          <w:rFonts w:ascii="仿宋" w:hAnsi="仿宋" w:eastAsia="仿宋" w:cs="仿宋"/>
          <w:b w:val="0"/>
          <w:bCs w:val="0"/>
          <w:color w:val="000000"/>
          <w:kern w:val="0"/>
          <w:sz w:val="32"/>
          <w:szCs w:val="32"/>
          <w:lang w:val="en-US" w:eastAsia="zh-CN" w:bidi="ar"/>
        </w:rPr>
        <w:t>参与本次评价的项目共计</w:t>
      </w:r>
      <w:r>
        <w:rPr>
          <w:rFonts w:hint="eastAsia" w:ascii="仿宋" w:hAnsi="仿宋" w:eastAsia="仿宋" w:cs="仿宋"/>
          <w:b w:val="0"/>
          <w:bCs w:val="0"/>
          <w:color w:val="000000"/>
          <w:kern w:val="0"/>
          <w:sz w:val="32"/>
          <w:szCs w:val="32"/>
          <w:lang w:val="en-US" w:eastAsia="zh-CN" w:bidi="ar"/>
        </w:rPr>
        <w:t>4</w:t>
      </w:r>
      <w:r>
        <w:rPr>
          <w:rFonts w:ascii="仿宋" w:hAnsi="仿宋" w:eastAsia="仿宋" w:cs="仿宋"/>
          <w:b w:val="0"/>
          <w:bCs w:val="0"/>
          <w:color w:val="000000"/>
          <w:kern w:val="0"/>
          <w:sz w:val="32"/>
          <w:szCs w:val="32"/>
          <w:lang w:val="en-US" w:eastAsia="zh-CN" w:bidi="ar"/>
        </w:rPr>
        <w:t>个，</w:t>
      </w:r>
      <w:r>
        <w:rPr>
          <w:rFonts w:hint="eastAsia" w:ascii="仿宋" w:hAnsi="仿宋" w:eastAsia="仿宋" w:cs="仿宋"/>
          <w:b w:val="0"/>
          <w:bCs w:val="0"/>
          <w:color w:val="000000"/>
          <w:kern w:val="0"/>
          <w:sz w:val="32"/>
          <w:szCs w:val="32"/>
          <w:lang w:val="en-US" w:eastAsia="zh-CN" w:bidi="ar"/>
        </w:rPr>
        <w:t>4</w:t>
      </w:r>
      <w:r>
        <w:rPr>
          <w:rFonts w:ascii="仿宋" w:hAnsi="仿宋" w:eastAsia="仿宋" w:cs="仿宋"/>
          <w:b w:val="0"/>
          <w:bCs w:val="0"/>
          <w:color w:val="000000"/>
          <w:kern w:val="0"/>
          <w:sz w:val="32"/>
          <w:szCs w:val="32"/>
          <w:lang w:val="en-US" w:eastAsia="zh-CN" w:bidi="ar"/>
        </w:rPr>
        <w:t>个项目评价等级均为</w:t>
      </w:r>
      <w:r>
        <w:rPr>
          <w:rFonts w:hint="eastAsia" w:ascii="仿宋" w:hAnsi="仿宋" w:eastAsia="仿宋" w:cs="仿宋"/>
          <w:b w:val="0"/>
          <w:bCs w:val="0"/>
          <w:color w:val="000000"/>
          <w:kern w:val="0"/>
          <w:sz w:val="32"/>
          <w:szCs w:val="32"/>
          <w:lang w:val="en-US" w:eastAsia="zh-CN" w:bidi="ar"/>
        </w:rPr>
        <w:t>“优秀”。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ascii="仿宋" w:hAnsi="仿宋" w:eastAsia="仿宋" w:cs="仿宋"/>
          <w:b w:val="0"/>
          <w:bCs w:val="0"/>
          <w:color w:val="000000"/>
          <w:sz w:val="32"/>
          <w:szCs w:val="32"/>
        </w:rPr>
        <w:t>结果应用不足。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w:t>
      </w:r>
      <w:bookmarkStart w:id="0" w:name="_GoBack"/>
      <w:bookmarkEnd w:id="0"/>
      <w:r>
        <w:rPr>
          <w:rFonts w:hint="eastAsia" w:ascii="楷体_GB2312" w:hAnsi="楷体_GB2312" w:eastAsia="楷体_GB2312" w:cs="楷体_GB2312"/>
          <w:bCs/>
          <w:sz w:val="32"/>
          <w:szCs w:val="32"/>
        </w:rPr>
        <w:t>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kern w:val="0"/>
          <w:sz w:val="32"/>
          <w:szCs w:val="32"/>
          <w:lang w:val="en-US" w:eastAsia="zh-CN" w:bidi="ar"/>
        </w:rPr>
      </w:pPr>
      <w:r>
        <w:rPr>
          <w:rFonts w:ascii="仿宋" w:hAnsi="仿宋" w:eastAsia="仿宋" w:cs="仿宋"/>
          <w:b w:val="0"/>
          <w:bCs w:val="0"/>
          <w:color w:val="000000"/>
          <w:kern w:val="0"/>
          <w:sz w:val="32"/>
          <w:szCs w:val="32"/>
          <w:lang w:val="en-US" w:eastAsia="zh-CN" w:bidi="ar"/>
        </w:rPr>
        <w:t>加强预算管理，要进一步加强事前、事中及事后预算的管理，充分评估工作安排的合理性，必要性，加大对预算编制与执行的监督管理力度，提高预算资金使用效率。项目年初预算编制前，要做好前期调研，设立绩效目标要充分考虑外界因素的影响；项目实施期间，要加强实时监控，及时纠正偏差，督促项目开展并要及时与相关部门沟通，减少资金闲置；项目实施后要总结历史经验，堵塞管理漏洞。</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pPr w:leftFromText="180" w:rightFromText="180" w:vertAnchor="text" w:horzAnchor="page" w:tblpXSpec="center" w:tblpY="178"/>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866"/>
        <w:gridCol w:w="2130"/>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jc w:val="center"/>
              <w:rPr>
                <w:rFonts w:hint="eastAsia" w:ascii="仿宋" w:hAnsi="仿宋" w:eastAsia="仿宋" w:cs="仿宋"/>
                <w:sz w:val="32"/>
                <w:szCs w:val="32"/>
              </w:rPr>
            </w:pPr>
            <w:r>
              <w:rPr>
                <w:rFonts w:hint="eastAsia" w:ascii="仿宋" w:hAnsi="仿宋" w:eastAsia="仿宋" w:cs="仿宋"/>
                <w:sz w:val="32"/>
                <w:szCs w:val="32"/>
              </w:rPr>
              <w:t>序号</w:t>
            </w:r>
          </w:p>
        </w:tc>
        <w:tc>
          <w:tcPr>
            <w:tcW w:w="1546" w:type="dxa"/>
            <w:noWrap w:val="0"/>
            <w:vAlign w:val="center"/>
          </w:tcPr>
          <w:p>
            <w:pPr>
              <w:jc w:val="center"/>
              <w:rPr>
                <w:rFonts w:hint="eastAsia" w:ascii="仿宋" w:hAnsi="仿宋" w:eastAsia="仿宋" w:cs="仿宋"/>
                <w:sz w:val="32"/>
                <w:szCs w:val="32"/>
              </w:rPr>
            </w:pPr>
            <w:r>
              <w:rPr>
                <w:rFonts w:hint="eastAsia" w:ascii="仿宋" w:hAnsi="仿宋" w:eastAsia="仿宋" w:cs="仿宋"/>
                <w:sz w:val="32"/>
                <w:szCs w:val="32"/>
              </w:rPr>
              <w:t>姓名</w:t>
            </w:r>
          </w:p>
        </w:tc>
        <w:tc>
          <w:tcPr>
            <w:tcW w:w="1866" w:type="dxa"/>
            <w:noWrap w:val="0"/>
            <w:vAlign w:val="center"/>
          </w:tcPr>
          <w:p>
            <w:pPr>
              <w:jc w:val="center"/>
              <w:rPr>
                <w:rFonts w:hint="eastAsia" w:ascii="仿宋" w:hAnsi="仿宋" w:eastAsia="仿宋" w:cs="仿宋"/>
                <w:sz w:val="32"/>
                <w:szCs w:val="32"/>
              </w:rPr>
            </w:pPr>
            <w:r>
              <w:rPr>
                <w:rFonts w:hint="eastAsia" w:ascii="仿宋" w:hAnsi="仿宋" w:eastAsia="仿宋" w:cs="仿宋"/>
                <w:sz w:val="32"/>
                <w:szCs w:val="32"/>
              </w:rPr>
              <w:t>工作单位</w:t>
            </w:r>
          </w:p>
        </w:tc>
        <w:tc>
          <w:tcPr>
            <w:tcW w:w="2130" w:type="dxa"/>
            <w:noWrap w:val="0"/>
            <w:vAlign w:val="center"/>
          </w:tcPr>
          <w:p>
            <w:pPr>
              <w:jc w:val="center"/>
              <w:rPr>
                <w:rFonts w:hint="eastAsia" w:ascii="仿宋" w:hAnsi="仿宋" w:eastAsia="仿宋" w:cs="仿宋"/>
                <w:sz w:val="32"/>
                <w:szCs w:val="32"/>
              </w:rPr>
            </w:pPr>
            <w:r>
              <w:rPr>
                <w:rFonts w:hint="eastAsia" w:ascii="仿宋" w:hAnsi="仿宋" w:eastAsia="仿宋" w:cs="仿宋"/>
                <w:sz w:val="32"/>
                <w:szCs w:val="32"/>
              </w:rPr>
              <w:t>职务</w:t>
            </w:r>
          </w:p>
        </w:tc>
        <w:tc>
          <w:tcPr>
            <w:tcW w:w="1389" w:type="dxa"/>
            <w:noWrap w:val="0"/>
            <w:vAlign w:val="center"/>
          </w:tcPr>
          <w:p>
            <w:pPr>
              <w:jc w:val="center"/>
              <w:rPr>
                <w:rFonts w:hint="eastAsia"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p>
        </w:tc>
        <w:tc>
          <w:tcPr>
            <w:tcW w:w="1546"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杨文平</w:t>
            </w:r>
          </w:p>
        </w:tc>
        <w:tc>
          <w:tcPr>
            <w:tcW w:w="1866" w:type="dxa"/>
            <w:noWrap w:val="0"/>
            <w:vAlign w:val="center"/>
          </w:tcPr>
          <w:p>
            <w:pPr>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政协办</w:t>
            </w:r>
          </w:p>
        </w:tc>
        <w:tc>
          <w:tcPr>
            <w:tcW w:w="2130" w:type="dxa"/>
            <w:noWrap w:val="0"/>
            <w:vAlign w:val="center"/>
          </w:tcPr>
          <w:p>
            <w:pPr>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政协办主任</w:t>
            </w:r>
          </w:p>
        </w:tc>
        <w:tc>
          <w:tcPr>
            <w:tcW w:w="1389" w:type="dxa"/>
            <w:noWrap w:val="0"/>
            <w:vAlign w:val="center"/>
          </w:tcPr>
          <w:p>
            <w:pPr>
              <w:jc w:val="center"/>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w:t>
            </w:r>
          </w:p>
        </w:tc>
        <w:tc>
          <w:tcPr>
            <w:tcW w:w="1546"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王根海</w:t>
            </w:r>
          </w:p>
        </w:tc>
        <w:tc>
          <w:tcPr>
            <w:tcW w:w="1866"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政协办</w:t>
            </w:r>
          </w:p>
        </w:tc>
        <w:tc>
          <w:tcPr>
            <w:tcW w:w="2130"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政协办经济委主任</w:t>
            </w:r>
          </w:p>
        </w:tc>
        <w:tc>
          <w:tcPr>
            <w:tcW w:w="1389" w:type="dxa"/>
            <w:noWrap w:val="0"/>
            <w:vAlign w:val="center"/>
          </w:tcPr>
          <w:p>
            <w:pPr>
              <w:jc w:val="center"/>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p>
        </w:tc>
        <w:tc>
          <w:tcPr>
            <w:tcW w:w="1546"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刘辉</w:t>
            </w:r>
          </w:p>
        </w:tc>
        <w:tc>
          <w:tcPr>
            <w:tcW w:w="1866"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政协办</w:t>
            </w:r>
          </w:p>
        </w:tc>
        <w:tc>
          <w:tcPr>
            <w:tcW w:w="2130" w:type="dxa"/>
            <w:noWrap w:val="0"/>
            <w:vAlign w:val="center"/>
          </w:tcPr>
          <w:p>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政协办四级主任科员</w:t>
            </w:r>
          </w:p>
        </w:tc>
        <w:tc>
          <w:tcPr>
            <w:tcW w:w="1389" w:type="dxa"/>
            <w:noWrap w:val="0"/>
            <w:vAlign w:val="center"/>
          </w:tcPr>
          <w:p>
            <w:pPr>
              <w:jc w:val="center"/>
              <w:rPr>
                <w:rFonts w:hint="eastAsia" w:ascii="仿宋" w:hAnsi="仿宋" w:eastAsia="仿宋" w:cs="仿宋"/>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1A3D307"/>
    <w:multiLevelType w:val="singleLevel"/>
    <w:tmpl w:val="D1A3D307"/>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CD73947"/>
    <w:multiLevelType w:val="singleLevel"/>
    <w:tmpl w:val="4CD73947"/>
    <w:lvl w:ilvl="0" w:tentative="0">
      <w:start w:val="2"/>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DdlNDUzODZkNDAxZGNmZDdjZTA3MzQzZGY5NGQ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20276775"/>
    <w:rsid w:val="26B75F6B"/>
    <w:rsid w:val="2830607E"/>
    <w:rsid w:val="2F2C2A40"/>
    <w:rsid w:val="302526F6"/>
    <w:rsid w:val="311C6161"/>
    <w:rsid w:val="344704E1"/>
    <w:rsid w:val="39744C0B"/>
    <w:rsid w:val="3AEF6FE7"/>
    <w:rsid w:val="441F3676"/>
    <w:rsid w:val="493B718D"/>
    <w:rsid w:val="4D605C0E"/>
    <w:rsid w:val="53A42ADD"/>
    <w:rsid w:val="563B01B4"/>
    <w:rsid w:val="56604927"/>
    <w:rsid w:val="590F0BE0"/>
    <w:rsid w:val="5A257CB1"/>
    <w:rsid w:val="5C4A315B"/>
    <w:rsid w:val="5FC5782B"/>
    <w:rsid w:val="61596E2A"/>
    <w:rsid w:val="661D3074"/>
    <w:rsid w:val="6B1C1E0E"/>
    <w:rsid w:val="6BDE7164"/>
    <w:rsid w:val="7FA97E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2185</Words>
  <Characters>2248</Characters>
  <Lines>3</Lines>
  <Paragraphs>1</Paragraphs>
  <TotalTime>3</TotalTime>
  <ScaleCrop>false</ScaleCrop>
  <LinksUpToDate>false</LinksUpToDate>
  <CharactersWithSpaces>2249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羽あ沉</cp:lastModifiedBy>
  <cp:lastPrinted>2021-02-24T05:43:00Z</cp:lastPrinted>
  <dcterms:modified xsi:type="dcterms:W3CDTF">2024-05-31T01:56:03Z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F69FF124363C48D68129DBB6B48475C5_13</vt:lpwstr>
  </property>
</Properties>
</file>