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widowControl w:val="0"/>
        <w:wordWrap/>
        <w:adjustRightInd/>
        <w:snapToGrid w:val="0"/>
        <w:spacing w:line="560" w:lineRule="exact"/>
        <w:ind w:left="0" w:leftChars="0" w:right="0" w:firstLine="880" w:firstLineChars="200"/>
        <w:jc w:val="center"/>
        <w:textAlignment w:val="auto"/>
        <w:outlineLvl w:val="9"/>
        <w:rPr>
          <w:rFonts w:hint="eastAsia" w:ascii="方正小标宋_GBK" w:hAnsi="方正小标宋_GBK" w:eastAsia="方正小标宋_GBK" w:cs="方正小标宋_GBK"/>
          <w:b w:val="0"/>
          <w:bCs w:val="0"/>
          <w:kern w:val="0"/>
          <w:sz w:val="44"/>
          <w:szCs w:val="44"/>
          <w:lang w:val="en-US"/>
        </w:rPr>
      </w:pPr>
      <w:r>
        <w:rPr>
          <w:rFonts w:hint="eastAsia" w:ascii="方正小标宋_GBK" w:hAnsi="方正小标宋_GBK" w:eastAsia="方正小标宋_GBK" w:cs="方正小标宋_GBK"/>
          <w:b w:val="0"/>
          <w:bCs w:val="0"/>
          <w:kern w:val="0"/>
          <w:sz w:val="44"/>
          <w:szCs w:val="44"/>
          <w:lang w:val="en-US" w:eastAsia="zh-CN"/>
        </w:rPr>
        <w:t>藁城区委网信办</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方正小标宋_GBK" w:hAnsi="方正小标宋_GBK" w:eastAsia="方正小标宋_GBK" w:cs="方正小标宋_GBK"/>
          <w:b w:val="0"/>
          <w:bCs w:val="0"/>
          <w:kern w:val="0"/>
          <w:sz w:val="44"/>
          <w:szCs w:val="44"/>
        </w:rPr>
        <w:t>部门年度</w:t>
      </w:r>
      <w:r>
        <w:rPr>
          <w:rFonts w:hint="eastAsia" w:ascii="方正小标宋_GBK" w:hAnsi="方正小标宋_GBK" w:eastAsia="方正小标宋_GBK" w:cs="方正小标宋_GBK"/>
          <w:b w:val="0"/>
          <w:bCs w:val="0"/>
          <w:kern w:val="0"/>
          <w:sz w:val="44"/>
          <w:szCs w:val="44"/>
          <w:lang w:eastAsia="zh-CN"/>
        </w:rPr>
        <w:t>整体支出</w:t>
      </w:r>
      <w:r>
        <w:rPr>
          <w:rFonts w:hint="eastAsia" w:ascii="方正小标宋_GBK" w:hAnsi="方正小标宋_GBK" w:eastAsia="方正小标宋_GBK" w:cs="方正小标宋_GBK"/>
          <w:b w:val="0"/>
          <w:bCs w:val="0"/>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区委网信办</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藁城区</w:t>
      </w:r>
      <w:r>
        <w:rPr>
          <w:rFonts w:hint="eastAsia" w:ascii="仿宋_GB2312" w:hAnsi="仿宋_GB2312" w:eastAsia="仿宋_GB2312" w:cs="仿宋_GB2312"/>
          <w:sz w:val="32"/>
          <w:szCs w:val="32"/>
          <w:lang w:val="en-US" w:eastAsia="zh-CN"/>
        </w:rPr>
        <w:t>委网信办</w:t>
      </w:r>
      <w:r>
        <w:rPr>
          <w:rFonts w:hint="eastAsia" w:ascii="仿宋_GB2312" w:hAnsi="仿宋_GB2312" w:eastAsia="仿宋_GB2312" w:cs="仿宋_GB2312"/>
          <w:sz w:val="32"/>
          <w:szCs w:val="32"/>
          <w:lang w:eastAsia="zh-CN"/>
        </w:rPr>
        <w:t>为区委正科级</w:t>
      </w:r>
      <w:r>
        <w:rPr>
          <w:rFonts w:hint="eastAsia" w:ascii="仿宋_GB2312" w:hAnsi="仿宋_GB2312" w:eastAsia="仿宋_GB2312" w:cs="仿宋_GB2312"/>
          <w:sz w:val="32"/>
          <w:szCs w:val="32"/>
          <w:lang w:val="en-US" w:eastAsia="zh-CN"/>
        </w:rPr>
        <w:t>行政机关</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lang w:val="en-US" w:eastAsia="zh-CN"/>
        </w:rPr>
        <w:t>13人，实有人数11人。内设综合股、网络宣传管理股、网络安全和信息化协调股。所属股级事业单位1个：石家庄市藁城区网络舆情中心。</w:t>
      </w:r>
    </w:p>
    <w:tbl>
      <w:tblPr>
        <w:tblStyle w:val="6"/>
        <w:tblpPr w:leftFromText="180" w:rightFromText="180" w:vertAnchor="text" w:horzAnchor="page" w:tblpX="1959" w:tblpY="109"/>
        <w:tblOverlap w:val="never"/>
        <w:tblW w:w="89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5"/>
        <w:gridCol w:w="2225"/>
        <w:gridCol w:w="2225"/>
        <w:gridCol w:w="22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tblHeader/>
        </w:trPr>
        <w:tc>
          <w:tcPr>
            <w:tcW w:w="2225" w:type="dxa"/>
            <w:vAlign w:val="center"/>
          </w:tcPr>
          <w:p>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单位名称</w:t>
            </w:r>
          </w:p>
        </w:tc>
        <w:tc>
          <w:tcPr>
            <w:tcW w:w="2225" w:type="dxa"/>
            <w:vAlign w:val="center"/>
          </w:tcPr>
          <w:p>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单位性质</w:t>
            </w:r>
          </w:p>
        </w:tc>
        <w:tc>
          <w:tcPr>
            <w:tcW w:w="2225" w:type="dxa"/>
            <w:vAlign w:val="center"/>
          </w:tcPr>
          <w:p>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单位规格</w:t>
            </w:r>
          </w:p>
        </w:tc>
        <w:tc>
          <w:tcPr>
            <w:tcW w:w="2225" w:type="dxa"/>
            <w:vAlign w:val="center"/>
          </w:tcPr>
          <w:p>
            <w:pPr>
              <w:pStyle w:val="1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8" w:hRule="atLeast"/>
        </w:trPr>
        <w:tc>
          <w:tcPr>
            <w:tcW w:w="2225" w:type="dxa"/>
            <w:vAlign w:val="center"/>
          </w:tcPr>
          <w:p>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中共石家庄市藁城区委网络安全和信息化委员会办公室本级</w:t>
            </w:r>
          </w:p>
        </w:tc>
        <w:tc>
          <w:tcPr>
            <w:tcW w:w="2225" w:type="dxa"/>
            <w:vAlign w:val="center"/>
          </w:tcPr>
          <w:p>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2225" w:type="dxa"/>
            <w:vAlign w:val="center"/>
          </w:tcPr>
          <w:p>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225" w:type="dxa"/>
            <w:vAlign w:val="center"/>
          </w:tcPr>
          <w:p>
            <w:pPr>
              <w:pStyle w:val="13"/>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2"/>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2023年部门年初预算收支安排均为293.93万元，其中项目收支预算均为项目支出117.87万元；2023年部门收支决算均为267.78万元，其中项目收支决算均为117.55万元。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2023年，区委网信办负责互联网信息内容、网络舆情信息管理工作，组织协调互联网宣传和舆论引导工作，推动网络阵地和网络文明建设工作，</w:t>
      </w:r>
      <w:r>
        <w:rPr>
          <w:rFonts w:hint="eastAsia" w:ascii="仿宋_GB2312" w:hAnsi="仿宋_GB2312" w:eastAsia="仿宋_GB2312" w:cs="仿宋_GB2312"/>
          <w:sz w:val="32"/>
          <w:szCs w:val="32"/>
        </w:rPr>
        <w:t>统筹协调全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网络安全保障体系和</w:t>
      </w:r>
      <w:r>
        <w:rPr>
          <w:rFonts w:hint="eastAsia" w:ascii="仿宋_GB2312" w:hAnsi="仿宋_GB2312" w:eastAsia="仿宋_GB2312" w:cs="仿宋_GB2312"/>
          <w:sz w:val="32"/>
          <w:szCs w:val="32"/>
          <w:lang w:val="en-US" w:eastAsia="zh-CN"/>
        </w:rPr>
        <w:t>网络综合治理</w:t>
      </w:r>
      <w:r>
        <w:rPr>
          <w:rFonts w:hint="eastAsia" w:ascii="仿宋_GB2312" w:hAnsi="仿宋_GB2312" w:eastAsia="仿宋_GB2312" w:cs="仿宋_GB2312"/>
          <w:sz w:val="32"/>
          <w:szCs w:val="32"/>
        </w:rPr>
        <w:t>体系建设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完成省市网信办交办的各项工任务，我办申请的8个项目财政预算资金到位率100%，支出率均达到95</w:t>
      </w:r>
      <w:bookmarkStart w:id="0" w:name="_GoBack"/>
      <w:bookmarkEnd w:id="0"/>
      <w:r>
        <w:rPr>
          <w:rFonts w:hint="eastAsia" w:ascii="仿宋_GB2312" w:hAnsi="仿宋_GB2312" w:eastAsia="仿宋_GB2312" w:cs="仿宋_GB2312"/>
          <w:sz w:val="32"/>
          <w:szCs w:val="32"/>
          <w:lang w:val="en-US" w:eastAsia="zh-CN"/>
        </w:rPr>
        <w:t>%以上，所有</w:t>
      </w:r>
      <w:r>
        <w:rPr>
          <w:rFonts w:hint="eastAsia" w:ascii="仿宋_GB2312" w:hAnsi="仿宋_GB2312" w:eastAsia="仿宋_GB2312" w:cs="仿宋_GB2312"/>
          <w:sz w:val="32"/>
          <w:szCs w:val="32"/>
        </w:rPr>
        <w:t>项目的预期绩效目标完成</w:t>
      </w:r>
      <w:r>
        <w:rPr>
          <w:rFonts w:hint="eastAsia" w:ascii="仿宋_GB2312" w:hAnsi="仿宋_GB2312" w:eastAsia="仿宋_GB2312" w:cs="仿宋_GB2312"/>
          <w:sz w:val="32"/>
          <w:szCs w:val="32"/>
          <w:lang w:val="en-US" w:eastAsia="zh-CN"/>
        </w:rPr>
        <w:t>率均为100%。</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藁城区委网信办高度重视绩效自评工作，成立了由主任为组长、副主任为副组长，相关业务股室股长、财务人员为成员的绩效自评工作小组，对2023年度项目进行全面系统的评价。</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通过实地查看、核对账务，对2023年项目资金的收入、支出、日常财务管理等项目绩效实施情况作了系统、全面的评价。</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rPr>
      </w:pPr>
      <w:r>
        <w:rPr>
          <w:rFonts w:hint="eastAsia" w:ascii="仿宋_GB2312" w:hAnsi="仿宋_GB2312" w:eastAsia="仿宋_GB2312" w:cs="仿宋_GB2312"/>
          <w:sz w:val="32"/>
          <w:szCs w:val="32"/>
          <w:lang w:val="en-US" w:eastAsia="zh-CN"/>
        </w:rPr>
        <w:t>为更好地发挥网信办的职能作用，区委网信办2023年申请了8个项目资金共117.55万元，实际执行金额为117.55万元，各项目严格按照财政收支管理规定全部支出专项资金。</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坚持以习近平新时代中国特色社会主义思想特别是关于网络强国重要论述为指导，强力推进我区互联网信息内容建设和管理、网络安全和信息化工作。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立足2023年网信工作新的目标定位，网络宣传做到“三个融合”，网络综合治理做到“三个深入”，网络安全防护做到“三个着力”。以坚定的政治站位、务实的工作措施，不断提升工作品质、效率、效能，打造网信藁城新形象，为藁城区“一极四城”建设和经济社会高质量发展贡献网信力量。</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（一）网络宣传管理效果进一步提升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sz w:val="32"/>
          <w:szCs w:val="32"/>
          <w:lang w:val="en-US" w:eastAsia="zh-CN"/>
        </w:rPr>
        <w:t>进一步提升互联网宣传教育活动效果和网络综合治理效果，有效开展网络社会公益活动，进一步加强网络文化建设能力，全面展示我区网上新形象。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eastAsia="仿宋_GB2312"/>
          <w:b w:val="0"/>
          <w:bCs w:val="0"/>
          <w:color w:val="000000"/>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eastAsia="仿宋_GB2312"/>
          <w:b w:val="0"/>
          <w:bCs w:val="0"/>
          <w:color w:val="000000"/>
          <w:sz w:val="32"/>
          <w:szCs w:val="32"/>
          <w:lang w:val="en-US" w:eastAsia="zh-CN"/>
        </w:rPr>
        <w:t>互联网宣传教育活动有效开展，开设专题专栏，大力开展网络文明志愿服务活动，做好网评及舆论引导工作。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（二）网络综合治理体系建设持续推进。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b w:val="0"/>
          <w:bCs w:val="0"/>
          <w:color w:val="000000"/>
          <w:sz w:val="32"/>
          <w:szCs w:val="32"/>
          <w:lang w:val="en-US" w:eastAsia="zh-CN"/>
        </w:rPr>
        <w:t>持续提升网络安全意识，强化</w:t>
      </w:r>
      <w:r>
        <w:rPr>
          <w:rFonts w:hint="eastAsia" w:ascii="仿宋_GB2312" w:hAnsi="仿宋_GB2312" w:eastAsia="仿宋_GB2312" w:cs="仿宋_GB2312"/>
          <w:b w:val="0"/>
          <w:bCs w:val="0"/>
          <w:color w:val="000000"/>
          <w:kern w:val="2"/>
          <w:sz w:val="32"/>
          <w:szCs w:val="32"/>
          <w:lang w:val="en-US" w:eastAsia="zh-CN" w:bidi="ar-SA"/>
        </w:rPr>
        <w:t>舆情监测能力，推进新媒体建设。</w:t>
      </w:r>
    </w:p>
    <w:p>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hAnsi="仿宋_GB2312" w:eastAsia="仿宋_GB2312" w:cs="仿宋_GB2312"/>
          <w:b w:val="0"/>
          <w:bCs w:val="0"/>
          <w:color w:val="000000"/>
          <w:sz w:val="32"/>
          <w:szCs w:val="32"/>
          <w:lang w:val="en-US" w:eastAsia="zh-CN"/>
        </w:rPr>
        <w:t>网络安全检查常态化，</w:t>
      </w:r>
      <w:r>
        <w:rPr>
          <w:rFonts w:hint="eastAsia" w:ascii="仿宋_GB2312" w:hAnsi="仿宋_GB2312" w:eastAsia="仿宋_GB2312" w:cs="仿宋_GB2312"/>
          <w:sz w:val="32"/>
          <w:szCs w:val="32"/>
          <w:lang w:val="en-US" w:eastAsia="zh-CN"/>
        </w:rPr>
        <w:t>专业化业务培训</w:t>
      </w:r>
      <w:r>
        <w:rPr>
          <w:rFonts w:hint="eastAsia" w:ascii="仿宋_GB2312" w:hAnsi="仿宋_GB2312" w:eastAsia="仿宋_GB2312" w:cs="仿宋_GB2312"/>
          <w:b w:val="0"/>
          <w:bCs w:val="0"/>
          <w:color w:val="000000"/>
          <w:sz w:val="32"/>
          <w:szCs w:val="32"/>
          <w:lang w:val="en-US" w:eastAsia="zh-CN"/>
        </w:rPr>
        <w:t>长效化。进一步</w:t>
      </w:r>
      <w:r>
        <w:rPr>
          <w:rFonts w:hint="eastAsia" w:ascii="仿宋_GB2312" w:hAnsi="仿宋_GB2312" w:eastAsia="仿宋_GB2312" w:cs="仿宋_GB2312"/>
          <w:sz w:val="32"/>
          <w:szCs w:val="32"/>
          <w:lang w:val="en-US" w:eastAsia="zh-CN"/>
        </w:rPr>
        <w:t>打造我区新媒体健康发展新格局。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(三)网络安全防护能力有效提升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sz w:val="32"/>
          <w:szCs w:val="32"/>
          <w:lang w:val="en-US" w:eastAsia="zh-CN"/>
        </w:rPr>
        <w:t>网络安全工作体制机制逐步完善，网络安全工作责任制进一步落实，网络安全支撑力量不断拓展，网络安全基础工作更加扎实，网络安全防护能力有效提升。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hAnsi="仿宋_GB2312" w:eastAsia="仿宋_GB2312" w:cs="仿宋_GB2312"/>
          <w:sz w:val="32"/>
          <w:szCs w:val="32"/>
          <w:lang w:val="en-US" w:eastAsia="zh-CN"/>
        </w:rPr>
        <w:t>组织开展网络安全检查，进一步提升我区网络安全管理水平，增强网络安全防护能力。</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通过2023年绩效自评，2023年年初绩效目标设定质量较高，</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 w:hAnsi="仿宋" w:eastAsia="仿宋"/>
          <w:sz w:val="32"/>
          <w:szCs w:val="32"/>
        </w:rPr>
        <w:t>，</w:t>
      </w:r>
      <w:r>
        <w:rPr>
          <w:rFonts w:hint="eastAsia" w:ascii="仿宋" w:hAnsi="仿宋" w:eastAsia="仿宋"/>
          <w:sz w:val="32"/>
          <w:szCs w:val="32"/>
          <w:lang w:val="en-US" w:eastAsia="zh-CN"/>
        </w:rPr>
        <w:t>项目</w:t>
      </w:r>
      <w:r>
        <w:rPr>
          <w:rFonts w:hint="eastAsia" w:ascii="仿宋_GB2312" w:hAnsi="仿宋_GB2312" w:eastAsia="仿宋_GB2312" w:cs="仿宋_GB2312"/>
          <w:sz w:val="32"/>
          <w:szCs w:val="32"/>
        </w:rPr>
        <w:t>总</w:t>
      </w:r>
      <w:r>
        <w:rPr>
          <w:rFonts w:hint="eastAsia" w:ascii="仿宋_GB2312" w:hAnsi="仿宋_GB2312" w:eastAsia="仿宋_GB2312" w:cs="仿宋_GB2312"/>
          <w:sz w:val="32"/>
          <w:szCs w:val="32"/>
          <w:lang w:val="en-US" w:eastAsia="zh-CN"/>
        </w:rPr>
        <w:t>体</w:t>
      </w:r>
      <w:r>
        <w:rPr>
          <w:rFonts w:hint="eastAsia" w:ascii="仿宋_GB2312" w:hAnsi="仿宋_GB2312" w:eastAsia="仿宋_GB2312" w:cs="仿宋_GB2312"/>
          <w:sz w:val="32"/>
          <w:szCs w:val="32"/>
        </w:rPr>
        <w:t>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分，综合评价结论和项目综合绩效评价等级</w:t>
      </w:r>
      <w:r>
        <w:rPr>
          <w:rFonts w:hint="eastAsia" w:ascii="仿宋_GB2312" w:hAnsi="仿宋_GB2312" w:eastAsia="仿宋_GB2312" w:cs="仿宋_GB2312"/>
          <w:sz w:val="32"/>
          <w:szCs w:val="32"/>
          <w:lang w:val="en-US" w:eastAsia="zh-CN"/>
        </w:rPr>
        <w:t>为优秀</w:t>
      </w:r>
      <w:r>
        <w:rPr>
          <w:rFonts w:hint="eastAsia" w:ascii="仿宋_GB2312" w:hAnsi="仿宋_GB2312" w:eastAsia="仿宋_GB2312" w:cs="仿宋_GB2312"/>
          <w:sz w:val="32"/>
          <w:szCs w:val="32"/>
        </w:rPr>
        <w:t>。</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lang w:val="en-US" w:eastAsia="zh-CN"/>
        </w:rPr>
        <w:t>五、</w:t>
      </w:r>
      <w:r>
        <w:rPr>
          <w:rFonts w:hint="eastAsia" w:ascii="黑体" w:hAnsi="黑体" w:eastAsia="黑体"/>
          <w:sz w:val="32"/>
          <w:szCs w:val="32"/>
        </w:rPr>
        <w:t>存在的问题及改进措施</w:t>
      </w:r>
    </w:p>
    <w:p>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rPr>
          <w:rFonts w:hint="default" w:eastAsia="宋体"/>
          <w:sz w:val="32"/>
          <w:szCs w:val="32"/>
          <w:lang w:val="en-US" w:eastAsia="zh-CN"/>
        </w:rPr>
      </w:pPr>
      <w:r>
        <w:rPr>
          <w:rFonts w:hint="eastAsia"/>
          <w:lang w:val="en-US" w:eastAsia="zh-CN"/>
        </w:rPr>
        <w:t xml:space="preserve">        </w:t>
      </w:r>
      <w:r>
        <w:rPr>
          <w:rFonts w:hint="eastAsia" w:ascii="仿宋_GB2312" w:hAnsi="仿宋_GB2312" w:eastAsia="仿宋_GB2312" w:cs="仿宋_GB2312"/>
          <w:kern w:val="2"/>
          <w:sz w:val="32"/>
          <w:szCs w:val="32"/>
          <w:lang w:val="en-US" w:eastAsia="zh-CN" w:bidi="ar-SA"/>
        </w:rPr>
        <w:t>无</w:t>
      </w:r>
    </w:p>
    <w:p>
      <w:pPr>
        <w:pStyle w:val="2"/>
        <w:numPr>
          <w:ilvl w:val="0"/>
          <w:numId w:val="3"/>
        </w:numPr>
        <w:ind w:left="0" w:leftChars="0"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numPr>
          <w:ilvl w:val="0"/>
          <w:numId w:val="0"/>
        </w:numPr>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无</w:t>
      </w:r>
    </w:p>
    <w:p>
      <w:pPr>
        <w:pStyle w:val="2"/>
        <w:numPr>
          <w:numId w:val="0"/>
        </w:numPr>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sz w:val="32"/>
          <w:szCs w:val="32"/>
          <w:lang w:val="en-US" w:eastAsia="zh-CN"/>
        </w:rPr>
        <w:t>六、</w:t>
      </w:r>
      <w:r>
        <w:rPr>
          <w:rFonts w:hint="eastAsia" w:ascii="黑体" w:hAnsi="黑体" w:eastAsia="黑体"/>
          <w:sz w:val="32"/>
          <w:szCs w:val="32"/>
        </w:rPr>
        <w:t>评价工作组人员名单及签字（姓名、工作单位、职务、职称）</w:t>
      </w:r>
    </w:p>
    <w:p>
      <w:pPr>
        <w:pStyle w:val="2"/>
        <w:widowControl w:val="0"/>
        <w:numPr>
          <w:numId w:val="0"/>
        </w:numPr>
        <w:spacing w:line="360" w:lineRule="auto"/>
        <w:jc w:val="both"/>
        <w:textAlignment w:val="baseline"/>
        <w:rPr>
          <w:rFonts w:hint="eastAsia" w:ascii="黑体" w:hAnsi="黑体" w:eastAsia="黑体"/>
          <w:sz w:val="32"/>
          <w:szCs w:val="32"/>
        </w:rPr>
      </w:pPr>
    </w:p>
    <w:p>
      <w:pPr>
        <w:pStyle w:val="2"/>
        <w:widowControl w:val="0"/>
        <w:numPr>
          <w:numId w:val="0"/>
        </w:numPr>
        <w:spacing w:line="360" w:lineRule="auto"/>
        <w:jc w:val="both"/>
        <w:textAlignment w:val="baseline"/>
        <w:rPr>
          <w:rFonts w:hint="eastAsia" w:ascii="黑体" w:hAnsi="黑体" w:eastAsia="黑体"/>
          <w:sz w:val="32"/>
          <w:szCs w:val="32"/>
        </w:rPr>
      </w:pPr>
    </w:p>
    <w:p>
      <w:pPr>
        <w:pStyle w:val="2"/>
        <w:widowControl w:val="0"/>
        <w:numPr>
          <w:numId w:val="0"/>
        </w:numPr>
        <w:spacing w:line="360" w:lineRule="auto"/>
        <w:jc w:val="both"/>
        <w:textAlignment w:val="baseline"/>
        <w:rPr>
          <w:rFonts w:hint="eastAsia" w:ascii="黑体" w:hAnsi="黑体" w:eastAsia="黑体"/>
          <w:sz w:val="32"/>
          <w:szCs w:val="32"/>
        </w:rPr>
      </w:pPr>
    </w:p>
    <w:p>
      <w:pPr>
        <w:pStyle w:val="2"/>
        <w:widowControl w:val="0"/>
        <w:numPr>
          <w:numId w:val="0"/>
        </w:numPr>
        <w:spacing w:line="360" w:lineRule="auto"/>
        <w:jc w:val="center"/>
        <w:textAlignment w:val="baseline"/>
        <w:rPr>
          <w:rFonts w:hint="eastAsia" w:ascii="黑体" w:hAnsi="黑体" w:eastAsia="黑体"/>
          <w:sz w:val="32"/>
          <w:szCs w:val="32"/>
        </w:rPr>
      </w:pPr>
    </w:p>
    <w:tbl>
      <w:tblPr>
        <w:tblStyle w:val="7"/>
        <w:tblpPr w:leftFromText="180" w:rightFromText="180" w:vertAnchor="text" w:horzAnchor="page" w:tblpX="1867" w:tblpY="552"/>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335"/>
        <w:gridCol w:w="2025"/>
        <w:gridCol w:w="2730"/>
        <w:gridCol w:w="15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序号</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姓名</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工作单位</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职务</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付子帅</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区委网信办</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主任</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张倩</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区委网信办</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副主任</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石嘉</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区委网信办</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网络宣传管理股股长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4</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孙影娜</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区委网信办</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综合股股长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5</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蔡宏苗</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区委网信办</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网络安全和信息化协调股股长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bl>
    <w:p>
      <w:pPr>
        <w:pStyle w:val="2"/>
        <w:widowControl w:val="0"/>
        <w:numPr>
          <w:numId w:val="0"/>
        </w:numPr>
        <w:spacing w:line="360" w:lineRule="auto"/>
        <w:jc w:val="both"/>
        <w:textAlignment w:val="baseline"/>
        <w:rPr>
          <w:rFonts w:hint="eastAsia" w:ascii="黑体" w:hAnsi="黑体" w:eastAsia="黑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60D408D"/>
    <w:multiLevelType w:val="singleLevel"/>
    <w:tmpl w:val="D60D408D"/>
    <w:lvl w:ilvl="0" w:tentative="0">
      <w:start w:val="2"/>
      <w:numFmt w:val="chineseCounting"/>
      <w:suff w:val="nothing"/>
      <w:lvlText w:val="（%1）"/>
      <w:lvlJc w:val="left"/>
      <w:rPr>
        <w:rFonts w:hint="eastAsia"/>
      </w:rPr>
    </w:lvl>
  </w:abstractNum>
  <w:abstractNum w:abstractNumId="2">
    <w:nsid w:val="026E39B0"/>
    <w:multiLevelType w:val="singleLevel"/>
    <w:tmpl w:val="026E39B0"/>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iYzlhYWM1YzBhYzBjYzI1MDI3YWMzNTZiMGQ2Nz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4933A7"/>
    <w:rsid w:val="055B525F"/>
    <w:rsid w:val="05D473D2"/>
    <w:rsid w:val="0620235A"/>
    <w:rsid w:val="0B3B311A"/>
    <w:rsid w:val="105179D3"/>
    <w:rsid w:val="10B4201D"/>
    <w:rsid w:val="13B61930"/>
    <w:rsid w:val="15BC3D14"/>
    <w:rsid w:val="16553D6F"/>
    <w:rsid w:val="1A3B21A2"/>
    <w:rsid w:val="1A562397"/>
    <w:rsid w:val="1BAF1154"/>
    <w:rsid w:val="1C655171"/>
    <w:rsid w:val="20276775"/>
    <w:rsid w:val="21997911"/>
    <w:rsid w:val="26B75F6B"/>
    <w:rsid w:val="2890116A"/>
    <w:rsid w:val="289220F2"/>
    <w:rsid w:val="2DC72F38"/>
    <w:rsid w:val="2F2C2A40"/>
    <w:rsid w:val="2FA432C6"/>
    <w:rsid w:val="2FB8672C"/>
    <w:rsid w:val="344704E1"/>
    <w:rsid w:val="38E47094"/>
    <w:rsid w:val="39744C0B"/>
    <w:rsid w:val="3A0948D8"/>
    <w:rsid w:val="3AEF6FE7"/>
    <w:rsid w:val="3DBC6C20"/>
    <w:rsid w:val="3F6902F3"/>
    <w:rsid w:val="438C45B0"/>
    <w:rsid w:val="441F3676"/>
    <w:rsid w:val="474119A1"/>
    <w:rsid w:val="4770243A"/>
    <w:rsid w:val="477C493B"/>
    <w:rsid w:val="493B718D"/>
    <w:rsid w:val="4DDC6134"/>
    <w:rsid w:val="50784F92"/>
    <w:rsid w:val="51110826"/>
    <w:rsid w:val="52D1012A"/>
    <w:rsid w:val="53A42ADD"/>
    <w:rsid w:val="552503C0"/>
    <w:rsid w:val="563B01B4"/>
    <w:rsid w:val="56604927"/>
    <w:rsid w:val="590F0BE0"/>
    <w:rsid w:val="592A485A"/>
    <w:rsid w:val="596B3E9E"/>
    <w:rsid w:val="5ABA5A4E"/>
    <w:rsid w:val="5C4A315B"/>
    <w:rsid w:val="5E771FA1"/>
    <w:rsid w:val="62AC0218"/>
    <w:rsid w:val="62E47B0C"/>
    <w:rsid w:val="644C504E"/>
    <w:rsid w:val="661D3074"/>
    <w:rsid w:val="665B7193"/>
    <w:rsid w:val="67281F92"/>
    <w:rsid w:val="68E87C2B"/>
    <w:rsid w:val="6A18009C"/>
    <w:rsid w:val="6B1C1E0E"/>
    <w:rsid w:val="6BDE7164"/>
    <w:rsid w:val="6C17260D"/>
    <w:rsid w:val="6D0D5EB2"/>
    <w:rsid w:val="72A5258B"/>
    <w:rsid w:val="732D580D"/>
    <w:rsid w:val="73ED2599"/>
    <w:rsid w:val="75581C94"/>
    <w:rsid w:val="79FD523D"/>
    <w:rsid w:val="7B656EB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customStyle="1" w:styleId="2">
    <w:name w:val="Body Text First Indent 21"/>
    <w:basedOn w:val="3"/>
    <w:qFormat/>
    <w:uiPriority w:val="0"/>
    <w:pPr>
      <w:ind w:firstLine="420"/>
    </w:pPr>
    <w:rPr>
      <w:rFonts w:ascii="Times New Roman" w:hAnsi="Times New Roman" w:eastAsia="宋体" w:cs="Times New Roman"/>
    </w:rPr>
  </w:style>
  <w:style w:type="paragraph" w:customStyle="1" w:styleId="3">
    <w:name w:val="Body Text Indent1"/>
    <w:basedOn w:val="1"/>
    <w:qFormat/>
    <w:uiPriority w:val="0"/>
    <w:pPr>
      <w:spacing w:line="360" w:lineRule="auto"/>
      <w:ind w:firstLine="200" w:firstLineChars="200"/>
      <w:textAlignment w:val="baseline"/>
    </w:pPr>
    <w:rPr>
      <w:rFonts w:ascii="Times New Roman" w:hAnsi="Times New Roman" w:eastAsia="宋体" w:cs="Times New Roman"/>
      <w:sz w:val="21"/>
      <w:szCs w:val="21"/>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1625</Words>
  <Characters>1699</Characters>
  <Lines>3</Lines>
  <Paragraphs>1</Paragraphs>
  <TotalTime>2</TotalTime>
  <ScaleCrop>false</ScaleCrop>
  <LinksUpToDate>false</LinksUpToDate>
  <CharactersWithSpaces>1707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HP</cp:lastModifiedBy>
  <cp:lastPrinted>2024-05-29T06:52:05Z</cp:lastPrinted>
  <dcterms:modified xsi:type="dcterms:W3CDTF">2024-05-29T06:58:37Z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