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kern w:val="0"/>
          <w:sz w:val="44"/>
          <w:szCs w:val="44"/>
          <w:lang w:val="en-US" w:eastAsia="zh-CN"/>
        </w:rPr>
      </w:pPr>
      <w:r>
        <w:rPr>
          <w:rFonts w:hint="eastAsia" w:ascii="方正小标宋简体" w:hAnsi="方正小标宋简体" w:eastAsia="方正小标宋简体" w:cs="方正小标宋简体"/>
          <w:b w:val="0"/>
          <w:bCs w:val="0"/>
          <w:kern w:val="0"/>
          <w:sz w:val="44"/>
          <w:szCs w:val="44"/>
          <w:lang w:val="en-US" w:eastAsia="zh-CN"/>
        </w:rPr>
        <w:t>藁城区工商联</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880" w:firstLineChars="200"/>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方正小标宋简体" w:hAnsi="方正小标宋简体" w:eastAsia="方正小标宋简体" w:cs="方正小标宋简体"/>
          <w:b w:val="0"/>
          <w:bCs w:val="0"/>
          <w:sz w:val="44"/>
          <w:szCs w:val="44"/>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藁城区工商联</w:t>
      </w:r>
      <w:r>
        <w:rPr>
          <w:rFonts w:hint="eastAsia" w:ascii="仿宋_GB2312" w:hAnsi="仿宋_GB2312" w:eastAsia="仿宋_GB2312" w:cs="仿宋_GB2312"/>
          <w:sz w:val="32"/>
          <w:szCs w:val="32"/>
          <w:highlight w:val="none"/>
          <w:lang w:eastAsia="zh-CN"/>
        </w:rPr>
        <w:t>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rPr>
        <w:t>一、</w:t>
      </w:r>
      <w:r>
        <w:rPr>
          <w:rFonts w:hint="eastAsia" w:ascii="黑体" w:hAnsi="黑体" w:eastAsia="黑体" w:cs="黑体"/>
          <w:b w:val="0"/>
          <w:bCs w:val="0"/>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部门职能：</w:t>
      </w:r>
    </w:p>
    <w:p>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团结、服务、引导、教育非公有制经济人士爱国、敬业、诚信、守法、贡献，培养拥护党的领导、走中国特色社会主义道路的非公有制经济人士队伍。</w:t>
      </w:r>
    </w:p>
    <w:p>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做好非公有制经济代表人士政治安排的推荐工作。参与政治协商，发挥民主监督作用，积极参政议政。</w:t>
      </w:r>
    </w:p>
    <w:p>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参与政府相关的经济活动，广泛联系各地工商界人士，开展民间外交，推动经贸交流和协作，促进经济社会发展。</w:t>
      </w:r>
    </w:p>
    <w:p>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参与协调劳动关系，促进和谐社会建设。</w:t>
      </w:r>
    </w:p>
    <w:p>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5.</w:t>
      </w:r>
      <w:r>
        <w:rPr>
          <w:rFonts w:hint="eastAsia" w:ascii="仿宋_GB2312" w:hAnsi="仿宋_GB2312" w:eastAsia="仿宋_GB2312" w:cs="仿宋_GB2312"/>
          <w:b w:val="0"/>
          <w:bCs w:val="0"/>
          <w:sz w:val="32"/>
          <w:szCs w:val="32"/>
        </w:rPr>
        <w:t>指导本会直属商会工作，积极参与社会组织建设工作，促进行业协会商会改革发展。</w:t>
      </w:r>
    </w:p>
    <w:p>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6.</w:t>
      </w:r>
      <w:r>
        <w:rPr>
          <w:rFonts w:hint="eastAsia" w:ascii="仿宋_GB2312" w:hAnsi="仿宋_GB2312" w:eastAsia="仿宋_GB2312" w:cs="仿宋_GB2312"/>
          <w:b w:val="0"/>
          <w:bCs w:val="0"/>
          <w:sz w:val="32"/>
          <w:szCs w:val="32"/>
        </w:rPr>
        <w:t>反映非公有制企业和非公有制经济人士利益诉求维护其合法权益。</w:t>
      </w:r>
      <w:bookmarkStart w:id="0" w:name="_GoBack"/>
      <w:bookmarkEnd w:id="0"/>
    </w:p>
    <w:p>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7.</w:t>
      </w:r>
      <w:r>
        <w:rPr>
          <w:rFonts w:hint="eastAsia" w:ascii="仿宋_GB2312" w:hAnsi="仿宋_GB2312" w:eastAsia="仿宋_GB2312" w:cs="仿宋_GB2312"/>
          <w:b w:val="0"/>
          <w:bCs w:val="0"/>
          <w:sz w:val="32"/>
          <w:szCs w:val="32"/>
        </w:rPr>
        <w:t>为会员提供政策信息、人才交流培训等服务。组织会员企业参加各类经贸活动，外出参观考察，帮助会员企业拓展市场。</w:t>
      </w:r>
    </w:p>
    <w:p>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8.</w:t>
      </w:r>
      <w:r>
        <w:rPr>
          <w:rFonts w:hint="eastAsia" w:ascii="仿宋_GB2312" w:hAnsi="仿宋_GB2312" w:eastAsia="仿宋_GB2312" w:cs="仿宋_GB2312"/>
          <w:b w:val="0"/>
          <w:bCs w:val="0"/>
          <w:sz w:val="32"/>
          <w:szCs w:val="32"/>
        </w:rPr>
        <w:t>配合有关部门开展非公有制会员企业党建工作。</w:t>
      </w:r>
    </w:p>
    <w:p>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9.</w:t>
      </w:r>
      <w:r>
        <w:rPr>
          <w:rFonts w:hint="eastAsia" w:ascii="仿宋_GB2312" w:hAnsi="仿宋_GB2312" w:eastAsia="仿宋_GB2312" w:cs="仿宋_GB2312"/>
          <w:b w:val="0"/>
          <w:bCs w:val="0"/>
          <w:sz w:val="32"/>
          <w:szCs w:val="32"/>
        </w:rPr>
        <w:t>积极引导非公有制企业及其非公有制经济人士承担社会责任，大力支持慈善公益事业发展，积极投身光彩事业。</w:t>
      </w:r>
    </w:p>
    <w:p>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承办区委、区政府和上级工商联交办的其它任务。</w:t>
      </w:r>
    </w:p>
    <w:p>
      <w:pPr>
        <w:keepNext w:val="0"/>
        <w:keepLines w:val="0"/>
        <w:pageBreakBefore w:val="0"/>
        <w:widowControl w:val="0"/>
        <w:kinsoku/>
        <w:wordWrap/>
        <w:overflowPunct/>
        <w:topLinePunct w:val="0"/>
        <w:autoSpaceDE/>
        <w:autoSpaceDN/>
        <w:bidi w:val="0"/>
        <w:adjustRightInd w:val="0"/>
        <w:snapToGrid w:val="0"/>
        <w:spacing w:before="0" w:after="0" w:line="560" w:lineRule="exact"/>
        <w:ind w:left="0" w:firstLine="640" w:firstLineChars="200"/>
        <w:jc w:val="left"/>
        <w:textAlignment w:val="auto"/>
        <w:outlineLvl w:val="9"/>
        <w:rPr>
          <w:rFonts w:hint="default" w:ascii="仿宋_GB2312" w:hAnsi="仿宋_GB2312" w:eastAsia="仿宋_GB2312" w:cs="仿宋_GB2312"/>
          <w:b w:val="0"/>
          <w:bCs w:val="0"/>
          <w:sz w:val="32"/>
          <w:szCs w:val="32"/>
          <w:lang w:val="en-US"/>
        </w:rPr>
      </w:pPr>
      <w:r>
        <w:rPr>
          <w:rFonts w:hint="eastAsia" w:ascii="仿宋_GB2312" w:hAnsi="仿宋_GB2312" w:eastAsia="仿宋_GB2312" w:cs="仿宋_GB2312"/>
          <w:b w:val="0"/>
          <w:bCs w:val="0"/>
          <w:sz w:val="32"/>
          <w:szCs w:val="32"/>
          <w:lang w:eastAsia="zh-CN"/>
        </w:rPr>
        <w:t>组织机构</w:t>
      </w:r>
    </w:p>
    <w:p>
      <w:pPr>
        <w:keepNext w:val="0"/>
        <w:keepLines w:val="0"/>
        <w:pageBreakBefore w:val="0"/>
        <w:widowControl w:val="0"/>
        <w:kinsoku/>
        <w:wordWrap/>
        <w:overflowPunct/>
        <w:topLinePunct w:val="0"/>
        <w:autoSpaceDE/>
        <w:autoSpaceDN/>
        <w:bidi w:val="0"/>
        <w:adjustRightInd w:val="0"/>
        <w:snapToGrid w:val="0"/>
        <w:spacing w:before="0" w:after="0" w:line="560" w:lineRule="exact"/>
        <w:ind w:left="0" w:firstLine="640" w:firstLineChars="200"/>
        <w:jc w:val="center"/>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color w:val="000000"/>
          <w:sz w:val="32"/>
          <w:szCs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keepNext w:val="0"/>
              <w:keepLines w:val="0"/>
              <w:pageBreakBefore w:val="0"/>
              <w:widowControl w:val="0"/>
              <w:kinsoku/>
              <w:wordWrap/>
              <w:overflowPunct/>
              <w:topLinePunct w:val="0"/>
              <w:autoSpaceDE/>
              <w:autoSpaceDN/>
              <w:bidi w:val="0"/>
              <w:adjustRightInd w:val="0"/>
              <w:snapToGrid w:val="0"/>
              <w:spacing w:line="560" w:lineRule="exact"/>
              <w:ind w:left="0" w:firstLine="0" w:firstLineChars="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单位名称</w:t>
            </w:r>
          </w:p>
        </w:tc>
        <w:tc>
          <w:tcPr>
            <w:tcW w:w="1843" w:type="dxa"/>
            <w:vAlign w:val="center"/>
          </w:tcPr>
          <w:p>
            <w:pPr>
              <w:pStyle w:val="9"/>
              <w:keepNext w:val="0"/>
              <w:keepLines w:val="0"/>
              <w:pageBreakBefore w:val="0"/>
              <w:widowControl w:val="0"/>
              <w:kinsoku/>
              <w:wordWrap/>
              <w:overflowPunct/>
              <w:topLinePunct w:val="0"/>
              <w:autoSpaceDE/>
              <w:autoSpaceDN/>
              <w:bidi w:val="0"/>
              <w:adjustRightInd w:val="0"/>
              <w:snapToGrid w:val="0"/>
              <w:spacing w:line="560" w:lineRule="exact"/>
              <w:ind w:left="0" w:firstLine="0" w:firstLineChars="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单位性质</w:t>
            </w:r>
          </w:p>
        </w:tc>
        <w:tc>
          <w:tcPr>
            <w:tcW w:w="2126" w:type="dxa"/>
            <w:vAlign w:val="center"/>
          </w:tcPr>
          <w:p>
            <w:pPr>
              <w:pStyle w:val="9"/>
              <w:keepNext w:val="0"/>
              <w:keepLines w:val="0"/>
              <w:pageBreakBefore w:val="0"/>
              <w:widowControl w:val="0"/>
              <w:kinsoku/>
              <w:wordWrap/>
              <w:overflowPunct/>
              <w:topLinePunct w:val="0"/>
              <w:autoSpaceDE/>
              <w:autoSpaceDN/>
              <w:bidi w:val="0"/>
              <w:adjustRightInd w:val="0"/>
              <w:snapToGrid w:val="0"/>
              <w:spacing w:line="560" w:lineRule="exact"/>
              <w:ind w:left="0" w:firstLine="0" w:firstLineChars="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单位规格</w:t>
            </w:r>
          </w:p>
        </w:tc>
        <w:tc>
          <w:tcPr>
            <w:tcW w:w="3827" w:type="dxa"/>
            <w:vAlign w:val="center"/>
          </w:tcPr>
          <w:p>
            <w:pPr>
              <w:pStyle w:val="9"/>
              <w:keepNext w:val="0"/>
              <w:keepLines w:val="0"/>
              <w:pageBreakBefore w:val="0"/>
              <w:widowControl w:val="0"/>
              <w:kinsoku/>
              <w:wordWrap/>
              <w:overflowPunct/>
              <w:topLinePunct w:val="0"/>
              <w:autoSpaceDE/>
              <w:autoSpaceDN/>
              <w:bidi w:val="0"/>
              <w:adjustRightInd w:val="0"/>
              <w:snapToGrid w:val="0"/>
              <w:spacing w:line="560" w:lineRule="exact"/>
              <w:ind w:left="0" w:firstLine="0" w:firstLineChars="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5" w:hRule="atLeast"/>
          <w:jc w:val="center"/>
        </w:trPr>
        <w:tc>
          <w:tcPr>
            <w:tcW w:w="5669" w:type="dxa"/>
            <w:vAlign w:val="center"/>
          </w:tcPr>
          <w:p>
            <w:pPr>
              <w:pStyle w:val="10"/>
              <w:keepNext w:val="0"/>
              <w:keepLines w:val="0"/>
              <w:pageBreakBefore w:val="0"/>
              <w:widowControl w:val="0"/>
              <w:kinsoku/>
              <w:wordWrap/>
              <w:overflowPunct/>
              <w:topLinePunct w:val="0"/>
              <w:autoSpaceDE/>
              <w:autoSpaceDN/>
              <w:bidi w:val="0"/>
              <w:adjustRightInd w:val="0"/>
              <w:snapToGrid w:val="0"/>
              <w:spacing w:line="560" w:lineRule="exact"/>
              <w:ind w:left="0" w:firstLine="0" w:firstLineChars="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石家庄市藁城区工商业联合会本级</w:t>
            </w:r>
          </w:p>
        </w:tc>
        <w:tc>
          <w:tcPr>
            <w:tcW w:w="1843" w:type="dxa"/>
            <w:vAlign w:val="center"/>
          </w:tcPr>
          <w:p>
            <w:pPr>
              <w:pStyle w:val="11"/>
              <w:keepNext w:val="0"/>
              <w:keepLines w:val="0"/>
              <w:pageBreakBefore w:val="0"/>
              <w:widowControl w:val="0"/>
              <w:kinsoku/>
              <w:wordWrap/>
              <w:overflowPunct/>
              <w:topLinePunct w:val="0"/>
              <w:autoSpaceDE/>
              <w:autoSpaceDN/>
              <w:bidi w:val="0"/>
              <w:adjustRightInd w:val="0"/>
              <w:snapToGrid w:val="0"/>
              <w:spacing w:line="560" w:lineRule="exact"/>
              <w:ind w:left="0" w:firstLine="0" w:firstLineChars="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行政</w:t>
            </w:r>
          </w:p>
        </w:tc>
        <w:tc>
          <w:tcPr>
            <w:tcW w:w="2126" w:type="dxa"/>
            <w:vAlign w:val="center"/>
          </w:tcPr>
          <w:p>
            <w:pPr>
              <w:pStyle w:val="11"/>
              <w:keepNext w:val="0"/>
              <w:keepLines w:val="0"/>
              <w:pageBreakBefore w:val="0"/>
              <w:widowControl w:val="0"/>
              <w:kinsoku/>
              <w:wordWrap/>
              <w:overflowPunct/>
              <w:topLinePunct w:val="0"/>
              <w:autoSpaceDE/>
              <w:autoSpaceDN/>
              <w:bidi w:val="0"/>
              <w:adjustRightInd w:val="0"/>
              <w:snapToGrid w:val="0"/>
              <w:spacing w:line="560" w:lineRule="exact"/>
              <w:ind w:left="0" w:firstLine="0" w:firstLineChars="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正科级</w:t>
            </w:r>
          </w:p>
        </w:tc>
        <w:tc>
          <w:tcPr>
            <w:tcW w:w="3827" w:type="dxa"/>
            <w:vAlign w:val="center"/>
          </w:tcPr>
          <w:p>
            <w:pPr>
              <w:pStyle w:val="11"/>
              <w:keepNext w:val="0"/>
              <w:keepLines w:val="0"/>
              <w:pageBreakBefore w:val="0"/>
              <w:widowControl w:val="0"/>
              <w:kinsoku/>
              <w:wordWrap/>
              <w:overflowPunct/>
              <w:topLinePunct w:val="0"/>
              <w:autoSpaceDE/>
              <w:autoSpaceDN/>
              <w:bidi w:val="0"/>
              <w:adjustRightInd w:val="0"/>
              <w:snapToGrid w:val="0"/>
              <w:spacing w:line="560" w:lineRule="exact"/>
              <w:ind w:left="0" w:firstLine="0" w:firstLineChars="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财政拨款</w:t>
            </w:r>
          </w:p>
        </w:tc>
      </w:tr>
    </w:tbl>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pPr>
        <w:pStyle w:val="8"/>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highlight w:val="yellow"/>
        </w:rPr>
      </w:pPr>
      <w:r>
        <w:rPr>
          <w:rFonts w:hint="eastAsia" w:ascii="仿宋_GB2312" w:hAnsi="Times New Roman" w:eastAsia="仿宋_GB2312" w:cs="DengXian-Regular"/>
          <w:sz w:val="32"/>
          <w:szCs w:val="32"/>
        </w:rPr>
        <w:t>本部门202</w:t>
      </w:r>
      <w:r>
        <w:rPr>
          <w:rFonts w:hint="eastAsia" w:ascii="仿宋_GB2312" w:eastAsia="仿宋_GB2312" w:cs="DengXian-Regular"/>
          <w:sz w:val="32"/>
          <w:szCs w:val="32"/>
          <w:lang w:val="en-US" w:eastAsia="zh-CN"/>
        </w:rPr>
        <w:t>3</w:t>
      </w:r>
      <w:r>
        <w:rPr>
          <w:rFonts w:hint="eastAsia" w:ascii="仿宋_GB2312" w:hAnsi="Times New Roman" w:eastAsia="仿宋_GB2312" w:cs="DengXian-Regular"/>
          <w:sz w:val="32"/>
          <w:szCs w:val="32"/>
        </w:rPr>
        <w:t>年度财政拨款本年收入</w:t>
      </w:r>
      <w:r>
        <w:rPr>
          <w:rFonts w:hint="eastAsia" w:ascii="仿宋_GB2312" w:eastAsia="仿宋_GB2312" w:cs="DengXian-Regular"/>
          <w:sz w:val="32"/>
          <w:szCs w:val="32"/>
          <w:highlight w:val="none"/>
          <w:lang w:val="en-US" w:eastAsia="zh-CN"/>
        </w:rPr>
        <w:t>125.75</w:t>
      </w:r>
      <w:r>
        <w:rPr>
          <w:rFonts w:hint="eastAsia" w:ascii="仿宋_GB2312" w:hAnsi="Times New Roman" w:eastAsia="仿宋_GB2312" w:cs="DengXian-Regular"/>
          <w:sz w:val="32"/>
          <w:szCs w:val="32"/>
        </w:rPr>
        <w:t>万元，比年初预算</w:t>
      </w:r>
      <w:r>
        <w:rPr>
          <w:rFonts w:hint="eastAsia" w:ascii="仿宋_GB2312" w:eastAsia="仿宋_GB2312" w:cs="DengXian-Regular"/>
          <w:sz w:val="32"/>
          <w:szCs w:val="32"/>
          <w:lang w:val="en-US" w:eastAsia="zh-CN"/>
        </w:rPr>
        <w:t>减少12.01</w:t>
      </w:r>
      <w:r>
        <w:rPr>
          <w:rFonts w:hint="eastAsia" w:ascii="仿宋_GB2312" w:hAnsi="Times New Roman" w:eastAsia="仿宋_GB2312" w:cs="DengXian-Regular"/>
          <w:sz w:val="32"/>
          <w:szCs w:val="32"/>
        </w:rPr>
        <w:t>万元，主要原因是</w:t>
      </w:r>
      <w:r>
        <w:rPr>
          <w:rFonts w:hint="eastAsia" w:ascii="仿宋_GB2312" w:eastAsia="仿宋_GB2312" w:cs="DengXian-Regular"/>
          <w:sz w:val="32"/>
          <w:szCs w:val="32"/>
          <w:lang w:val="en-US" w:eastAsia="zh-CN"/>
        </w:rPr>
        <w:t>缩减开支</w:t>
      </w:r>
      <w:r>
        <w:rPr>
          <w:rFonts w:hint="eastAsia" w:ascii="仿宋_GB2312" w:hAnsi="Times New Roman" w:eastAsia="仿宋_GB2312" w:cs="DengXian-Regular"/>
          <w:sz w:val="32"/>
          <w:szCs w:val="32"/>
        </w:rPr>
        <w:t>；本年支出</w:t>
      </w:r>
      <w:r>
        <w:rPr>
          <w:rFonts w:hint="eastAsia" w:ascii="仿宋_GB2312" w:eastAsia="仿宋_GB2312" w:cs="DengXian-Regular"/>
          <w:sz w:val="32"/>
          <w:szCs w:val="32"/>
          <w:highlight w:val="none"/>
          <w:lang w:val="en-US" w:eastAsia="zh-CN"/>
        </w:rPr>
        <w:t>125.75</w:t>
      </w:r>
      <w:r>
        <w:rPr>
          <w:rFonts w:hint="eastAsia" w:ascii="仿宋_GB2312" w:hAnsi="Times New Roman" w:eastAsia="仿宋_GB2312" w:cs="DengXian-Regular"/>
          <w:sz w:val="32"/>
          <w:szCs w:val="32"/>
        </w:rPr>
        <w:t>万元，比年初预算</w:t>
      </w:r>
      <w:r>
        <w:rPr>
          <w:rFonts w:hint="eastAsia" w:ascii="仿宋_GB2312" w:eastAsia="仿宋_GB2312" w:cs="DengXian-Regular"/>
          <w:sz w:val="32"/>
          <w:szCs w:val="32"/>
          <w:lang w:val="en-US" w:eastAsia="zh-CN"/>
        </w:rPr>
        <w:t>减少12.01</w:t>
      </w:r>
      <w:r>
        <w:rPr>
          <w:rFonts w:hint="eastAsia" w:ascii="仿宋_GB2312" w:hAnsi="Times New Roman" w:eastAsia="仿宋_GB2312" w:cs="DengXian-Regular"/>
          <w:sz w:val="32"/>
          <w:szCs w:val="32"/>
        </w:rPr>
        <w:t>万元，主要原因是是</w:t>
      </w:r>
      <w:r>
        <w:rPr>
          <w:rFonts w:hint="eastAsia" w:ascii="仿宋_GB2312" w:eastAsia="仿宋_GB2312" w:cs="DengXian-Regular"/>
          <w:sz w:val="32"/>
          <w:szCs w:val="32"/>
          <w:lang w:val="en-US" w:eastAsia="zh-CN"/>
        </w:rPr>
        <w:t>缩减开支</w:t>
      </w:r>
      <w:r>
        <w:rPr>
          <w:rFonts w:hint="eastAsia" w:ascii="仿宋_GB2312" w:hAnsi="Times New Roman" w:eastAsia="仿宋_GB2312" w:cs="DengXian-Regular"/>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pStyle w:val="12"/>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rPr>
        <w:t>藁城区工商联坚持以习近平新时代中国特色社会主义思想为指导，认真学习贯彻党的</w:t>
      </w:r>
      <w:r>
        <w:rPr>
          <w:rFonts w:hint="eastAsia" w:ascii="仿宋_GB2312" w:hAnsi="仿宋_GB2312" w:eastAsia="仿宋_GB2312" w:cs="仿宋_GB2312"/>
          <w:b w:val="0"/>
          <w:bCs w:val="0"/>
          <w:sz w:val="32"/>
          <w:szCs w:val="32"/>
          <w:lang w:val="en-US" w:eastAsia="zh-CN"/>
        </w:rPr>
        <w:t>二十大</w:t>
      </w:r>
      <w:r>
        <w:rPr>
          <w:rFonts w:hint="eastAsia" w:ascii="仿宋_GB2312" w:hAnsi="仿宋_GB2312" w:eastAsia="仿宋_GB2312" w:cs="仿宋_GB2312"/>
          <w:b w:val="0"/>
          <w:bCs w:val="0"/>
          <w:sz w:val="32"/>
          <w:szCs w:val="32"/>
        </w:rPr>
        <w:t>精神，深入学习贯彻习近平总书记关于新时代民营经济统战工作和工商联工作重要指示精神，坚持以区委、区政府的中心工作为指导，紧紧围绕区工商联的中心工作，立足服务民营企业，服务地方经济发展大局，积极发挥桥梁纽带和助手作用，优化服务机制，不断拓展工商联工作领域，以积极拼搏的精神状态、昂扬向上的工作作风、奋发有为的工作举措，在促进我区民营经济健康发展、民营经济人士健康成长等方面开展一系列服务活动，使工商联的凝聚力、号召力，社会影响力显著提高，实现为我区的经济建设和社会发展服务的目标。</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rPr>
      </w:pPr>
      <w:r>
        <w:rPr>
          <w:rFonts w:hint="eastAsia" w:ascii="黑体" w:hAnsi="黑体" w:eastAsia="黑体" w:cs="黑体"/>
          <w:b w:val="0"/>
          <w:bCs w:val="0"/>
          <w:sz w:val="32"/>
          <w:szCs w:val="32"/>
        </w:rPr>
        <w:t>二、绩效</w:t>
      </w:r>
      <w:r>
        <w:rPr>
          <w:rFonts w:hint="eastAsia" w:ascii="黑体" w:hAnsi="黑体" w:eastAsia="黑体" w:cs="黑体"/>
          <w:b w:val="0"/>
          <w:bCs w:val="0"/>
          <w:sz w:val="32"/>
          <w:szCs w:val="32"/>
          <w:lang w:eastAsia="zh-CN"/>
        </w:rPr>
        <w:t>自评工作开展</w:t>
      </w:r>
      <w:r>
        <w:rPr>
          <w:rFonts w:hint="eastAsia" w:ascii="黑体" w:hAnsi="黑体" w:eastAsia="黑体" w:cs="黑体"/>
          <w:b w:val="0"/>
          <w:bCs w:val="0"/>
          <w:sz w:val="32"/>
          <w:szCs w:val="32"/>
        </w:rPr>
        <w:t>情况</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一</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成立预算绩效评价小组。为保证绩效评价工作顺利开展，</w:t>
      </w:r>
      <w:r>
        <w:rPr>
          <w:rFonts w:hint="eastAsia" w:ascii="仿宋_GB2312" w:hAnsi="仿宋_GB2312" w:eastAsia="仿宋_GB2312" w:cs="仿宋_GB2312"/>
          <w:b w:val="0"/>
          <w:bCs w:val="0"/>
          <w:sz w:val="32"/>
          <w:szCs w:val="32"/>
          <w:lang w:eastAsia="zh-CN"/>
        </w:rPr>
        <w:t>藁城区</w:t>
      </w:r>
      <w:r>
        <w:rPr>
          <w:rFonts w:hint="eastAsia" w:ascii="仿宋_GB2312" w:hAnsi="仿宋_GB2312" w:eastAsia="仿宋_GB2312" w:cs="仿宋_GB2312"/>
          <w:b w:val="0"/>
          <w:bCs w:val="0"/>
          <w:sz w:val="32"/>
          <w:szCs w:val="32"/>
          <w:lang w:val="en-US" w:eastAsia="zh-CN"/>
        </w:rPr>
        <w:t>工商联</w:t>
      </w:r>
      <w:r>
        <w:rPr>
          <w:rFonts w:hint="eastAsia" w:ascii="仿宋_GB2312" w:hAnsi="仿宋_GB2312" w:eastAsia="仿宋_GB2312" w:cs="仿宋_GB2312"/>
          <w:b w:val="0"/>
          <w:bCs w:val="0"/>
          <w:sz w:val="32"/>
          <w:szCs w:val="32"/>
        </w:rPr>
        <w:t>成立了绩效评价小组，负责绩效评价的组织管理等工作。</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二</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组织开展自评。</w:t>
      </w:r>
      <w:r>
        <w:rPr>
          <w:rFonts w:hint="eastAsia" w:ascii="仿宋_GB2312" w:hAnsi="仿宋_GB2312" w:eastAsia="仿宋_GB2312" w:cs="仿宋_GB2312"/>
          <w:b w:val="0"/>
          <w:bCs w:val="0"/>
          <w:sz w:val="32"/>
          <w:szCs w:val="32"/>
          <w:lang w:eastAsia="zh-CN"/>
        </w:rPr>
        <w:t>藁城区</w:t>
      </w:r>
      <w:r>
        <w:rPr>
          <w:rFonts w:hint="eastAsia" w:ascii="仿宋_GB2312" w:hAnsi="仿宋_GB2312" w:eastAsia="仿宋_GB2312" w:cs="仿宋_GB2312"/>
          <w:b w:val="0"/>
          <w:bCs w:val="0"/>
          <w:sz w:val="32"/>
          <w:szCs w:val="32"/>
          <w:lang w:val="en-US" w:eastAsia="zh-CN"/>
        </w:rPr>
        <w:t>工商联</w:t>
      </w:r>
      <w:r>
        <w:rPr>
          <w:rFonts w:hint="eastAsia" w:ascii="仿宋_GB2312" w:hAnsi="仿宋_GB2312" w:eastAsia="仿宋_GB2312" w:cs="仿宋_GB2312"/>
          <w:b w:val="0"/>
          <w:bCs w:val="0"/>
          <w:sz w:val="32"/>
          <w:szCs w:val="32"/>
        </w:rPr>
        <w:t>按照要求整理相关数据和资料，对部门综合绩效情况进行自我评价，由绩效评价领导小组牵头，对20</w:t>
      </w:r>
      <w:r>
        <w:rPr>
          <w:rFonts w:hint="eastAsia" w:ascii="仿宋_GB2312" w:hAnsi="仿宋_GB2312" w:eastAsia="仿宋_GB2312" w:cs="仿宋_GB2312"/>
          <w:b w:val="0"/>
          <w:bCs w:val="0"/>
          <w:sz w:val="32"/>
          <w:szCs w:val="32"/>
          <w:lang w:val="en-US" w:eastAsia="zh-CN"/>
        </w:rPr>
        <w:t>23</w:t>
      </w:r>
      <w:r>
        <w:rPr>
          <w:rFonts w:hint="eastAsia" w:ascii="仿宋_GB2312" w:hAnsi="仿宋_GB2312" w:eastAsia="仿宋_GB2312" w:cs="仿宋_GB2312"/>
          <w:b w:val="0"/>
          <w:bCs w:val="0"/>
          <w:sz w:val="32"/>
          <w:szCs w:val="32"/>
        </w:rPr>
        <w:t>年财政支出项目开展了自评，逐个项目填报了《预算项目自评表》，并撰写《20</w:t>
      </w:r>
      <w:r>
        <w:rPr>
          <w:rFonts w:hint="eastAsia" w:ascii="仿宋_GB2312" w:hAnsi="仿宋_GB2312" w:eastAsia="仿宋_GB2312" w:cs="仿宋_GB2312"/>
          <w:b w:val="0"/>
          <w:bCs w:val="0"/>
          <w:sz w:val="32"/>
          <w:szCs w:val="32"/>
          <w:lang w:val="en-US" w:eastAsia="zh-CN"/>
        </w:rPr>
        <w:t>23</w:t>
      </w:r>
      <w:r>
        <w:rPr>
          <w:rFonts w:hint="eastAsia" w:ascii="仿宋_GB2312" w:hAnsi="仿宋_GB2312" w:eastAsia="仿宋_GB2312" w:cs="仿宋_GB2312"/>
          <w:b w:val="0"/>
          <w:bCs w:val="0"/>
          <w:sz w:val="32"/>
          <w:szCs w:val="32"/>
        </w:rPr>
        <w:t>年度</w:t>
      </w:r>
      <w:r>
        <w:rPr>
          <w:rFonts w:hint="eastAsia" w:ascii="仿宋_GB2312" w:hAnsi="仿宋_GB2312" w:eastAsia="仿宋_GB2312" w:cs="仿宋_GB2312"/>
          <w:b w:val="0"/>
          <w:bCs w:val="0"/>
          <w:sz w:val="32"/>
          <w:szCs w:val="32"/>
          <w:lang w:eastAsia="zh-CN"/>
        </w:rPr>
        <w:t>部门整体</w:t>
      </w:r>
      <w:r>
        <w:rPr>
          <w:rFonts w:hint="eastAsia" w:ascii="仿宋_GB2312" w:hAnsi="仿宋_GB2312" w:eastAsia="仿宋_GB2312" w:cs="仿宋_GB2312"/>
          <w:b w:val="0"/>
          <w:bCs w:val="0"/>
          <w:sz w:val="32"/>
          <w:szCs w:val="32"/>
        </w:rPr>
        <w:t>绩效自评工作报告》。</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三</w:t>
      </w:r>
      <w:r>
        <w:rPr>
          <w:rFonts w:hint="eastAsia" w:ascii="仿宋_GB2312" w:hAnsi="仿宋_GB2312" w:eastAsia="仿宋_GB2312" w:cs="仿宋_GB2312"/>
          <w:b w:val="0"/>
          <w:bCs w:val="0"/>
          <w:sz w:val="32"/>
          <w:szCs w:val="32"/>
          <w:lang w:eastAsia="zh-CN"/>
        </w:rPr>
        <w:t>）藁城区</w:t>
      </w:r>
      <w:r>
        <w:rPr>
          <w:rFonts w:hint="eastAsia" w:ascii="仿宋_GB2312" w:hAnsi="仿宋_GB2312" w:eastAsia="仿宋_GB2312" w:cs="仿宋_GB2312"/>
          <w:b w:val="0"/>
          <w:bCs w:val="0"/>
          <w:sz w:val="32"/>
          <w:szCs w:val="32"/>
          <w:lang w:val="en-US" w:eastAsia="zh-CN"/>
        </w:rPr>
        <w:t>工商联</w:t>
      </w:r>
      <w:r>
        <w:rPr>
          <w:rFonts w:hint="eastAsia" w:ascii="仿宋_GB2312" w:hAnsi="仿宋_GB2312" w:eastAsia="仿宋_GB2312" w:cs="仿宋_GB2312"/>
          <w:b w:val="0"/>
          <w:bCs w:val="0"/>
          <w:sz w:val="32"/>
          <w:szCs w:val="32"/>
        </w:rPr>
        <w:t>执行</w:t>
      </w:r>
      <w:r>
        <w:rPr>
          <w:rFonts w:hint="eastAsia" w:ascii="仿宋_GB2312" w:hAnsi="仿宋_GB2312" w:eastAsia="仿宋_GB2312" w:cs="仿宋_GB2312"/>
          <w:b w:val="0"/>
          <w:bCs w:val="0"/>
          <w:sz w:val="32"/>
          <w:szCs w:val="32"/>
          <w:lang w:eastAsia="zh-CN"/>
        </w:rPr>
        <w:t>财务</w:t>
      </w:r>
      <w:r>
        <w:rPr>
          <w:rFonts w:hint="eastAsia" w:ascii="仿宋_GB2312" w:hAnsi="仿宋_GB2312" w:eastAsia="仿宋_GB2312" w:cs="仿宋_GB2312"/>
          <w:b w:val="0"/>
          <w:bCs w:val="0"/>
          <w:sz w:val="32"/>
          <w:szCs w:val="32"/>
        </w:rPr>
        <w:t>制度和管理规定，按时完成预算执行进度，严格控制、合理利用各项经费，按要求进行预算管理。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pStyle w:val="12"/>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藁城区工商联坚持以习近平新时代中国特色社会主义思想为指导，认真学习贯彻党的</w:t>
      </w:r>
      <w:r>
        <w:rPr>
          <w:rFonts w:hint="eastAsia" w:ascii="仿宋_GB2312" w:hAnsi="仿宋_GB2312" w:eastAsia="仿宋_GB2312" w:cs="仿宋_GB2312"/>
          <w:b w:val="0"/>
          <w:bCs w:val="0"/>
          <w:sz w:val="32"/>
          <w:szCs w:val="32"/>
          <w:lang w:val="en-US" w:eastAsia="zh-CN"/>
        </w:rPr>
        <w:t>二十大</w:t>
      </w:r>
      <w:r>
        <w:rPr>
          <w:rFonts w:hint="eastAsia" w:ascii="仿宋_GB2312" w:hAnsi="仿宋_GB2312" w:eastAsia="仿宋_GB2312" w:cs="仿宋_GB2312"/>
          <w:b w:val="0"/>
          <w:bCs w:val="0"/>
          <w:sz w:val="32"/>
          <w:szCs w:val="32"/>
        </w:rPr>
        <w:t>精神，深入学习贯彻习近平总书记关于新时代民营经济统战工作和工商联工作重要指示精神，坚持以区委、区政府的中心工作为指导，紧紧围绕区工商联的中心工作，立足服务民营企业，服务地方经济发展大局，积极发挥桥梁纽带和助手作用，优化服务机制，不断拓展工商联工作领域，以积极拼搏的精神状态、昂扬向上的工作作风、奋发有为的工作举措，在促进我区民营经济健康发展、民营经济人士健康成长等方面开展一系列服务活动，使工商联的凝聚力、号召力，社会影响力显著提高，实现为我区的经济建设和社会发展服务的目标。</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pStyle w:val="13"/>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为民营企业提供各种培训和服务。</w:t>
      </w:r>
    </w:p>
    <w:p>
      <w:pPr>
        <w:pStyle w:val="13"/>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结合民营经济发展需要，举办研修班和各种类型的培训活动，采取多种途径为企业发展提供法律、金融、经贸、科技等服务，引导企业履行社会责任。</w:t>
      </w:r>
      <w:r>
        <w:rPr>
          <w:rFonts w:hint="eastAsia" w:ascii="仿宋_GB2312" w:hAnsi="仿宋_GB2312" w:eastAsia="仿宋_GB2312" w:cs="仿宋_GB2312"/>
          <w:b w:val="0"/>
          <w:bCs w:val="0"/>
          <w:sz w:val="32"/>
          <w:szCs w:val="32"/>
          <w:lang w:val="en-US" w:eastAsia="zh-CN"/>
        </w:rPr>
        <w:t>2023年</w:t>
      </w:r>
      <w:r>
        <w:rPr>
          <w:rFonts w:hint="eastAsia" w:ascii="仿宋_GB2312" w:hAnsi="仿宋_GB2312" w:eastAsia="仿宋_GB2312" w:cs="仿宋_GB2312"/>
          <w:b w:val="0"/>
          <w:bCs w:val="0"/>
          <w:sz w:val="32"/>
          <w:szCs w:val="32"/>
        </w:rPr>
        <w:t>组织各类培训、服务</w:t>
      </w:r>
      <w:r>
        <w:rPr>
          <w:rFonts w:hint="eastAsia" w:ascii="仿宋_GB2312" w:hAnsi="仿宋_GB2312" w:eastAsia="仿宋_GB2312" w:cs="仿宋_GB2312"/>
          <w:b w:val="0"/>
          <w:bCs w:val="0"/>
          <w:sz w:val="32"/>
          <w:szCs w:val="32"/>
          <w:lang w:val="en-US" w:eastAsia="zh-CN"/>
        </w:rPr>
        <w:t>5</w:t>
      </w:r>
      <w:r>
        <w:rPr>
          <w:rFonts w:hint="eastAsia" w:ascii="仿宋_GB2312" w:hAnsi="仿宋_GB2312" w:eastAsia="仿宋_GB2312" w:cs="仿宋_GB2312"/>
          <w:b w:val="0"/>
          <w:bCs w:val="0"/>
          <w:sz w:val="32"/>
          <w:szCs w:val="32"/>
        </w:rPr>
        <w:t>次。</w:t>
      </w:r>
    </w:p>
    <w:p>
      <w:pPr>
        <w:pStyle w:val="13"/>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深入企业调研了解民营企业发展状况。</w:t>
      </w:r>
    </w:p>
    <w:p>
      <w:pPr>
        <w:pStyle w:val="13"/>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开展民企大走访活动，通过对民企集中走访座谈调研，切实为企业解决生产、经营中遇到的各类问题。</w:t>
      </w:r>
      <w:r>
        <w:rPr>
          <w:rFonts w:hint="eastAsia" w:ascii="仿宋_GB2312" w:hAnsi="仿宋_GB2312" w:eastAsia="仿宋_GB2312" w:cs="仿宋_GB2312"/>
          <w:b w:val="0"/>
          <w:bCs w:val="0"/>
          <w:sz w:val="32"/>
          <w:szCs w:val="32"/>
          <w:lang w:val="en-US" w:eastAsia="zh-CN"/>
        </w:rPr>
        <w:t>2023年</w:t>
      </w:r>
      <w:r>
        <w:rPr>
          <w:rFonts w:hint="eastAsia" w:ascii="仿宋_GB2312" w:hAnsi="仿宋_GB2312" w:eastAsia="仿宋_GB2312" w:cs="仿宋_GB2312"/>
          <w:b w:val="0"/>
          <w:bCs w:val="0"/>
          <w:sz w:val="32"/>
          <w:szCs w:val="32"/>
        </w:rPr>
        <w:t>深入企业</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商会</w:t>
      </w:r>
      <w:r>
        <w:rPr>
          <w:rFonts w:hint="eastAsia" w:ascii="仿宋_GB2312" w:hAnsi="仿宋_GB2312" w:eastAsia="仿宋_GB2312" w:cs="仿宋_GB2312"/>
          <w:b w:val="0"/>
          <w:bCs w:val="0"/>
          <w:sz w:val="32"/>
          <w:szCs w:val="32"/>
        </w:rPr>
        <w:t>调研不少于</w:t>
      </w:r>
      <w:r>
        <w:rPr>
          <w:rFonts w:hint="eastAsia" w:ascii="仿宋_GB2312" w:hAnsi="仿宋_GB2312" w:eastAsia="仿宋_GB2312" w:cs="仿宋_GB2312"/>
          <w:b w:val="0"/>
          <w:bCs w:val="0"/>
          <w:sz w:val="32"/>
          <w:szCs w:val="32"/>
          <w:lang w:val="en-US" w:eastAsia="zh-CN"/>
        </w:rPr>
        <w:t>15</w:t>
      </w:r>
      <w:r>
        <w:rPr>
          <w:rFonts w:hint="eastAsia" w:ascii="仿宋_GB2312" w:hAnsi="仿宋_GB2312" w:eastAsia="仿宋_GB2312" w:cs="仿宋_GB2312"/>
          <w:b w:val="0"/>
          <w:bCs w:val="0"/>
          <w:sz w:val="32"/>
          <w:szCs w:val="32"/>
        </w:rPr>
        <w:t>次。</w:t>
      </w:r>
    </w:p>
    <w:p>
      <w:pPr>
        <w:pStyle w:val="13"/>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做好非公有制经济人士理想信念教育工作。</w:t>
      </w:r>
    </w:p>
    <w:p>
      <w:pPr>
        <w:pStyle w:val="13"/>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深化民营经济人士理想信念实践教育，加大对民营经济人士特别是新生代民营经济人士的理想信念实践教育，提高思想政治觉悟。</w:t>
      </w:r>
      <w:r>
        <w:rPr>
          <w:rFonts w:hint="eastAsia" w:ascii="仿宋_GB2312" w:hAnsi="仿宋_GB2312" w:eastAsia="仿宋_GB2312" w:cs="仿宋_GB2312"/>
          <w:b w:val="0"/>
          <w:bCs w:val="0"/>
          <w:sz w:val="32"/>
          <w:szCs w:val="32"/>
          <w:lang w:val="en-US" w:eastAsia="zh-CN"/>
        </w:rPr>
        <w:t>2023年</w:t>
      </w:r>
      <w:r>
        <w:rPr>
          <w:rFonts w:hint="eastAsia" w:ascii="仿宋_GB2312" w:hAnsi="仿宋_GB2312" w:eastAsia="仿宋_GB2312" w:cs="仿宋_GB2312"/>
          <w:b w:val="0"/>
          <w:bCs w:val="0"/>
          <w:sz w:val="32"/>
          <w:szCs w:val="32"/>
        </w:rPr>
        <w:t>开展理想信念教育活动</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次。</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四、评价结论和评价等级</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执委活动经费项目：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预算执行情况</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执委活动经费项目都是在规定时间内完成，完成及时率100%。根据指标体系评分10分。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项目产出</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202</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年度执委活动经费项目已全部完成，实际完成率100%；执委活动工作稳定，达标率100%。根据指标体系评分40分。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项目效益</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持续优化营商环境，构建亲清政商关系</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支持服务民营经济发展、解决民营经济人士发展面临的问题。根据指标体系评分40分。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满意度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满意率100%，</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根据项目执行情况和项目绩效情况，给出总得分，指标体系设定满分100分，得出综合评价结论和项目综合绩效评价等级。总得分</w:t>
      </w:r>
      <w:r>
        <w:rPr>
          <w:rFonts w:hint="eastAsia" w:ascii="仿宋_GB2312" w:hAnsi="仿宋_GB2312" w:eastAsia="仿宋_GB2312" w:cs="仿宋_GB2312"/>
          <w:b w:val="0"/>
          <w:bCs w:val="0"/>
          <w:sz w:val="32"/>
          <w:szCs w:val="32"/>
          <w:lang w:val="en-US" w:eastAsia="zh-CN"/>
        </w:rPr>
        <w:t>100</w:t>
      </w:r>
      <w:r>
        <w:rPr>
          <w:rFonts w:hint="eastAsia" w:ascii="仿宋_GB2312" w:hAnsi="仿宋_GB2312" w:eastAsia="仿宋_GB2312" w:cs="仿宋_GB2312"/>
          <w:b w:val="0"/>
          <w:bCs w:val="0"/>
          <w:sz w:val="32"/>
          <w:szCs w:val="32"/>
        </w:rPr>
        <w:t>≥85分</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综合评价结论和项目综合绩效评价等级为优秀。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、整改措施及结果应用</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项目预算比较薄弱，预算的科学性不强，消弱了预算的约束控制力。</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（二）针对问题提出具体的改进措施或建议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_GB2312" w:hAnsi="仿宋_GB2312" w:eastAsia="仿宋_GB2312" w:cs="仿宋_GB2312"/>
          <w:b w:val="0"/>
          <w:bCs w:val="0"/>
          <w:sz w:val="32"/>
          <w:szCs w:val="32"/>
        </w:rPr>
        <w:t>1、严格预算管理标准，提高预算绩效指标。2、认真做好前期预算执行准备工作，加强项目跟踪及项目支出执行管理，提高预算资金使用效率。</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4"/>
        <w:tblpPr w:leftFromText="180" w:rightFromText="180" w:vertAnchor="text" w:horzAnchor="page" w:tblpXSpec="center" w:tblpY="59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276"/>
        <w:gridCol w:w="1559"/>
        <w:gridCol w:w="3119"/>
        <w:gridCol w:w="14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817" w:type="dxa"/>
            <w:vAlign w:val="center"/>
          </w:tcPr>
          <w:p>
            <w:pPr>
              <w:jc w:val="center"/>
              <w:rPr>
                <w:rFonts w:ascii="仿宋_GB2312" w:hAnsi="仿宋" w:eastAsia="仿宋_GB2312" w:cs="仿宋"/>
                <w:sz w:val="24"/>
                <w:szCs w:val="24"/>
              </w:rPr>
            </w:pPr>
            <w:r>
              <w:rPr>
                <w:rFonts w:hint="eastAsia" w:ascii="仿宋_GB2312" w:hAnsi="仿宋" w:eastAsia="仿宋_GB2312" w:cs="仿宋"/>
                <w:sz w:val="24"/>
                <w:szCs w:val="24"/>
              </w:rPr>
              <w:t>序号</w:t>
            </w:r>
          </w:p>
        </w:tc>
        <w:tc>
          <w:tcPr>
            <w:tcW w:w="1276" w:type="dxa"/>
            <w:vAlign w:val="center"/>
          </w:tcPr>
          <w:p>
            <w:pPr>
              <w:jc w:val="center"/>
              <w:rPr>
                <w:rFonts w:ascii="仿宋_GB2312" w:hAnsi="仿宋" w:eastAsia="仿宋_GB2312" w:cs="仿宋"/>
                <w:sz w:val="24"/>
                <w:szCs w:val="24"/>
              </w:rPr>
            </w:pPr>
            <w:r>
              <w:rPr>
                <w:rFonts w:hint="eastAsia" w:ascii="仿宋_GB2312" w:hAnsi="仿宋" w:eastAsia="仿宋_GB2312" w:cs="仿宋"/>
                <w:sz w:val="24"/>
                <w:szCs w:val="24"/>
              </w:rPr>
              <w:t>姓名</w:t>
            </w:r>
          </w:p>
        </w:tc>
        <w:tc>
          <w:tcPr>
            <w:tcW w:w="1559" w:type="dxa"/>
            <w:vAlign w:val="center"/>
          </w:tcPr>
          <w:p>
            <w:pPr>
              <w:jc w:val="center"/>
              <w:rPr>
                <w:rFonts w:ascii="仿宋_GB2312" w:hAnsi="仿宋" w:eastAsia="仿宋_GB2312" w:cs="仿宋"/>
                <w:sz w:val="24"/>
                <w:szCs w:val="24"/>
              </w:rPr>
            </w:pPr>
            <w:r>
              <w:rPr>
                <w:rFonts w:hint="eastAsia" w:ascii="仿宋_GB2312" w:hAnsi="仿宋" w:eastAsia="仿宋_GB2312" w:cs="仿宋"/>
                <w:sz w:val="24"/>
                <w:szCs w:val="24"/>
              </w:rPr>
              <w:t>工作单位</w:t>
            </w:r>
          </w:p>
        </w:tc>
        <w:tc>
          <w:tcPr>
            <w:tcW w:w="3119" w:type="dxa"/>
            <w:vAlign w:val="center"/>
          </w:tcPr>
          <w:p>
            <w:pPr>
              <w:jc w:val="center"/>
              <w:rPr>
                <w:rFonts w:ascii="仿宋_GB2312" w:hAnsi="仿宋" w:eastAsia="仿宋_GB2312" w:cs="仿宋"/>
                <w:sz w:val="24"/>
                <w:szCs w:val="24"/>
              </w:rPr>
            </w:pPr>
            <w:r>
              <w:rPr>
                <w:rFonts w:hint="eastAsia" w:ascii="仿宋_GB2312" w:hAnsi="仿宋" w:eastAsia="仿宋_GB2312" w:cs="仿宋"/>
                <w:sz w:val="24"/>
                <w:szCs w:val="24"/>
              </w:rPr>
              <w:t>职务</w:t>
            </w:r>
          </w:p>
        </w:tc>
        <w:tc>
          <w:tcPr>
            <w:tcW w:w="1423" w:type="dxa"/>
            <w:vAlign w:val="center"/>
          </w:tcPr>
          <w:p>
            <w:pPr>
              <w:jc w:val="center"/>
              <w:rPr>
                <w:rFonts w:ascii="仿宋_GB2312" w:hAnsi="仿宋" w:eastAsia="仿宋_GB2312" w:cs="仿宋"/>
                <w:sz w:val="24"/>
                <w:szCs w:val="24"/>
              </w:rPr>
            </w:pPr>
            <w:r>
              <w:rPr>
                <w:rFonts w:hint="eastAsia" w:ascii="仿宋_GB2312" w:hAnsi="仿宋" w:eastAsia="仿宋_GB2312" w:cs="仿宋"/>
                <w:sz w:val="24"/>
                <w:szCs w:val="24"/>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817" w:type="dxa"/>
            <w:vAlign w:val="center"/>
          </w:tcPr>
          <w:p>
            <w:pPr>
              <w:jc w:val="center"/>
              <w:rPr>
                <w:rFonts w:ascii="仿宋_GB2312" w:hAnsi="仿宋" w:eastAsia="仿宋_GB2312" w:cs="仿宋"/>
                <w:sz w:val="24"/>
                <w:szCs w:val="24"/>
              </w:rPr>
            </w:pPr>
            <w:r>
              <w:rPr>
                <w:rFonts w:hint="eastAsia" w:ascii="仿宋_GB2312" w:hAnsi="仿宋" w:eastAsia="仿宋_GB2312" w:cs="仿宋"/>
                <w:sz w:val="24"/>
                <w:szCs w:val="24"/>
              </w:rPr>
              <w:t>1</w:t>
            </w:r>
          </w:p>
        </w:tc>
        <w:tc>
          <w:tcPr>
            <w:tcW w:w="1276" w:type="dxa"/>
            <w:vAlign w:val="center"/>
          </w:tcPr>
          <w:p>
            <w:pPr>
              <w:jc w:val="center"/>
              <w:rPr>
                <w:rFonts w:hint="eastAsia" w:ascii="仿宋_GB2312" w:hAnsi="仿宋" w:eastAsia="仿宋_GB2312" w:cs="仿宋"/>
                <w:sz w:val="24"/>
                <w:szCs w:val="24"/>
                <w:lang w:eastAsia="zh-CN"/>
              </w:rPr>
            </w:pPr>
            <w:r>
              <w:rPr>
                <w:rFonts w:hint="eastAsia" w:ascii="仿宋_GB2312" w:hAnsi="仿宋" w:eastAsia="仿宋_GB2312" w:cs="仿宋"/>
                <w:sz w:val="24"/>
                <w:szCs w:val="24"/>
                <w:lang w:val="en-US" w:eastAsia="zh-CN"/>
              </w:rPr>
              <w:t>程彦辉</w:t>
            </w:r>
          </w:p>
        </w:tc>
        <w:tc>
          <w:tcPr>
            <w:tcW w:w="1559" w:type="dxa"/>
            <w:vAlign w:val="center"/>
          </w:tcPr>
          <w:p>
            <w:pPr>
              <w:jc w:val="center"/>
              <w:rPr>
                <w:rFonts w:ascii="仿宋_GB2312" w:hAnsi="仿宋" w:eastAsia="仿宋_GB2312" w:cs="仿宋"/>
                <w:sz w:val="24"/>
                <w:szCs w:val="24"/>
              </w:rPr>
            </w:pPr>
            <w:r>
              <w:rPr>
                <w:rFonts w:hint="eastAsia" w:ascii="仿宋_GB2312" w:hAnsi="仿宋" w:eastAsia="仿宋_GB2312" w:cs="仿宋"/>
                <w:sz w:val="24"/>
                <w:szCs w:val="24"/>
              </w:rPr>
              <w:t>工商联</w:t>
            </w:r>
          </w:p>
        </w:tc>
        <w:tc>
          <w:tcPr>
            <w:tcW w:w="3119" w:type="dxa"/>
            <w:vAlign w:val="center"/>
          </w:tcPr>
          <w:p>
            <w:pPr>
              <w:jc w:val="center"/>
              <w:rPr>
                <w:rFonts w:ascii="仿宋_GB2312" w:hAnsi="仿宋" w:eastAsia="仿宋_GB2312" w:cs="仿宋"/>
                <w:sz w:val="24"/>
                <w:szCs w:val="24"/>
              </w:rPr>
            </w:pPr>
            <w:r>
              <w:rPr>
                <w:rFonts w:hint="eastAsia" w:ascii="仿宋_GB2312" w:hAnsi="仿宋" w:eastAsia="仿宋_GB2312" w:cs="仿宋"/>
                <w:sz w:val="24"/>
                <w:szCs w:val="24"/>
              </w:rPr>
              <w:t>党组书记、常务副主席</w:t>
            </w:r>
          </w:p>
        </w:tc>
        <w:tc>
          <w:tcPr>
            <w:tcW w:w="1423" w:type="dxa"/>
            <w:vAlign w:val="center"/>
          </w:tcPr>
          <w:p>
            <w:pPr>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817" w:type="dxa"/>
            <w:vAlign w:val="center"/>
          </w:tcPr>
          <w:p>
            <w:pPr>
              <w:jc w:val="center"/>
              <w:rPr>
                <w:rFonts w:ascii="仿宋_GB2312" w:hAnsi="仿宋" w:eastAsia="仿宋_GB2312" w:cs="仿宋"/>
                <w:sz w:val="24"/>
                <w:szCs w:val="24"/>
              </w:rPr>
            </w:pPr>
            <w:r>
              <w:rPr>
                <w:rFonts w:hint="eastAsia" w:ascii="仿宋_GB2312" w:hAnsi="仿宋" w:eastAsia="仿宋_GB2312" w:cs="仿宋"/>
                <w:sz w:val="24"/>
                <w:szCs w:val="24"/>
              </w:rPr>
              <w:t>2</w:t>
            </w:r>
          </w:p>
        </w:tc>
        <w:tc>
          <w:tcPr>
            <w:tcW w:w="1276" w:type="dxa"/>
            <w:vAlign w:val="center"/>
          </w:tcPr>
          <w:p>
            <w:pPr>
              <w:jc w:val="center"/>
              <w:rPr>
                <w:rFonts w:hint="eastAsia" w:ascii="仿宋_GB2312" w:hAnsi="仿宋" w:eastAsia="仿宋_GB2312" w:cs="仿宋"/>
                <w:sz w:val="24"/>
                <w:szCs w:val="24"/>
                <w:lang w:eastAsia="zh-CN"/>
              </w:rPr>
            </w:pPr>
            <w:r>
              <w:rPr>
                <w:rFonts w:hint="eastAsia" w:ascii="仿宋_GB2312" w:hAnsi="仿宋" w:eastAsia="仿宋_GB2312" w:cs="仿宋"/>
                <w:sz w:val="24"/>
                <w:szCs w:val="24"/>
                <w:lang w:val="en-US" w:eastAsia="zh-CN"/>
              </w:rPr>
              <w:t>李中力</w:t>
            </w:r>
          </w:p>
        </w:tc>
        <w:tc>
          <w:tcPr>
            <w:tcW w:w="1559" w:type="dxa"/>
            <w:vAlign w:val="center"/>
          </w:tcPr>
          <w:p>
            <w:pPr>
              <w:jc w:val="center"/>
              <w:rPr>
                <w:rFonts w:ascii="仿宋_GB2312" w:hAnsi="仿宋" w:eastAsia="仿宋_GB2312" w:cs="仿宋"/>
                <w:sz w:val="24"/>
                <w:szCs w:val="24"/>
              </w:rPr>
            </w:pPr>
            <w:r>
              <w:rPr>
                <w:rFonts w:hint="eastAsia" w:ascii="仿宋_GB2312" w:hAnsi="仿宋" w:eastAsia="仿宋_GB2312" w:cs="仿宋"/>
                <w:sz w:val="24"/>
                <w:szCs w:val="24"/>
              </w:rPr>
              <w:t>工商联</w:t>
            </w:r>
          </w:p>
        </w:tc>
        <w:tc>
          <w:tcPr>
            <w:tcW w:w="3119" w:type="dxa"/>
            <w:vAlign w:val="center"/>
          </w:tcPr>
          <w:p>
            <w:pPr>
              <w:jc w:val="center"/>
              <w:rPr>
                <w:rFonts w:ascii="仿宋_GB2312" w:hAnsi="仿宋" w:eastAsia="仿宋_GB2312" w:cs="仿宋"/>
                <w:sz w:val="24"/>
                <w:szCs w:val="24"/>
              </w:rPr>
            </w:pPr>
            <w:r>
              <w:rPr>
                <w:rFonts w:hint="eastAsia" w:ascii="仿宋_GB2312" w:hAnsi="仿宋" w:eastAsia="仿宋_GB2312" w:cs="仿宋"/>
                <w:sz w:val="24"/>
                <w:szCs w:val="24"/>
              </w:rPr>
              <w:t>党组成员、</w:t>
            </w:r>
            <w:r>
              <w:rPr>
                <w:rFonts w:hint="eastAsia" w:ascii="仿宋_GB2312" w:hAnsi="仿宋" w:eastAsia="仿宋_GB2312" w:cs="仿宋"/>
                <w:sz w:val="24"/>
                <w:szCs w:val="24"/>
                <w:lang w:val="en-US" w:eastAsia="zh-CN"/>
              </w:rPr>
              <w:t>办公室主任</w:t>
            </w:r>
          </w:p>
        </w:tc>
        <w:tc>
          <w:tcPr>
            <w:tcW w:w="1423" w:type="dxa"/>
            <w:vAlign w:val="center"/>
          </w:tcPr>
          <w:p>
            <w:pPr>
              <w:jc w:val="center"/>
              <w:rPr>
                <w:rFonts w:ascii="仿宋_GB2312" w:hAnsi="仿宋" w:eastAsia="仿宋_GB2312" w:cs="仿宋"/>
                <w:sz w:val="24"/>
                <w:szCs w:val="24"/>
              </w:rPr>
            </w:pPr>
          </w:p>
        </w:tc>
      </w:tr>
    </w:tbl>
    <w:p>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I1Mzc1YjJiOThkZTcxOGJlZDRhZmY2Y2QzZGQ3Mjk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1E37"/>
    <w:rsid w:val="051D4810"/>
    <w:rsid w:val="055B525F"/>
    <w:rsid w:val="05F9337C"/>
    <w:rsid w:val="13B61930"/>
    <w:rsid w:val="1BAF1154"/>
    <w:rsid w:val="1C655171"/>
    <w:rsid w:val="1CD93F26"/>
    <w:rsid w:val="20276775"/>
    <w:rsid w:val="2544795C"/>
    <w:rsid w:val="2C167E0F"/>
    <w:rsid w:val="30363244"/>
    <w:rsid w:val="35753BC1"/>
    <w:rsid w:val="3AEF6FE7"/>
    <w:rsid w:val="47CD584D"/>
    <w:rsid w:val="493B718D"/>
    <w:rsid w:val="4AB01AF3"/>
    <w:rsid w:val="4BEF73A4"/>
    <w:rsid w:val="527E5A0B"/>
    <w:rsid w:val="53A42ADD"/>
    <w:rsid w:val="5C4A315B"/>
    <w:rsid w:val="601B0D3D"/>
    <w:rsid w:val="6380341F"/>
    <w:rsid w:val="661D3074"/>
    <w:rsid w:val="6BDE7164"/>
    <w:rsid w:val="6C35427F"/>
    <w:rsid w:val="714948CE"/>
    <w:rsid w:val="71CF3F9D"/>
    <w:rsid w:val="74FD575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autoRedefine/>
    <w:unhideWhenUsed/>
    <w:qFormat/>
    <w:uiPriority w:val="99"/>
    <w:tblPr>
      <w:tblCellMar>
        <w:top w:w="0" w:type="dxa"/>
        <w:left w:w="108" w:type="dxa"/>
        <w:bottom w:w="0" w:type="dxa"/>
        <w:right w:w="108" w:type="dxa"/>
      </w:tblCellMar>
    </w:tblPr>
  </w:style>
  <w:style w:type="paragraph" w:styleId="2">
    <w:name w:val="footer"/>
    <w:basedOn w:val="1"/>
    <w:link w:val="7"/>
    <w:autoRedefine/>
    <w:unhideWhenUsed/>
    <w:qFormat/>
    <w:uiPriority w:val="99"/>
    <w:pPr>
      <w:tabs>
        <w:tab w:val="center" w:pos="4153"/>
        <w:tab w:val="right" w:pos="8306"/>
      </w:tabs>
      <w:snapToGrid w:val="0"/>
      <w:jc w:val="left"/>
    </w:pPr>
    <w:rPr>
      <w:sz w:val="18"/>
      <w:szCs w:val="18"/>
    </w:rPr>
  </w:style>
  <w:style w:type="paragraph" w:styleId="3">
    <w:name w:val="header"/>
    <w:basedOn w:val="1"/>
    <w:link w:val="6"/>
    <w:autoRedefine/>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autoRedefine/>
    <w:qFormat/>
    <w:uiPriority w:val="99"/>
    <w:rPr>
      <w:sz w:val="18"/>
      <w:szCs w:val="18"/>
    </w:rPr>
  </w:style>
  <w:style w:type="character" w:customStyle="1" w:styleId="7">
    <w:name w:val="页脚 Char"/>
    <w:basedOn w:val="5"/>
    <w:link w:val="2"/>
    <w:autoRedefine/>
    <w:qFormat/>
    <w:uiPriority w:val="99"/>
    <w:rPr>
      <w:sz w:val="18"/>
      <w:szCs w:val="18"/>
    </w:rPr>
  </w:style>
  <w:style w:type="paragraph" w:customStyle="1" w:styleId="8">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2175</Words>
  <Characters>2249</Characters>
  <Lines>3</Lines>
  <Paragraphs>1</Paragraphs>
  <TotalTime>1</TotalTime>
  <ScaleCrop>false</ScaleCrop>
  <LinksUpToDate>false</LinksUpToDate>
  <CharactersWithSpaces>2250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王绿</cp:lastModifiedBy>
  <cp:lastPrinted>2021-02-24T05:43:00Z</cp:lastPrinted>
  <dcterms:modified xsi:type="dcterms:W3CDTF">2024-05-31T06:30:51Z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B9B86825B15E4AAAB5CD117F0E5D37B0_12</vt:lpwstr>
  </property>
</Properties>
</file>